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14D24066" w14:textId="29903AF4" w:rsidR="00C01A9C" w:rsidRPr="0035455F" w:rsidRDefault="00C01A9C" w:rsidP="00E71D4A">
      <w:pPr>
        <w:ind w:left="709"/>
        <w:jc w:val="center"/>
        <w:rPr>
          <w:rFonts w:ascii="Arial" w:hAnsi="Arial" w:cs="Arial"/>
          <w:b/>
          <w:lang w:val="en-GB"/>
        </w:rPr>
      </w:pPr>
      <w:bookmarkStart w:id="1" w:name="_Hlk53134639"/>
      <w:r w:rsidRPr="00C01A9C">
        <w:rPr>
          <w:rFonts w:ascii="Arial" w:hAnsi="Arial" w:cs="Arial"/>
          <w:b/>
          <w:lang w:val="en-GB"/>
        </w:rPr>
        <w:t xml:space="preserve">REFERENCE NUMBER: </w:t>
      </w:r>
      <w:bookmarkStart w:id="2" w:name="_Hlk83386192"/>
      <w:r w:rsidRPr="00C01A9C">
        <w:rPr>
          <w:rFonts w:ascii="Arial" w:hAnsi="Arial" w:cs="Arial"/>
          <w:b/>
          <w:lang w:val="en-GB"/>
        </w:rPr>
        <w:t xml:space="preserve">CS/PROC/EDF/8.3/10/2021/27TPL RE-ISSUE </w:t>
      </w:r>
      <w:bookmarkEnd w:id="2"/>
    </w:p>
    <w:bookmarkEnd w:id="1"/>
    <w:p w14:paraId="47AE779F" w14:textId="77777777" w:rsidR="00E71D4A" w:rsidRPr="0035455F" w:rsidRDefault="00E71D4A" w:rsidP="00FC7BCE">
      <w:pPr>
        <w:ind w:left="709"/>
        <w:jc w:val="center"/>
        <w:rPr>
          <w:rFonts w:ascii="Arial" w:hAnsi="Arial" w:cs="Arial"/>
          <w:b/>
          <w:lang w:val="en-GB"/>
        </w:rPr>
      </w:pPr>
    </w:p>
    <w:p w14:paraId="3B8CDC76" w14:textId="0F3FB8F3" w:rsidR="00370F28" w:rsidRDefault="00E71D4A" w:rsidP="00762B48">
      <w:pPr>
        <w:ind w:left="709"/>
        <w:jc w:val="both"/>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2550"/>
      <w:bookmarkStart w:id="4" w:name="_Hlk83386712"/>
      <w:r w:rsidR="000703EC" w:rsidRPr="000703EC">
        <w:rPr>
          <w:rFonts w:ascii="Arial" w:eastAsia="Calibri" w:hAnsi="Arial" w:cs="Arial"/>
          <w:b/>
          <w:kern w:val="28"/>
        </w:rPr>
        <w:t>CONTRACT FOR TECHNICAL ASSESSMENT OF THE SCOPE AND COMPETENCES OF ACCREDITATION ASSESSORS IN THE COMESA REGION</w:t>
      </w:r>
      <w:bookmarkEnd w:id="4"/>
    </w:p>
    <w:p w14:paraId="55F8D5BA" w14:textId="77777777" w:rsidR="00C01A9C" w:rsidRDefault="00C01A9C" w:rsidP="00762B48">
      <w:pPr>
        <w:ind w:left="709"/>
        <w:jc w:val="both"/>
        <w:rPr>
          <w:rFonts w:ascii="Arial" w:hAnsi="Arial" w:cs="Arial"/>
          <w:b/>
          <w:i/>
          <w:lang w:val="en-GB"/>
        </w:rPr>
      </w:pPr>
    </w:p>
    <w:bookmarkEnd w:id="3"/>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D01F110" w14:textId="63ABE8BA" w:rsidR="00C724A5" w:rsidRDefault="00237F5A" w:rsidP="00FC7E65">
      <w:pPr>
        <w:ind w:left="709"/>
        <w:jc w:val="both"/>
        <w:rPr>
          <w:rFonts w:ascii="Arial" w:eastAsia="Calibri" w:hAnsi="Arial" w:cs="Arial"/>
          <w:b/>
          <w:kern w:val="28"/>
        </w:rPr>
      </w:pPr>
      <w:r w:rsidRPr="00237F5A">
        <w:rPr>
          <w:rFonts w:ascii="Arial" w:eastAsia="Calibri" w:hAnsi="Arial" w:cs="Arial"/>
          <w:b/>
          <w:kern w:val="28"/>
        </w:rPr>
        <w:t>CONTRACT FOR TECHNICAL ASSESSMENT OF THE SCOPE AND COMPETENCES OF ACCREDITATION ASSESSORS IN THE COMESA REGION</w:t>
      </w:r>
    </w:p>
    <w:p w14:paraId="550C0455" w14:textId="77777777" w:rsidR="00237F5A" w:rsidRPr="0035455F" w:rsidRDefault="00237F5A"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4F71F14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CA668D">
        <w:rPr>
          <w:rFonts w:ascii="Arial" w:hAnsi="Arial" w:cs="Arial"/>
          <w:b/>
          <w:highlight w:val="yellow"/>
          <w:lang w:val="nl-NL"/>
        </w:rPr>
        <w:t>2</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C0ACD95"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r w:rsidR="00FE3D41" w:rsidRPr="00FE3D41">
        <w:rPr>
          <w:rFonts w:ascii="Arial" w:hAnsi="Arial" w:cs="Arial"/>
          <w:b/>
          <w:bCs/>
          <w:lang w:val="en-GB"/>
        </w:rPr>
        <w:t>CS/PROC/EDF/8.3/10/2021/27TPL RE-ISSUE</w:t>
      </w:r>
      <w:r w:rsidR="0038034A">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237F5A" w:rsidRPr="00237F5A">
        <w:rPr>
          <w:rFonts w:ascii="Arial" w:hAnsi="Arial" w:cs="Arial"/>
          <w:b/>
          <w:bCs/>
        </w:rPr>
        <w:t>CONTRACT FOR TECHNICAL ASSESSMENT OF THE SCOPE AND COMPETENCES OF ACCREDITATION ASSESSORS IN THE COMESA REGION</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14D6C1F0" w:rsidR="006774D1" w:rsidRDefault="007C5A4A" w:rsidP="006774D1">
      <w:pPr>
        <w:ind w:left="720" w:firstLine="720"/>
        <w:jc w:val="both"/>
        <w:rPr>
          <w:rStyle w:val="Hyperlink"/>
        </w:rPr>
      </w:pPr>
      <w:hyperlink r:id="rId11" w:history="1">
        <w:r w:rsidRPr="004E7E9B">
          <w:rPr>
            <w:rStyle w:val="Hyperlink"/>
            <w:rFonts w:ascii="Arial" w:hAnsi="Arial" w:cs="Arial"/>
            <w:b/>
            <w:bCs/>
            <w:i/>
            <w:iCs/>
            <w:lang w:val="en-GB"/>
          </w:rPr>
          <w:t>tenders@comesa.int</w:t>
        </w:r>
      </w:hyperlink>
      <w:r w:rsidR="00EE60BF">
        <w:rPr>
          <w:rStyle w:val="Hyperlink"/>
        </w:rPr>
        <w:t xml:space="preserve">; </w:t>
      </w:r>
    </w:p>
    <w:p w14:paraId="0DDAC3B2" w14:textId="77777777" w:rsidR="00EE60BF" w:rsidRDefault="00EE60BF" w:rsidP="006774D1">
      <w:pPr>
        <w:ind w:left="720" w:firstLine="720"/>
        <w:jc w:val="both"/>
        <w:rPr>
          <w:rStyle w:val="Hyperlink"/>
        </w:rPr>
      </w:pPr>
    </w:p>
    <w:p w14:paraId="4D21016F" w14:textId="1706A1B9" w:rsidR="00EE60BF" w:rsidRPr="00EE60BF" w:rsidRDefault="00C2174B" w:rsidP="006774D1">
      <w:pPr>
        <w:ind w:left="720" w:firstLine="720"/>
        <w:jc w:val="both"/>
        <w:rPr>
          <w:rFonts w:ascii="Arial" w:hAnsi="Arial" w:cs="Arial"/>
          <w:b/>
          <w:bCs/>
          <w:i/>
          <w:iCs/>
          <w:lang w:val="en-GB"/>
        </w:rPr>
      </w:pPr>
      <w:r w:rsidRPr="00C2174B">
        <w:rPr>
          <w:rStyle w:val="Hyperlink"/>
          <w:rFonts w:ascii="Arial" w:hAnsi="Arial" w:cs="Arial"/>
          <w:b/>
          <w:bCs/>
          <w:color w:val="auto"/>
          <w:u w:val="none"/>
        </w:rPr>
        <w:t>With copy to:</w:t>
      </w:r>
      <w:r w:rsidR="00EE60BF" w:rsidRPr="00C2174B">
        <w:rPr>
          <w:rStyle w:val="Hyperlink"/>
          <w:rFonts w:ascii="Arial" w:hAnsi="Arial" w:cs="Arial"/>
          <w:b/>
          <w:bCs/>
          <w:i/>
          <w:iCs/>
          <w:color w:val="auto"/>
        </w:rPr>
        <w:t xml:space="preserve"> </w:t>
      </w:r>
      <w:r w:rsidR="00EE60BF">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20387ACB" w:rsidR="00382375" w:rsidRPr="0035455F" w:rsidRDefault="00205CE2" w:rsidP="00986F39">
      <w:pPr>
        <w:pStyle w:val="BodyText2"/>
        <w:ind w:firstLine="720"/>
        <w:rPr>
          <w:rFonts w:ascii="Arial" w:hAnsi="Arial" w:cs="Arial"/>
          <w:lang w:val="en-GB"/>
        </w:rPr>
      </w:pPr>
      <w:r>
        <w:rPr>
          <w:rFonts w:ascii="Arial" w:hAnsi="Arial" w:cs="Arial"/>
          <w:b/>
          <w:i/>
          <w:highlight w:val="yellow"/>
          <w:lang w:val="en-GB"/>
        </w:rPr>
        <w:t>8 OCTOBER</w:t>
      </w:r>
      <w:r w:rsidR="00B17A39">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207B1902" w:rsidR="009D5676" w:rsidRPr="00B35009" w:rsidRDefault="001342E2"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425C615E" w:rsidR="009D5676" w:rsidRPr="00B35009" w:rsidRDefault="001342E2" w:rsidP="009D5676">
            <w:pPr>
              <w:jc w:val="center"/>
              <w:rPr>
                <w:rFonts w:ascii="Arial" w:hAnsi="Arial" w:cs="Arial"/>
                <w:lang w:val="nl-NL"/>
              </w:rPr>
            </w:pPr>
            <w:r>
              <w:rPr>
                <w:rFonts w:ascii="Arial" w:hAnsi="Arial" w:cs="Arial"/>
                <w:lang w:val="nl-NL"/>
              </w:rPr>
              <w:t>1</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610C54B"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1A2C73A5"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5DF7B3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2033AC">
        <w:rPr>
          <w:rFonts w:ascii="Arial" w:hAnsi="Arial" w:cs="Arial"/>
          <w:lang w:val="en-GB"/>
        </w:rPr>
        <w:t>2</w:t>
      </w:r>
      <w:r w:rsidR="00C2174B">
        <w:rPr>
          <w:rFonts w:ascii="Arial" w:hAnsi="Arial" w:cs="Arial"/>
          <w:lang w:val="en-GB"/>
        </w:rPr>
        <w:t xml:space="preserve">4 </w:t>
      </w:r>
      <w:r w:rsidR="002D3C14">
        <w:rPr>
          <w:rFonts w:ascii="Arial" w:hAnsi="Arial" w:cs="Arial"/>
          <w:lang w:val="en-GB"/>
        </w:rPr>
        <w:t xml:space="preserve">September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3A45CBF7" w:rsidR="00AA1943" w:rsidRDefault="00AA1943" w:rsidP="001B3334">
      <w:pPr>
        <w:jc w:val="center"/>
        <w:rPr>
          <w:rFonts w:ascii="Arial" w:eastAsia="Calibri" w:hAnsi="Arial" w:cs="Arial"/>
          <w:lang w:val="en-ZA"/>
        </w:rPr>
      </w:pPr>
    </w:p>
    <w:p w14:paraId="5E23C3A1" w14:textId="542B774E" w:rsidR="001B3334" w:rsidRPr="001B3334" w:rsidRDefault="00984AD0" w:rsidP="001B3334">
      <w:pPr>
        <w:ind w:left="360"/>
        <w:jc w:val="center"/>
        <w:rPr>
          <w:rFonts w:ascii="Arial" w:hAnsi="Arial" w:cs="Arial"/>
          <w:b/>
          <w:bCs/>
          <w:lang w:val="en-GB"/>
        </w:rPr>
      </w:pPr>
      <w:bookmarkStart w:id="14" w:name="_Hlk49524648"/>
      <w:bookmarkStart w:id="15" w:name="_Hlk49708781"/>
      <w:r>
        <w:rPr>
          <w:rFonts w:ascii="Arial" w:hAnsi="Arial" w:cs="Arial"/>
          <w:b/>
          <w:bCs/>
          <w:lang w:val="en-GB"/>
        </w:rPr>
        <w:t xml:space="preserve">TERMS OF REFERENCE </w:t>
      </w:r>
      <w:bookmarkStart w:id="16" w:name="_Hlk83386040"/>
      <w:r>
        <w:rPr>
          <w:rFonts w:ascii="Arial" w:hAnsi="Arial" w:cs="Arial"/>
          <w:b/>
          <w:bCs/>
          <w:lang w:val="en-GB"/>
        </w:rPr>
        <w:t xml:space="preserve">FOR </w:t>
      </w:r>
      <w:r w:rsidR="001B3334" w:rsidRPr="001B3334">
        <w:rPr>
          <w:rFonts w:ascii="Arial" w:hAnsi="Arial" w:cs="Arial"/>
          <w:b/>
          <w:bCs/>
          <w:lang w:val="en-GB"/>
        </w:rPr>
        <w:t xml:space="preserve">TECHNICAL ASSESSMENT OF THE SCOPE AND COMPETENCES </w:t>
      </w:r>
    </w:p>
    <w:p w14:paraId="1D14D261" w14:textId="77777777" w:rsidR="001B3334" w:rsidRPr="001B3334" w:rsidRDefault="001B3334" w:rsidP="001B3334">
      <w:pPr>
        <w:ind w:left="360"/>
        <w:jc w:val="center"/>
        <w:rPr>
          <w:rFonts w:ascii="Arial" w:hAnsi="Arial" w:cs="Arial"/>
          <w:b/>
          <w:bCs/>
          <w:lang w:val="en-GB"/>
        </w:rPr>
      </w:pPr>
      <w:r w:rsidRPr="001B3334">
        <w:rPr>
          <w:rFonts w:ascii="Arial" w:hAnsi="Arial" w:cs="Arial"/>
          <w:b/>
          <w:bCs/>
          <w:lang w:val="en-GB"/>
        </w:rPr>
        <w:t>OF ACCREDITATION ASSESSORS IN THE COMESA REGION</w:t>
      </w:r>
      <w:bookmarkEnd w:id="14"/>
    </w:p>
    <w:bookmarkEnd w:id="15"/>
    <w:bookmarkEnd w:id="16"/>
    <w:p w14:paraId="22AE8CFD" w14:textId="77777777" w:rsidR="001B3334" w:rsidRPr="0035455F" w:rsidRDefault="001B3334" w:rsidP="001B3334">
      <w:pPr>
        <w:jc w:val="center"/>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7" w:name="_Hlk18077263"/>
      <w:r w:rsidRPr="00B670DD">
        <w:rPr>
          <w:rFonts w:ascii="Arial" w:hAnsi="Arial" w:cs="Arial"/>
        </w:rPr>
        <w:t xml:space="preserve"> </w:t>
      </w:r>
    </w:p>
    <w:bookmarkEnd w:id="17"/>
    <w:p w14:paraId="3FFB4255" w14:textId="77777777" w:rsidR="00FD7FC5" w:rsidRPr="00FD7FC5" w:rsidRDefault="00FD7FC5" w:rsidP="00FD7FC5">
      <w:pPr>
        <w:spacing w:line="276" w:lineRule="auto"/>
        <w:ind w:left="720"/>
        <w:jc w:val="center"/>
        <w:rPr>
          <w:rFonts w:ascii="Arial" w:eastAsiaTheme="minorEastAsia" w:hAnsi="Arial" w:cs="Arial"/>
          <w:b/>
          <w:sz w:val="22"/>
          <w:szCs w:val="22"/>
        </w:rPr>
      </w:pPr>
    </w:p>
    <w:p w14:paraId="035DEFDA" w14:textId="7CAF1003" w:rsidR="00236C4E" w:rsidRPr="00236C4E" w:rsidRDefault="00236C4E" w:rsidP="00AA3F45">
      <w:pPr>
        <w:keepNext/>
        <w:keepLines/>
        <w:ind w:left="720" w:hanging="720"/>
        <w:outlineLvl w:val="0"/>
        <w:rPr>
          <w:rFonts w:ascii="Arial" w:eastAsia="Calibri" w:hAnsi="Arial" w:cs="Arial"/>
          <w:b/>
          <w:smallCaps/>
          <w:lang w:eastAsia="sw-KE"/>
        </w:rPr>
      </w:pPr>
      <w:bookmarkStart w:id="18" w:name="_Toc528667934"/>
      <w:r w:rsidRPr="00236C4E">
        <w:rPr>
          <w:rFonts w:ascii="Arial" w:eastAsia="Calibri" w:hAnsi="Arial" w:cs="Arial"/>
          <w:b/>
          <w:smallCaps/>
        </w:rPr>
        <w:t>BACKGROUND</w:t>
      </w:r>
      <w:bookmarkEnd w:id="18"/>
    </w:p>
    <w:p w14:paraId="45C73E1C" w14:textId="77777777" w:rsidR="00236C4E" w:rsidRPr="00236C4E" w:rsidRDefault="00236C4E" w:rsidP="00D46312">
      <w:pPr>
        <w:tabs>
          <w:tab w:val="num" w:pos="1418"/>
        </w:tabs>
        <w:jc w:val="center"/>
        <w:rPr>
          <w:rFonts w:ascii="Arial" w:hAnsi="Arial" w:cs="Arial"/>
          <w:lang w:val="en-GB" w:eastAsia="x-none"/>
        </w:rPr>
      </w:pPr>
    </w:p>
    <w:p w14:paraId="761F959E" w14:textId="77777777" w:rsidR="00236C4E" w:rsidRPr="00236C4E" w:rsidRDefault="00236C4E" w:rsidP="00236C4E">
      <w:pPr>
        <w:contextualSpacing/>
        <w:jc w:val="both"/>
        <w:rPr>
          <w:rFonts w:ascii="Arial" w:hAnsi="Arial" w:cs="Arial"/>
          <w:lang w:val="en-ZW"/>
        </w:rPr>
      </w:pPr>
      <w:r w:rsidRPr="00236C4E">
        <w:rPr>
          <w:rFonts w:ascii="Arial" w:hAnsi="Arial" w:cs="Arial"/>
          <w:lang w:val="en-ZW"/>
        </w:rPr>
        <w:t xml:space="preserve">Technical regulations, standards, metrology, </w:t>
      </w:r>
      <w:r w:rsidRPr="00236C4E">
        <w:rPr>
          <w:rFonts w:ascii="Arial" w:hAnsi="Arial" w:cs="Arial"/>
          <w:b/>
          <w:bCs/>
          <w:i/>
          <w:iCs/>
          <w:lang w:val="en-ZW"/>
        </w:rPr>
        <w:t>accreditation</w:t>
      </w:r>
      <w:r w:rsidRPr="00236C4E">
        <w:rPr>
          <w:rFonts w:ascii="Arial" w:hAnsi="Arial" w:cs="Arial"/>
          <w:lang w:val="en-ZW"/>
        </w:rPr>
        <w:t xml:space="preserve">, inspection, testing and certification are utilized by societies to address issues related to the optimization of production, safety and health, consumer protection, environmental control as well as to manage risks and market failures.  Their sound development and effective implementation enable sustainable development, build welfare and facilitate trade.  </w:t>
      </w:r>
    </w:p>
    <w:p w14:paraId="34BBB760" w14:textId="77777777" w:rsidR="00236C4E" w:rsidRPr="00236C4E" w:rsidRDefault="00236C4E" w:rsidP="00236C4E">
      <w:pPr>
        <w:contextualSpacing/>
        <w:jc w:val="both"/>
        <w:rPr>
          <w:rFonts w:ascii="Arial" w:hAnsi="Arial" w:cs="Arial"/>
          <w:lang w:val="en-ZW"/>
        </w:rPr>
      </w:pPr>
    </w:p>
    <w:p w14:paraId="2076A3C9" w14:textId="77777777" w:rsidR="00236C4E" w:rsidRPr="00236C4E" w:rsidRDefault="00236C4E" w:rsidP="00236C4E">
      <w:pPr>
        <w:contextualSpacing/>
        <w:jc w:val="both"/>
        <w:rPr>
          <w:rFonts w:ascii="Arial" w:hAnsi="Arial" w:cs="Arial"/>
          <w:lang w:val="en-ZW"/>
        </w:rPr>
      </w:pPr>
      <w:r w:rsidRPr="00236C4E">
        <w:rPr>
          <w:rFonts w:ascii="Arial" w:hAnsi="Arial" w:cs="Arial"/>
          <w:lang w:val="en-ZW"/>
        </w:rPr>
        <w:t>Competitiveness of goods on the market is underpinned by market confidence in the quality of conformity assessment services which is attained through accreditation. By simple definition, accreditation is the third-party attestation related to a conformity assessment body conveying the formal demonstration of its competence to carry out specific conformity assessment task (testing including medical laboratories, calibration laboratories, proficiency testing providers, and certified reference material producers). Accessibility to accreditation services is therefore essential for products competitiveness in markets. However, in COMESA region, few member states have established internationally recognized National Accreditation Bodies for provision of such services (EGAC-Egyptian Accreditation Council; KENAS-Kenya Accreditation Service; MAURITAS-Mauritius Accreditation Service; and TUNAC-Tunisian Accreditation Council). The reason why most Member States have still not yet established national accreditation bodies lies in the prohibitive costs associated with the establishment of fully-fledged and internationally recognized national accreditation bodies (which can take up to 9 years), but also because one key pre-requisite is the need for a critical mass of skilled technical and lead assessors across the various accreditation scopes and fields at national level. Further, sustainability of an accreditation body (AB) requires a critical mass of laboratories for a demand-pull effect for the services of the AB otherwise it would require large subsidies from Treasury.  One option that some regions such as SADC have opted for given the fact that the region had only one internationally recognized accreditation body (SANAS of South Africa) was to establish a multi-economy accreditation body to cater for the needs of the region. Since COMESA already has 4 internationally recognized ABs, an appropriate option under consideration for the 21 Member Group entails a cluster grouping regional accreditation operational framework linking the 5 key ABs (including SADCAS) geographically to surrounding countries in their sub-region or language grouping for provision of accreditation services as illustrated below.</w:t>
      </w:r>
    </w:p>
    <w:p w14:paraId="02761B8F" w14:textId="77777777" w:rsidR="00236C4E" w:rsidRPr="00236C4E" w:rsidRDefault="00236C4E" w:rsidP="00236C4E">
      <w:pPr>
        <w:ind w:left="720"/>
        <w:contextualSpacing/>
        <w:jc w:val="both"/>
        <w:rPr>
          <w:rFonts w:ascii="Arial" w:hAnsi="Arial" w:cs="Arial"/>
          <w:lang w:val="en-ZW"/>
        </w:rPr>
      </w:pPr>
    </w:p>
    <w:p w14:paraId="080BDFA5" w14:textId="77777777" w:rsidR="00236C4E" w:rsidRPr="00236C4E" w:rsidRDefault="00236C4E" w:rsidP="00236C4E">
      <w:pPr>
        <w:contextualSpacing/>
        <w:jc w:val="both"/>
        <w:rPr>
          <w:rFonts w:ascii="Arial" w:hAnsi="Arial" w:cs="Arial"/>
          <w:lang w:val="en-ZW"/>
        </w:rPr>
      </w:pPr>
      <w:r w:rsidRPr="00236C4E">
        <w:rPr>
          <w:rFonts w:ascii="Arial" w:hAnsi="Arial" w:cs="Arial"/>
          <w:noProof/>
          <w:lang w:val="en-ZW"/>
        </w:rPr>
        <w:lastRenderedPageBreak/>
        <w:drawing>
          <wp:inline distT="0" distB="0" distL="0" distR="0" wp14:anchorId="04943767" wp14:editId="451E2756">
            <wp:extent cx="4572635" cy="3429000"/>
            <wp:effectExtent l="0" t="0" r="0" b="0"/>
            <wp:docPr id="2" name="Picture 2" descr="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bubble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4A8F743E" w14:textId="77777777" w:rsidR="00236C4E" w:rsidRPr="00236C4E" w:rsidRDefault="00236C4E" w:rsidP="00236C4E">
      <w:pPr>
        <w:contextualSpacing/>
        <w:jc w:val="both"/>
        <w:rPr>
          <w:rFonts w:ascii="Arial" w:hAnsi="Arial" w:cs="Arial"/>
          <w:lang w:val="en-ZW"/>
        </w:rPr>
      </w:pPr>
    </w:p>
    <w:p w14:paraId="7C6B3AF0" w14:textId="77777777" w:rsidR="00236C4E" w:rsidRPr="00236C4E" w:rsidRDefault="00236C4E" w:rsidP="00236C4E">
      <w:pPr>
        <w:contextualSpacing/>
        <w:jc w:val="both"/>
        <w:rPr>
          <w:rFonts w:ascii="Arial" w:hAnsi="Arial" w:cs="Arial"/>
          <w:lang w:val="en-ZW"/>
        </w:rPr>
      </w:pPr>
      <w:r w:rsidRPr="00236C4E">
        <w:rPr>
          <w:rFonts w:ascii="Arial" w:hAnsi="Arial" w:cs="Arial"/>
          <w:lang w:val="en-ZW"/>
        </w:rPr>
        <w:t xml:space="preserve">In this regard, the 11 EDF Trade Facilitation programme under TBT Component (4.2), aims at </w:t>
      </w:r>
      <w:bookmarkStart w:id="19" w:name="_Hlk49744530"/>
      <w:r w:rsidRPr="00236C4E">
        <w:rPr>
          <w:rFonts w:ascii="Arial" w:hAnsi="Arial" w:cs="Arial"/>
          <w:lang w:val="en-ZW"/>
        </w:rPr>
        <w:t>elaboration of a regional accreditation collaboration framework comprising existing Accreditation Bodies that would utilize a pool of trained accreditation assessors in each Member State. This would result in affordable accreditation across the region but as well as ensuring greater access to accreditation services by a wider cross-section of the regional economy (regulators, private sector, academic and research institutions</w:t>
      </w:r>
      <w:bookmarkEnd w:id="19"/>
      <w:r w:rsidRPr="00236C4E">
        <w:rPr>
          <w:rFonts w:ascii="Arial" w:hAnsi="Arial" w:cs="Arial"/>
          <w:lang w:val="en-ZW"/>
        </w:rPr>
        <w:t>). Successful implementation of the Framework hinges on capacity building of regional technical/lead assessors in key identified scopes and establishment of a database of Regional but country-based ‘</w:t>
      </w:r>
      <w:r w:rsidRPr="00236C4E">
        <w:rPr>
          <w:rFonts w:ascii="Arial" w:hAnsi="Arial" w:cs="Arial"/>
          <w:b/>
          <w:bCs/>
          <w:i/>
          <w:iCs/>
          <w:lang w:val="en-ZW"/>
        </w:rPr>
        <w:t>’corps’’</w:t>
      </w:r>
      <w:r w:rsidRPr="00236C4E">
        <w:rPr>
          <w:rFonts w:ascii="Arial" w:hAnsi="Arial" w:cs="Arial"/>
          <w:lang w:val="en-ZW"/>
        </w:rPr>
        <w:t xml:space="preserve"> of assessors available for sharing and access amongst the 5 ABs. </w:t>
      </w:r>
    </w:p>
    <w:p w14:paraId="38C10498" w14:textId="77777777" w:rsidR="00236C4E" w:rsidRPr="00236C4E" w:rsidRDefault="00236C4E" w:rsidP="00236C4E">
      <w:pPr>
        <w:contextualSpacing/>
        <w:jc w:val="both"/>
        <w:rPr>
          <w:rFonts w:ascii="Arial" w:hAnsi="Arial" w:cs="Arial"/>
          <w:lang w:val="en-ZW"/>
        </w:rPr>
      </w:pPr>
    </w:p>
    <w:p w14:paraId="5FDA1B5A" w14:textId="77777777" w:rsidR="00236C4E" w:rsidRPr="00236C4E" w:rsidRDefault="00236C4E" w:rsidP="00236C4E">
      <w:pPr>
        <w:contextualSpacing/>
        <w:jc w:val="both"/>
        <w:rPr>
          <w:rFonts w:ascii="Arial" w:hAnsi="Arial" w:cs="Arial"/>
          <w:lang w:val="en-ZW"/>
        </w:rPr>
      </w:pPr>
      <w:r w:rsidRPr="00236C4E">
        <w:rPr>
          <w:rFonts w:ascii="Arial" w:hAnsi="Arial" w:cs="Arial"/>
          <w:lang w:val="en-ZW"/>
        </w:rPr>
        <w:t>The process for the establishment of the Regional Accreditation Collaboration Framework encompasses the following:</w:t>
      </w:r>
    </w:p>
    <w:p w14:paraId="4D582742" w14:textId="77777777" w:rsidR="00236C4E" w:rsidRPr="00236C4E" w:rsidRDefault="00236C4E" w:rsidP="00236C4E">
      <w:pPr>
        <w:ind w:left="720"/>
        <w:contextualSpacing/>
        <w:jc w:val="both"/>
        <w:rPr>
          <w:rFonts w:ascii="Arial" w:hAnsi="Arial" w:cs="Arial"/>
          <w:lang w:val="en-ZW"/>
        </w:rPr>
      </w:pPr>
      <w:r w:rsidRPr="00236C4E">
        <w:rPr>
          <w:rFonts w:ascii="Arial" w:hAnsi="Arial" w:cs="Arial"/>
          <w:lang w:val="en-ZW"/>
        </w:rPr>
        <w:tab/>
      </w:r>
    </w:p>
    <w:p w14:paraId="49E6E777" w14:textId="77777777" w:rsidR="00236C4E" w:rsidRPr="00236C4E" w:rsidRDefault="00236C4E" w:rsidP="00236C4E">
      <w:pPr>
        <w:numPr>
          <w:ilvl w:val="0"/>
          <w:numId w:val="26"/>
        </w:numPr>
        <w:spacing w:after="200" w:line="276" w:lineRule="auto"/>
        <w:contextualSpacing/>
        <w:jc w:val="both"/>
        <w:rPr>
          <w:rFonts w:ascii="Arial" w:hAnsi="Arial" w:cs="Arial"/>
          <w:lang w:val="en-ZW"/>
        </w:rPr>
      </w:pPr>
      <w:bookmarkStart w:id="20" w:name="_Hlk49709372"/>
      <w:r w:rsidRPr="00236C4E">
        <w:rPr>
          <w:rFonts w:ascii="Arial" w:hAnsi="Arial" w:cs="Arial"/>
          <w:lang w:val="en-ZW"/>
        </w:rPr>
        <w:t xml:space="preserve">Status assessment of the scope and competences of accreditation assessors in the COMESA Region </w:t>
      </w:r>
      <w:bookmarkEnd w:id="20"/>
      <w:r w:rsidRPr="00236C4E">
        <w:rPr>
          <w:rFonts w:ascii="Arial" w:hAnsi="Arial" w:cs="Arial"/>
          <w:lang w:val="en-ZW"/>
        </w:rPr>
        <w:t>vis-a-vie the required areas for accreditation services to inform capacity development of a pool of assessors to support the implementation of the regional accreditation collaboration framework.</w:t>
      </w:r>
    </w:p>
    <w:p w14:paraId="3A4AADED" w14:textId="77777777" w:rsidR="00236C4E" w:rsidRPr="00236C4E" w:rsidRDefault="00236C4E" w:rsidP="00236C4E">
      <w:pPr>
        <w:numPr>
          <w:ilvl w:val="0"/>
          <w:numId w:val="26"/>
        </w:numPr>
        <w:spacing w:after="200" w:line="276" w:lineRule="auto"/>
        <w:contextualSpacing/>
        <w:jc w:val="both"/>
        <w:rPr>
          <w:rFonts w:ascii="Arial" w:hAnsi="Arial" w:cs="Arial"/>
          <w:lang w:val="en-ZW"/>
        </w:rPr>
      </w:pPr>
      <w:r w:rsidRPr="00236C4E">
        <w:rPr>
          <w:rFonts w:ascii="Arial" w:hAnsi="Arial" w:cs="Arial"/>
          <w:lang w:val="en-ZW"/>
        </w:rPr>
        <w:t xml:space="preserve">Round-Table Caucus Negotiations between the 5 COMESA Accreditation Bodies to discuss and agree on modalities for establishment of the COMESA Accreditation Collaboration and Operational Framework under the overall AFRAC framework </w:t>
      </w:r>
    </w:p>
    <w:p w14:paraId="5DFF33F0" w14:textId="77777777" w:rsidR="00236C4E" w:rsidRPr="00236C4E" w:rsidRDefault="00236C4E" w:rsidP="00236C4E">
      <w:pPr>
        <w:numPr>
          <w:ilvl w:val="0"/>
          <w:numId w:val="26"/>
        </w:numPr>
        <w:spacing w:after="200" w:line="276" w:lineRule="auto"/>
        <w:contextualSpacing/>
        <w:jc w:val="both"/>
        <w:rPr>
          <w:rFonts w:ascii="Arial" w:hAnsi="Arial" w:cs="Arial"/>
          <w:lang w:val="en-ZW"/>
        </w:rPr>
      </w:pPr>
      <w:r w:rsidRPr="00236C4E">
        <w:rPr>
          <w:rFonts w:ascii="Arial" w:hAnsi="Arial" w:cs="Arial"/>
          <w:lang w:val="en-ZW"/>
        </w:rPr>
        <w:t>Capacity development of a pool of accreditation assessors to match up to the accreditation needs of the region to support the implementation and sustainability of the regional accreditation collaboration framework</w:t>
      </w:r>
    </w:p>
    <w:p w14:paraId="22786C09" w14:textId="77777777" w:rsidR="00236C4E" w:rsidRPr="00236C4E" w:rsidRDefault="00236C4E" w:rsidP="00236C4E">
      <w:pPr>
        <w:ind w:left="720"/>
        <w:contextualSpacing/>
        <w:jc w:val="both"/>
        <w:rPr>
          <w:rFonts w:ascii="Arial" w:hAnsi="Arial" w:cs="Arial"/>
          <w:lang w:val="en-ZW"/>
        </w:rPr>
      </w:pPr>
    </w:p>
    <w:p w14:paraId="00D553B0" w14:textId="77777777" w:rsidR="00236C4E" w:rsidRPr="00236C4E" w:rsidRDefault="00236C4E" w:rsidP="00236C4E">
      <w:pPr>
        <w:contextualSpacing/>
        <w:jc w:val="both"/>
        <w:rPr>
          <w:rFonts w:ascii="Arial" w:hAnsi="Arial" w:cs="Arial"/>
          <w:lang w:val="en-ZW"/>
        </w:rPr>
      </w:pPr>
      <w:r w:rsidRPr="00236C4E">
        <w:rPr>
          <w:rFonts w:ascii="Arial" w:hAnsi="Arial" w:cs="Arial"/>
          <w:lang w:val="en-ZW"/>
        </w:rPr>
        <w:lastRenderedPageBreak/>
        <w:t xml:space="preserve">In this regard, it is imperative that activity (1) focusing on status assessment of the scope and competences of accreditation assessors in the COMESA Region be embarked upon immediately as subsequent activities hinge on its outcome/results. </w:t>
      </w:r>
    </w:p>
    <w:p w14:paraId="12F8462E" w14:textId="77777777" w:rsidR="00236C4E" w:rsidRPr="00236C4E" w:rsidRDefault="00236C4E" w:rsidP="00236C4E">
      <w:pPr>
        <w:jc w:val="both"/>
        <w:rPr>
          <w:rFonts w:ascii="Arial" w:hAnsi="Arial" w:cs="Arial"/>
          <w:lang w:val="en-GB"/>
        </w:rPr>
      </w:pPr>
    </w:p>
    <w:p w14:paraId="59A911E0" w14:textId="77777777" w:rsidR="00236C4E" w:rsidRPr="00236C4E" w:rsidRDefault="00236C4E" w:rsidP="00236C4E">
      <w:pPr>
        <w:jc w:val="both"/>
        <w:rPr>
          <w:rFonts w:ascii="Arial" w:hAnsi="Arial" w:cs="Arial"/>
          <w:lang w:val="en-GB"/>
        </w:rPr>
      </w:pPr>
    </w:p>
    <w:p w14:paraId="461FA870" w14:textId="77777777" w:rsidR="00236C4E" w:rsidRPr="00236C4E" w:rsidRDefault="00236C4E" w:rsidP="00236C4E">
      <w:pPr>
        <w:keepNext/>
        <w:keepLines/>
        <w:ind w:left="720" w:hanging="720"/>
        <w:outlineLvl w:val="0"/>
        <w:rPr>
          <w:rFonts w:ascii="Arial" w:eastAsia="Calibri" w:hAnsi="Arial" w:cs="Arial"/>
          <w:b/>
          <w:smallCaps/>
        </w:rPr>
      </w:pPr>
      <w:r w:rsidRPr="00236C4E">
        <w:rPr>
          <w:rFonts w:ascii="Arial" w:eastAsia="Calibri" w:hAnsi="Arial" w:cs="Arial"/>
          <w:b/>
          <w:smallCaps/>
        </w:rPr>
        <w:t xml:space="preserve"> OBJECTIVES OF THE ASSIGNMENT </w:t>
      </w:r>
    </w:p>
    <w:p w14:paraId="478D9B9E" w14:textId="77777777" w:rsidR="00236C4E" w:rsidRPr="00236C4E" w:rsidRDefault="00236C4E" w:rsidP="00236C4E">
      <w:pPr>
        <w:rPr>
          <w:rFonts w:ascii="Arial" w:hAnsi="Arial" w:cs="Arial"/>
          <w:lang w:val="en-GB"/>
        </w:rPr>
      </w:pPr>
    </w:p>
    <w:p w14:paraId="1E97C874" w14:textId="77777777" w:rsidR="00236C4E" w:rsidRPr="00236C4E" w:rsidRDefault="00236C4E" w:rsidP="00236C4E">
      <w:pPr>
        <w:rPr>
          <w:rFonts w:ascii="Arial" w:hAnsi="Arial" w:cs="Arial"/>
          <w:b/>
          <w:lang w:val="en-GB"/>
        </w:rPr>
      </w:pPr>
      <w:r w:rsidRPr="00236C4E">
        <w:rPr>
          <w:rFonts w:ascii="Arial" w:hAnsi="Arial" w:cs="Arial"/>
          <w:b/>
          <w:lang w:val="en-GB"/>
        </w:rPr>
        <w:t xml:space="preserve">2.1 Objective and scope of the consultancy </w:t>
      </w:r>
    </w:p>
    <w:p w14:paraId="3FF1CBA1" w14:textId="77777777" w:rsidR="00236C4E" w:rsidRPr="00236C4E" w:rsidRDefault="00236C4E" w:rsidP="00236C4E">
      <w:pPr>
        <w:contextualSpacing/>
        <w:jc w:val="both"/>
        <w:rPr>
          <w:rFonts w:ascii="Arial" w:hAnsi="Arial" w:cs="Arial"/>
          <w:sz w:val="22"/>
          <w:szCs w:val="22"/>
          <w:lang w:val="en-ZA"/>
        </w:rPr>
      </w:pPr>
    </w:p>
    <w:p w14:paraId="3A1DAFE3" w14:textId="77777777" w:rsidR="00236C4E" w:rsidRPr="00236C4E" w:rsidRDefault="00236C4E" w:rsidP="00236C4E">
      <w:pPr>
        <w:numPr>
          <w:ilvl w:val="0"/>
          <w:numId w:val="27"/>
        </w:numPr>
        <w:ind w:left="714" w:hanging="357"/>
        <w:rPr>
          <w:rFonts w:ascii="Arial" w:hAnsi="Arial" w:cs="Arial"/>
          <w:lang w:val="en-ZA" w:eastAsia="x-none"/>
        </w:rPr>
      </w:pPr>
      <w:bookmarkStart w:id="21" w:name="_Hlk32913928"/>
      <w:bookmarkStart w:id="22" w:name="_Hlk33440219"/>
      <w:r w:rsidRPr="00236C4E">
        <w:rPr>
          <w:rFonts w:ascii="Arial" w:hAnsi="Arial" w:cs="Arial"/>
          <w:lang w:val="en-ZA"/>
        </w:rPr>
        <w:t>Carry-out gap assessment of the numbers, scope/field and competences of existing accreditation assessors and</w:t>
      </w:r>
      <w:r w:rsidRPr="00236C4E">
        <w:rPr>
          <w:lang w:val="en-GB"/>
        </w:rPr>
        <w:t xml:space="preserve"> </w:t>
      </w:r>
      <w:r w:rsidRPr="00236C4E">
        <w:rPr>
          <w:rFonts w:ascii="Arial" w:hAnsi="Arial" w:cs="Arial"/>
          <w:lang w:val="en-ZA"/>
        </w:rPr>
        <w:t xml:space="preserve">peer evaluators in the COMESA Region, </w:t>
      </w:r>
      <w:r w:rsidRPr="00236C4E">
        <w:rPr>
          <w:rFonts w:ascii="Arial" w:hAnsi="Arial" w:cs="Arial"/>
          <w:lang w:val="en-ZA" w:eastAsia="x-none"/>
        </w:rPr>
        <w:t xml:space="preserve">including their registration details/requirements.  </w:t>
      </w:r>
    </w:p>
    <w:p w14:paraId="1FF16D7C" w14:textId="77777777" w:rsidR="00236C4E" w:rsidRPr="00236C4E" w:rsidRDefault="00236C4E" w:rsidP="00236C4E">
      <w:pPr>
        <w:numPr>
          <w:ilvl w:val="0"/>
          <w:numId w:val="27"/>
        </w:numPr>
        <w:ind w:left="714" w:hanging="357"/>
        <w:contextualSpacing/>
        <w:jc w:val="both"/>
        <w:rPr>
          <w:rFonts w:ascii="Arial" w:hAnsi="Arial" w:cs="Arial"/>
          <w:sz w:val="22"/>
          <w:szCs w:val="22"/>
          <w:lang w:val="en-ZA"/>
        </w:rPr>
      </w:pPr>
      <w:r w:rsidRPr="00236C4E">
        <w:rPr>
          <w:rFonts w:ascii="Arial" w:hAnsi="Arial" w:cs="Arial"/>
          <w:sz w:val="22"/>
          <w:szCs w:val="22"/>
          <w:lang w:val="en-ZA"/>
        </w:rPr>
        <w:t xml:space="preserve">Undertake an inventory of institutions/organisations where assessors are currently based/housed (public; semi-public; private sector; consultancy; research/academia etc) </w:t>
      </w:r>
    </w:p>
    <w:p w14:paraId="0C01F59B" w14:textId="77777777" w:rsidR="00236C4E" w:rsidRPr="00236C4E" w:rsidRDefault="00236C4E" w:rsidP="00236C4E">
      <w:pPr>
        <w:numPr>
          <w:ilvl w:val="0"/>
          <w:numId w:val="27"/>
        </w:numPr>
        <w:ind w:left="714" w:hanging="357"/>
        <w:contextualSpacing/>
        <w:jc w:val="both"/>
        <w:rPr>
          <w:rFonts w:ascii="Arial" w:hAnsi="Arial" w:cs="Arial"/>
          <w:sz w:val="22"/>
          <w:szCs w:val="22"/>
          <w:lang w:val="en-ZA"/>
        </w:rPr>
      </w:pPr>
      <w:r w:rsidRPr="00236C4E">
        <w:rPr>
          <w:rFonts w:ascii="Arial" w:hAnsi="Arial" w:cs="Arial"/>
          <w:sz w:val="22"/>
          <w:szCs w:val="22"/>
          <w:lang w:val="en-ZA"/>
        </w:rPr>
        <w:t>Establish regional capacity building requirements/needs to cover the gap</w:t>
      </w:r>
    </w:p>
    <w:p w14:paraId="423800B1" w14:textId="77777777" w:rsidR="00236C4E" w:rsidRPr="00236C4E" w:rsidRDefault="00236C4E" w:rsidP="00236C4E">
      <w:pPr>
        <w:numPr>
          <w:ilvl w:val="0"/>
          <w:numId w:val="27"/>
        </w:numPr>
        <w:ind w:left="714" w:hanging="357"/>
        <w:contextualSpacing/>
        <w:jc w:val="both"/>
        <w:rPr>
          <w:rFonts w:ascii="Arial" w:hAnsi="Arial" w:cs="Arial"/>
          <w:sz w:val="22"/>
          <w:szCs w:val="22"/>
          <w:lang w:val="en-ZA"/>
        </w:rPr>
      </w:pPr>
      <w:r w:rsidRPr="00236C4E">
        <w:rPr>
          <w:rFonts w:ascii="Arial" w:hAnsi="Arial" w:cs="Arial"/>
          <w:sz w:val="22"/>
          <w:szCs w:val="22"/>
          <w:lang w:val="en-ZA"/>
        </w:rPr>
        <w:t>Facilitate a regional validation workshop on the gap assessment results and needs/requirements matrix</w:t>
      </w:r>
    </w:p>
    <w:p w14:paraId="797F67C8" w14:textId="77777777" w:rsidR="00236C4E" w:rsidRPr="00236C4E" w:rsidRDefault="00236C4E" w:rsidP="00236C4E">
      <w:pPr>
        <w:numPr>
          <w:ilvl w:val="0"/>
          <w:numId w:val="27"/>
        </w:numPr>
        <w:ind w:left="714" w:hanging="357"/>
        <w:contextualSpacing/>
        <w:jc w:val="both"/>
        <w:rPr>
          <w:rFonts w:ascii="Arial" w:hAnsi="Arial" w:cs="Arial"/>
          <w:sz w:val="22"/>
          <w:szCs w:val="22"/>
          <w:lang w:val="en-ZA"/>
        </w:rPr>
      </w:pPr>
      <w:r w:rsidRPr="00236C4E">
        <w:rPr>
          <w:rFonts w:ascii="Arial" w:hAnsi="Arial" w:cs="Arial"/>
          <w:sz w:val="22"/>
          <w:szCs w:val="22"/>
          <w:lang w:val="en-ZA"/>
        </w:rPr>
        <w:t>Prepare final report</w:t>
      </w:r>
    </w:p>
    <w:bookmarkEnd w:id="21"/>
    <w:bookmarkEnd w:id="22"/>
    <w:p w14:paraId="27BD498F" w14:textId="77777777" w:rsidR="00236C4E" w:rsidRPr="00236C4E" w:rsidRDefault="00236C4E" w:rsidP="00236C4E">
      <w:pPr>
        <w:spacing w:line="360" w:lineRule="auto"/>
        <w:ind w:left="720"/>
        <w:contextualSpacing/>
        <w:jc w:val="both"/>
        <w:rPr>
          <w:rFonts w:ascii="Arial" w:hAnsi="Arial" w:cs="Arial"/>
          <w:sz w:val="22"/>
          <w:szCs w:val="22"/>
          <w:lang w:val="en-ZA"/>
        </w:rPr>
      </w:pPr>
    </w:p>
    <w:p w14:paraId="23BBCDFD" w14:textId="77777777" w:rsidR="00236C4E" w:rsidRPr="00236C4E" w:rsidRDefault="00236C4E" w:rsidP="00236C4E">
      <w:pPr>
        <w:spacing w:line="360" w:lineRule="auto"/>
        <w:jc w:val="both"/>
        <w:rPr>
          <w:rFonts w:ascii="Arial" w:hAnsi="Arial" w:cs="Arial"/>
          <w:b/>
          <w:lang w:val="en-GB"/>
        </w:rPr>
      </w:pPr>
      <w:r w:rsidRPr="00236C4E">
        <w:rPr>
          <w:rFonts w:ascii="Arial" w:hAnsi="Arial" w:cs="Arial"/>
          <w:b/>
          <w:lang w:val="en-GB"/>
        </w:rPr>
        <w:t>2.2. Deliverables</w:t>
      </w:r>
    </w:p>
    <w:p w14:paraId="76DA30FB" w14:textId="77777777" w:rsidR="00236C4E" w:rsidRPr="00236C4E" w:rsidRDefault="00236C4E" w:rsidP="00236C4E">
      <w:pPr>
        <w:numPr>
          <w:ilvl w:val="0"/>
          <w:numId w:val="28"/>
        </w:numPr>
        <w:spacing w:line="276" w:lineRule="auto"/>
        <w:contextualSpacing/>
        <w:jc w:val="both"/>
        <w:rPr>
          <w:rFonts w:ascii="Arial" w:hAnsi="Arial" w:cs="Arial"/>
          <w:sz w:val="22"/>
          <w:szCs w:val="22"/>
          <w:lang w:val="en-ZA"/>
        </w:rPr>
      </w:pPr>
      <w:r w:rsidRPr="00236C4E">
        <w:rPr>
          <w:rFonts w:ascii="Arial" w:hAnsi="Arial" w:cs="Arial"/>
          <w:sz w:val="22"/>
          <w:szCs w:val="22"/>
          <w:lang w:val="en-ZA"/>
        </w:rPr>
        <w:t xml:space="preserve">Inception report, incorporating the methodology and draft work-plan to undertake the assignment; </w:t>
      </w:r>
    </w:p>
    <w:p w14:paraId="2B9617BA" w14:textId="77777777" w:rsidR="00236C4E" w:rsidRPr="00236C4E" w:rsidRDefault="00236C4E" w:rsidP="00236C4E">
      <w:pPr>
        <w:numPr>
          <w:ilvl w:val="0"/>
          <w:numId w:val="28"/>
        </w:numPr>
        <w:spacing w:line="276" w:lineRule="auto"/>
        <w:contextualSpacing/>
        <w:jc w:val="both"/>
        <w:rPr>
          <w:rFonts w:ascii="Arial" w:hAnsi="Arial" w:cs="Arial"/>
          <w:sz w:val="22"/>
          <w:szCs w:val="22"/>
          <w:lang w:val="en-ZA"/>
        </w:rPr>
      </w:pPr>
      <w:r w:rsidRPr="00236C4E">
        <w:rPr>
          <w:rFonts w:ascii="Arial" w:hAnsi="Arial" w:cs="Arial"/>
          <w:sz w:val="22"/>
          <w:szCs w:val="22"/>
          <w:lang w:val="en-ZA"/>
        </w:rPr>
        <w:t xml:space="preserve">Evaluation matrix on the regional gap assessment results and capacity building requirements/needs </w:t>
      </w:r>
    </w:p>
    <w:p w14:paraId="38190EDE" w14:textId="77777777" w:rsidR="00236C4E" w:rsidRPr="00236C4E" w:rsidRDefault="00236C4E" w:rsidP="00236C4E">
      <w:pPr>
        <w:numPr>
          <w:ilvl w:val="0"/>
          <w:numId w:val="28"/>
        </w:numPr>
        <w:spacing w:line="276" w:lineRule="auto"/>
        <w:jc w:val="both"/>
        <w:rPr>
          <w:rFonts w:ascii="Arial" w:hAnsi="Arial" w:cs="Arial"/>
          <w:lang w:val="en-ZA"/>
        </w:rPr>
      </w:pPr>
      <w:r w:rsidRPr="00236C4E">
        <w:rPr>
          <w:rFonts w:ascii="Arial" w:hAnsi="Arial" w:cs="Arial"/>
          <w:lang w:val="en-ZA"/>
        </w:rPr>
        <w:t xml:space="preserve">Inventory of </w:t>
      </w:r>
      <w:r w:rsidRPr="00236C4E">
        <w:rPr>
          <w:rFonts w:ascii="Arial" w:hAnsi="Arial" w:cs="Arial"/>
          <w:lang w:val="en-ZA" w:eastAsia="x-none"/>
        </w:rPr>
        <w:t xml:space="preserve">institutions and organisations where assessors are currently based </w:t>
      </w:r>
    </w:p>
    <w:p w14:paraId="345C1B63" w14:textId="77777777" w:rsidR="00236C4E" w:rsidRPr="00236C4E" w:rsidRDefault="00236C4E" w:rsidP="00236C4E">
      <w:pPr>
        <w:numPr>
          <w:ilvl w:val="0"/>
          <w:numId w:val="28"/>
        </w:numPr>
        <w:spacing w:line="276" w:lineRule="auto"/>
        <w:rPr>
          <w:rFonts w:ascii="Arial" w:hAnsi="Arial" w:cs="Arial"/>
          <w:lang w:val="en-ZA" w:eastAsia="x-none"/>
        </w:rPr>
      </w:pPr>
      <w:r w:rsidRPr="00236C4E">
        <w:rPr>
          <w:rFonts w:ascii="Arial" w:hAnsi="Arial" w:cs="Arial"/>
          <w:lang w:val="en-ZA" w:eastAsia="x-none"/>
        </w:rPr>
        <w:t>Draft report and facilitation of a Regional validation workshop on the gap assessment results and needs/requirements</w:t>
      </w:r>
    </w:p>
    <w:p w14:paraId="4C937C68" w14:textId="77777777" w:rsidR="00236C4E" w:rsidRPr="00236C4E" w:rsidRDefault="00236C4E" w:rsidP="00236C4E">
      <w:pPr>
        <w:numPr>
          <w:ilvl w:val="0"/>
          <w:numId w:val="28"/>
        </w:numPr>
        <w:spacing w:line="276" w:lineRule="auto"/>
        <w:rPr>
          <w:rFonts w:ascii="Arial" w:hAnsi="Arial" w:cs="Arial"/>
          <w:lang w:val="en-ZA" w:eastAsia="x-none"/>
        </w:rPr>
      </w:pPr>
      <w:r w:rsidRPr="00236C4E">
        <w:rPr>
          <w:rFonts w:ascii="Arial" w:hAnsi="Arial" w:cs="Arial"/>
          <w:lang w:val="en-ZA" w:eastAsia="x-none"/>
        </w:rPr>
        <w:t>Final report</w:t>
      </w:r>
    </w:p>
    <w:p w14:paraId="51187AA5" w14:textId="77777777" w:rsidR="00236C4E" w:rsidRPr="00236C4E" w:rsidRDefault="00236C4E" w:rsidP="00236C4E">
      <w:pPr>
        <w:overflowPunct w:val="0"/>
        <w:autoSpaceDE w:val="0"/>
        <w:autoSpaceDN w:val="0"/>
        <w:adjustRightInd w:val="0"/>
        <w:spacing w:after="120"/>
        <w:ind w:left="360"/>
        <w:jc w:val="both"/>
        <w:textAlignment w:val="baseline"/>
        <w:rPr>
          <w:rFonts w:ascii="Arial" w:eastAsia="Calibri" w:hAnsi="Arial" w:cs="Arial"/>
          <w:lang w:val="en-GB"/>
        </w:rPr>
      </w:pPr>
    </w:p>
    <w:p w14:paraId="3325F61E" w14:textId="77777777" w:rsidR="00236C4E" w:rsidRPr="00236C4E" w:rsidRDefault="00236C4E" w:rsidP="00236C4E">
      <w:pPr>
        <w:keepNext/>
        <w:keepLines/>
        <w:ind w:left="720" w:hanging="720"/>
        <w:outlineLvl w:val="0"/>
        <w:rPr>
          <w:rFonts w:ascii="Arial" w:eastAsia="Calibri" w:hAnsi="Arial" w:cs="Arial"/>
          <w:b/>
          <w:smallCaps/>
        </w:rPr>
      </w:pPr>
      <w:r w:rsidRPr="00236C4E">
        <w:rPr>
          <w:rFonts w:ascii="Arial" w:eastAsia="Calibri" w:hAnsi="Arial" w:cs="Arial"/>
          <w:b/>
          <w:smallCaps/>
        </w:rPr>
        <w:t>EXPERT REQUIRED</w:t>
      </w:r>
    </w:p>
    <w:p w14:paraId="525F9F22" w14:textId="77777777" w:rsidR="00236C4E" w:rsidRPr="00236C4E" w:rsidRDefault="00236C4E" w:rsidP="00236C4E">
      <w:pPr>
        <w:rPr>
          <w:rFonts w:ascii="Arial" w:hAnsi="Arial" w:cs="Arial"/>
        </w:rPr>
      </w:pPr>
    </w:p>
    <w:p w14:paraId="3968CB12" w14:textId="77777777" w:rsidR="00236C4E" w:rsidRPr="00236C4E" w:rsidRDefault="00236C4E" w:rsidP="00236C4E">
      <w:pPr>
        <w:spacing w:line="360" w:lineRule="auto"/>
        <w:jc w:val="both"/>
        <w:rPr>
          <w:rFonts w:ascii="Arial" w:hAnsi="Arial" w:cs="Arial"/>
          <w:b/>
          <w:lang w:val="en-GB"/>
        </w:rPr>
      </w:pPr>
      <w:r w:rsidRPr="00236C4E">
        <w:rPr>
          <w:rFonts w:ascii="Arial" w:hAnsi="Arial" w:cs="Arial"/>
          <w:b/>
          <w:lang w:val="en-GB"/>
        </w:rPr>
        <w:t xml:space="preserve">Qualifications and skills </w:t>
      </w:r>
    </w:p>
    <w:p w14:paraId="044344B7" w14:textId="77777777" w:rsidR="00236C4E" w:rsidRPr="00236C4E" w:rsidRDefault="00236C4E" w:rsidP="00236C4E">
      <w:pPr>
        <w:numPr>
          <w:ilvl w:val="0"/>
          <w:numId w:val="29"/>
        </w:numPr>
        <w:spacing w:before="120" w:after="120" w:line="276" w:lineRule="auto"/>
        <w:ind w:left="714" w:hanging="357"/>
        <w:rPr>
          <w:rFonts w:ascii="Arial" w:hAnsi="Arial" w:cs="Arial"/>
          <w:lang w:val="en-ZA" w:eastAsia="x-none"/>
        </w:rPr>
      </w:pPr>
      <w:r w:rsidRPr="00236C4E">
        <w:rPr>
          <w:rFonts w:ascii="Arial" w:hAnsi="Arial" w:cs="Arial"/>
          <w:lang w:val="en-ZA" w:eastAsia="x-none"/>
        </w:rPr>
        <w:t xml:space="preserve">A university degree in a field of natural/physical sciences, engineering or economics </w:t>
      </w:r>
    </w:p>
    <w:p w14:paraId="23AFC56C" w14:textId="77777777" w:rsidR="00236C4E" w:rsidRPr="00236C4E" w:rsidRDefault="00236C4E" w:rsidP="00236C4E">
      <w:pPr>
        <w:numPr>
          <w:ilvl w:val="0"/>
          <w:numId w:val="29"/>
        </w:numPr>
        <w:spacing w:before="120" w:after="120" w:line="276" w:lineRule="auto"/>
        <w:ind w:left="714" w:hanging="357"/>
        <w:rPr>
          <w:rFonts w:ascii="Arial" w:hAnsi="Arial" w:cs="Arial"/>
          <w:lang w:val="en-ZA" w:eastAsia="x-none"/>
        </w:rPr>
      </w:pPr>
      <w:r w:rsidRPr="00236C4E">
        <w:rPr>
          <w:rFonts w:ascii="Arial" w:hAnsi="Arial" w:cs="Arial"/>
          <w:lang w:val="en-ZA" w:eastAsia="x-none"/>
        </w:rPr>
        <w:t>Relevant post-graduate degree would be an added advantage</w:t>
      </w:r>
    </w:p>
    <w:p w14:paraId="293588C4" w14:textId="77777777" w:rsidR="00236C4E" w:rsidRPr="00236C4E" w:rsidRDefault="00236C4E" w:rsidP="00236C4E">
      <w:pPr>
        <w:numPr>
          <w:ilvl w:val="0"/>
          <w:numId w:val="29"/>
        </w:numPr>
        <w:spacing w:before="120" w:after="120" w:line="276" w:lineRule="auto"/>
        <w:ind w:left="714" w:hanging="357"/>
        <w:jc w:val="both"/>
        <w:rPr>
          <w:rFonts w:ascii="Arial" w:hAnsi="Arial" w:cs="Arial"/>
          <w:lang w:val="en-ZA" w:eastAsia="x-none"/>
        </w:rPr>
      </w:pPr>
      <w:r w:rsidRPr="00236C4E">
        <w:rPr>
          <w:rFonts w:ascii="Arial" w:hAnsi="Arial" w:cs="Arial"/>
          <w:lang w:val="en-ZA" w:eastAsia="x-none"/>
        </w:rPr>
        <w:t xml:space="preserve">At least ten (10) years’ experience working in a national/regional accreditation body at a senior/management level </w:t>
      </w:r>
    </w:p>
    <w:p w14:paraId="05CC9A74" w14:textId="77777777" w:rsidR="00236C4E" w:rsidRPr="00236C4E" w:rsidRDefault="00236C4E" w:rsidP="00236C4E">
      <w:pPr>
        <w:numPr>
          <w:ilvl w:val="0"/>
          <w:numId w:val="29"/>
        </w:numPr>
        <w:spacing w:before="120" w:after="120" w:line="276" w:lineRule="auto"/>
        <w:jc w:val="both"/>
        <w:rPr>
          <w:rFonts w:ascii="Arial" w:hAnsi="Arial" w:cs="Arial"/>
          <w:lang w:val="en-ZA" w:eastAsia="x-none"/>
        </w:rPr>
      </w:pPr>
      <w:r w:rsidRPr="00236C4E">
        <w:rPr>
          <w:rFonts w:ascii="Arial" w:hAnsi="Arial" w:cs="Arial"/>
          <w:lang w:val="en-ZA" w:eastAsia="x-none"/>
        </w:rPr>
        <w:t xml:space="preserve">Registered accreditation assessor </w:t>
      </w:r>
    </w:p>
    <w:p w14:paraId="154E000D" w14:textId="77777777" w:rsidR="00236C4E" w:rsidRPr="00236C4E" w:rsidRDefault="00236C4E" w:rsidP="00236C4E">
      <w:pPr>
        <w:numPr>
          <w:ilvl w:val="0"/>
          <w:numId w:val="29"/>
        </w:numPr>
        <w:spacing w:before="120" w:after="120" w:line="276" w:lineRule="auto"/>
        <w:jc w:val="both"/>
        <w:rPr>
          <w:rFonts w:ascii="Arial" w:hAnsi="Arial" w:cs="Arial"/>
          <w:lang w:val="en-ZA" w:eastAsia="x-none"/>
        </w:rPr>
      </w:pPr>
      <w:r w:rsidRPr="00236C4E">
        <w:rPr>
          <w:rFonts w:ascii="Arial" w:hAnsi="Arial" w:cs="Arial"/>
          <w:lang w:val="en-ZA" w:eastAsia="x-none"/>
        </w:rPr>
        <w:t>Strong participation and leadership in regional and/or international accreditation fora</w:t>
      </w:r>
    </w:p>
    <w:p w14:paraId="6C64B721" w14:textId="77777777" w:rsidR="00236C4E" w:rsidRPr="00236C4E" w:rsidRDefault="00236C4E" w:rsidP="00236C4E">
      <w:pPr>
        <w:numPr>
          <w:ilvl w:val="0"/>
          <w:numId w:val="29"/>
        </w:numPr>
        <w:spacing w:before="120" w:after="120" w:line="276" w:lineRule="auto"/>
        <w:contextualSpacing/>
        <w:jc w:val="both"/>
        <w:rPr>
          <w:rFonts w:ascii="Arial" w:hAnsi="Arial" w:cs="Arial"/>
          <w:sz w:val="22"/>
          <w:szCs w:val="22"/>
          <w:lang w:val="en-ZA"/>
        </w:rPr>
      </w:pPr>
      <w:r w:rsidRPr="00236C4E">
        <w:rPr>
          <w:rFonts w:ascii="Arial" w:hAnsi="Arial" w:cs="Arial"/>
          <w:sz w:val="22"/>
          <w:szCs w:val="22"/>
          <w:lang w:val="en-ZA"/>
        </w:rPr>
        <w:t>Sound knowledge of the WTO TBT Agreement</w:t>
      </w:r>
    </w:p>
    <w:p w14:paraId="6ED266F8" w14:textId="77777777" w:rsidR="00236C4E" w:rsidRPr="00236C4E" w:rsidRDefault="00236C4E" w:rsidP="00236C4E">
      <w:pPr>
        <w:numPr>
          <w:ilvl w:val="0"/>
          <w:numId w:val="29"/>
        </w:numPr>
        <w:spacing w:before="120" w:after="120" w:line="276" w:lineRule="auto"/>
        <w:contextualSpacing/>
        <w:jc w:val="both"/>
        <w:rPr>
          <w:rFonts w:ascii="Arial" w:hAnsi="Arial" w:cs="Arial"/>
          <w:sz w:val="22"/>
          <w:szCs w:val="22"/>
          <w:lang w:val="en-ZA"/>
        </w:rPr>
      </w:pPr>
      <w:r w:rsidRPr="00236C4E">
        <w:rPr>
          <w:rFonts w:ascii="Arial" w:hAnsi="Arial" w:cs="Arial"/>
          <w:sz w:val="22"/>
          <w:szCs w:val="22"/>
          <w:lang w:val="en-ZA"/>
        </w:rPr>
        <w:t>Knowledge of the COMESA region and familiarity with regional trade issues</w:t>
      </w:r>
    </w:p>
    <w:p w14:paraId="18C52D36" w14:textId="77777777" w:rsidR="00236C4E" w:rsidRPr="00236C4E" w:rsidRDefault="00236C4E" w:rsidP="00236C4E">
      <w:pPr>
        <w:jc w:val="both"/>
        <w:rPr>
          <w:rFonts w:ascii="Arial" w:hAnsi="Arial" w:cs="Arial"/>
          <w:b/>
          <w:bCs/>
          <w:lang w:val="en-GB"/>
        </w:rPr>
      </w:pPr>
      <w:r w:rsidRPr="00236C4E">
        <w:rPr>
          <w:rFonts w:ascii="Arial" w:hAnsi="Arial" w:cs="Arial"/>
          <w:lang w:val="en-GB"/>
        </w:rPr>
        <w:lastRenderedPageBreak/>
        <w:t xml:space="preserve">   </w:t>
      </w:r>
    </w:p>
    <w:p w14:paraId="5F64207F" w14:textId="77777777" w:rsidR="00236C4E" w:rsidRPr="00236C4E" w:rsidRDefault="00236C4E" w:rsidP="00236C4E">
      <w:pPr>
        <w:keepNext/>
        <w:keepLines/>
        <w:ind w:left="720" w:hanging="720"/>
        <w:outlineLvl w:val="0"/>
        <w:rPr>
          <w:rFonts w:ascii="Arial" w:eastAsia="Calibri" w:hAnsi="Arial" w:cs="Arial"/>
          <w:b/>
          <w:smallCaps/>
        </w:rPr>
      </w:pPr>
      <w:r w:rsidRPr="00236C4E">
        <w:rPr>
          <w:rFonts w:ascii="Arial" w:eastAsia="Calibri" w:hAnsi="Arial" w:cs="Arial"/>
          <w:b/>
          <w:smallCaps/>
        </w:rPr>
        <w:t>SUPERVISION AND REPORTING:</w:t>
      </w:r>
    </w:p>
    <w:p w14:paraId="1F3F849A" w14:textId="77777777" w:rsidR="00236C4E" w:rsidRPr="00236C4E" w:rsidRDefault="00236C4E" w:rsidP="00236C4E">
      <w:pPr>
        <w:rPr>
          <w:rFonts w:ascii="Arial" w:hAnsi="Arial" w:cs="Arial"/>
        </w:rPr>
      </w:pPr>
    </w:p>
    <w:p w14:paraId="62CEC0F7" w14:textId="77777777" w:rsidR="00236C4E" w:rsidRPr="00236C4E" w:rsidRDefault="00236C4E" w:rsidP="00236C4E">
      <w:pPr>
        <w:rPr>
          <w:rFonts w:ascii="Arial" w:hAnsi="Arial" w:cs="Arial"/>
          <w:lang w:val="en-GB"/>
        </w:rPr>
      </w:pPr>
      <w:r w:rsidRPr="00236C4E">
        <w:rPr>
          <w:rFonts w:ascii="Arial" w:hAnsi="Arial" w:cs="Arial"/>
          <w:sz w:val="22"/>
          <w:szCs w:val="22"/>
          <w:lang w:val="en-ZA"/>
        </w:rPr>
        <w:t>The regional consultant will work closely with the COMESA TBT Expert, the Trade Facilitation Team Leader and Member States Institutions/Organisations responsible for accreditation and report to the Director for Industry and Agriculture at the Secretariat</w:t>
      </w:r>
    </w:p>
    <w:p w14:paraId="30CDA656" w14:textId="77777777" w:rsidR="00236C4E" w:rsidRPr="00236C4E" w:rsidRDefault="00236C4E" w:rsidP="00236C4E">
      <w:pPr>
        <w:rPr>
          <w:rFonts w:ascii="Arial" w:hAnsi="Arial" w:cs="Arial"/>
          <w:lang w:val="en-GB"/>
        </w:rPr>
      </w:pPr>
    </w:p>
    <w:p w14:paraId="5C730C94" w14:textId="77777777" w:rsidR="00236C4E" w:rsidRPr="00236C4E" w:rsidRDefault="00236C4E" w:rsidP="00236C4E">
      <w:pPr>
        <w:rPr>
          <w:rFonts w:ascii="Arial" w:hAnsi="Arial" w:cs="Arial"/>
          <w:lang w:val="en-GB"/>
        </w:rPr>
      </w:pPr>
    </w:p>
    <w:p w14:paraId="44B673B7" w14:textId="77777777" w:rsidR="00236C4E" w:rsidRPr="00236C4E" w:rsidRDefault="00236C4E" w:rsidP="00236C4E">
      <w:pPr>
        <w:rPr>
          <w:rFonts w:ascii="Arial" w:eastAsia="Calibri" w:hAnsi="Arial" w:cs="Arial"/>
          <w:b/>
          <w:bCs/>
          <w:lang w:val="en-GB"/>
        </w:rPr>
      </w:pPr>
      <w:r w:rsidRPr="00236C4E">
        <w:rPr>
          <w:rFonts w:ascii="Arial" w:eastAsia="Calibri" w:hAnsi="Arial" w:cs="Arial"/>
          <w:b/>
          <w:bCs/>
          <w:lang w:val="en-GB"/>
        </w:rPr>
        <w:t>E.</w:t>
      </w:r>
      <w:r w:rsidRPr="00236C4E">
        <w:rPr>
          <w:rFonts w:ascii="Arial" w:eastAsia="Calibri" w:hAnsi="Arial" w:cs="Arial"/>
          <w:b/>
          <w:bCs/>
          <w:lang w:val="en-GB"/>
        </w:rPr>
        <w:tab/>
        <w:t>DELIVERABLES</w:t>
      </w:r>
    </w:p>
    <w:p w14:paraId="2682072D" w14:textId="77777777" w:rsidR="00236C4E" w:rsidRPr="00236C4E" w:rsidRDefault="00236C4E" w:rsidP="00236C4E">
      <w:pPr>
        <w:jc w:val="both"/>
        <w:rPr>
          <w:rFonts w:ascii="Arial" w:hAnsi="Arial" w:cs="Arial"/>
          <w:lang w:val="en-GB"/>
        </w:rPr>
      </w:pPr>
      <w:bookmarkStart w:id="23" w:name="_Hlk48311221"/>
    </w:p>
    <w:p w14:paraId="655A1F10" w14:textId="77777777" w:rsidR="00236C4E" w:rsidRPr="00236C4E" w:rsidRDefault="00236C4E" w:rsidP="00236C4E">
      <w:pPr>
        <w:jc w:val="both"/>
        <w:rPr>
          <w:rFonts w:ascii="Arial" w:hAnsi="Arial" w:cs="Arial"/>
          <w:lang w:val="en-GB"/>
        </w:rPr>
      </w:pPr>
      <w:r w:rsidRPr="00236C4E">
        <w:rPr>
          <w:rFonts w:ascii="Arial" w:hAnsi="Arial" w:cs="Arial"/>
          <w:lang w:val="en-GB"/>
        </w:rPr>
        <w:t xml:space="preserve">The </w:t>
      </w:r>
      <w:r w:rsidRPr="00236C4E">
        <w:rPr>
          <w:rFonts w:ascii="Arial" w:eastAsia="Batang" w:hAnsi="Arial" w:cs="Arial"/>
          <w:bCs/>
          <w:lang w:val="en-GB"/>
        </w:rPr>
        <w:t>consultant is</w:t>
      </w:r>
      <w:r w:rsidRPr="00236C4E">
        <w:rPr>
          <w:rFonts w:ascii="Arial" w:hAnsi="Arial" w:cs="Arial"/>
          <w:lang w:val="en-GB"/>
        </w:rPr>
        <w:t xml:space="preserve"> expected to carry out the following activities in order to deliver the expected results of the assignment: </w:t>
      </w:r>
    </w:p>
    <w:p w14:paraId="4D66A139" w14:textId="77777777" w:rsidR="00236C4E" w:rsidRPr="00236C4E" w:rsidRDefault="00236C4E" w:rsidP="00236C4E">
      <w:pPr>
        <w:jc w:val="both"/>
        <w:rPr>
          <w:rFonts w:ascii="Arial" w:hAnsi="Arial" w:cs="Arial"/>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4"/>
        <w:gridCol w:w="6211"/>
        <w:gridCol w:w="1654"/>
      </w:tblGrid>
      <w:tr w:rsidR="00236C4E" w:rsidRPr="00236C4E" w14:paraId="70504875" w14:textId="77777777" w:rsidTr="004343BC">
        <w:tc>
          <w:tcPr>
            <w:tcW w:w="817" w:type="dxa"/>
            <w:tcBorders>
              <w:top w:val="single" w:sz="4" w:space="0" w:color="FFFFFF"/>
              <w:left w:val="single" w:sz="4" w:space="0" w:color="FFFFFF"/>
              <w:right w:val="nil"/>
            </w:tcBorders>
            <w:shd w:val="clear" w:color="auto" w:fill="5B9BD5"/>
          </w:tcPr>
          <w:bookmarkEnd w:id="23"/>
          <w:p w14:paraId="7543DD92" w14:textId="77777777" w:rsidR="00236C4E" w:rsidRPr="00236C4E" w:rsidRDefault="00236C4E" w:rsidP="00236C4E">
            <w:pPr>
              <w:spacing w:line="360" w:lineRule="auto"/>
              <w:contextualSpacing/>
              <w:jc w:val="both"/>
              <w:rPr>
                <w:rFonts w:ascii="Arial" w:hAnsi="Arial" w:cs="Arial"/>
                <w:b/>
                <w:bCs/>
                <w:color w:val="FFFFFF"/>
                <w:lang w:val="en-GB" w:eastAsia="x-none"/>
              </w:rPr>
            </w:pPr>
            <w:r w:rsidRPr="00236C4E">
              <w:rPr>
                <w:rFonts w:ascii="Arial" w:hAnsi="Arial" w:cs="Arial"/>
                <w:b/>
                <w:bCs/>
                <w:color w:val="FFFFFF"/>
                <w:lang w:val="en-GB" w:eastAsia="x-none"/>
              </w:rPr>
              <w:t>No</w:t>
            </w:r>
          </w:p>
        </w:tc>
        <w:tc>
          <w:tcPr>
            <w:tcW w:w="6521" w:type="dxa"/>
            <w:tcBorders>
              <w:top w:val="single" w:sz="4" w:space="0" w:color="FFFFFF"/>
              <w:left w:val="nil"/>
              <w:right w:val="nil"/>
            </w:tcBorders>
            <w:shd w:val="clear" w:color="auto" w:fill="5B9BD5"/>
          </w:tcPr>
          <w:p w14:paraId="47983063" w14:textId="77777777" w:rsidR="00236C4E" w:rsidRPr="00236C4E" w:rsidRDefault="00236C4E" w:rsidP="00236C4E">
            <w:pPr>
              <w:spacing w:line="360" w:lineRule="auto"/>
              <w:contextualSpacing/>
              <w:jc w:val="both"/>
              <w:rPr>
                <w:rFonts w:ascii="Arial" w:hAnsi="Arial" w:cs="Arial"/>
                <w:b/>
                <w:bCs/>
                <w:color w:val="FFFFFF"/>
                <w:lang w:val="en-GB" w:eastAsia="x-none"/>
              </w:rPr>
            </w:pPr>
            <w:r w:rsidRPr="00236C4E">
              <w:rPr>
                <w:rFonts w:ascii="Arial" w:hAnsi="Arial" w:cs="Arial"/>
                <w:b/>
                <w:bCs/>
                <w:color w:val="FFFFFF"/>
                <w:lang w:val="en-GB" w:eastAsia="x-none"/>
              </w:rPr>
              <w:t>Description of Activities</w:t>
            </w:r>
          </w:p>
        </w:tc>
        <w:tc>
          <w:tcPr>
            <w:tcW w:w="1701" w:type="dxa"/>
            <w:tcBorders>
              <w:top w:val="single" w:sz="4" w:space="0" w:color="FFFFFF"/>
              <w:left w:val="nil"/>
              <w:right w:val="single" w:sz="4" w:space="0" w:color="FFFFFF"/>
            </w:tcBorders>
            <w:shd w:val="clear" w:color="auto" w:fill="5B9BD5"/>
          </w:tcPr>
          <w:p w14:paraId="348513AB" w14:textId="77777777" w:rsidR="00236C4E" w:rsidRPr="00236C4E" w:rsidRDefault="00236C4E" w:rsidP="00236C4E">
            <w:pPr>
              <w:spacing w:line="360" w:lineRule="auto"/>
              <w:contextualSpacing/>
              <w:jc w:val="both"/>
              <w:rPr>
                <w:rFonts w:ascii="Arial" w:hAnsi="Arial" w:cs="Arial"/>
                <w:b/>
                <w:bCs/>
                <w:color w:val="FFFFFF"/>
                <w:lang w:val="en-GB" w:eastAsia="x-none"/>
              </w:rPr>
            </w:pPr>
            <w:r w:rsidRPr="00236C4E">
              <w:rPr>
                <w:rFonts w:ascii="Arial" w:hAnsi="Arial" w:cs="Arial"/>
                <w:b/>
                <w:bCs/>
                <w:color w:val="FFFFFF"/>
                <w:lang w:val="en-GB" w:eastAsia="x-none"/>
              </w:rPr>
              <w:t>Number of days</w:t>
            </w:r>
          </w:p>
        </w:tc>
      </w:tr>
      <w:tr w:rsidR="00236C4E" w:rsidRPr="00236C4E" w14:paraId="4989C1C3" w14:textId="77777777" w:rsidTr="004343BC">
        <w:tc>
          <w:tcPr>
            <w:tcW w:w="817" w:type="dxa"/>
            <w:tcBorders>
              <w:left w:val="single" w:sz="4" w:space="0" w:color="FFFFFF"/>
            </w:tcBorders>
            <w:shd w:val="clear" w:color="auto" w:fill="5B9BD5"/>
          </w:tcPr>
          <w:p w14:paraId="52F89954" w14:textId="77777777" w:rsidR="00236C4E" w:rsidRPr="00236C4E" w:rsidRDefault="00236C4E" w:rsidP="00236C4E">
            <w:pPr>
              <w:spacing w:line="360" w:lineRule="auto"/>
              <w:contextualSpacing/>
              <w:jc w:val="both"/>
              <w:rPr>
                <w:rFonts w:ascii="Arial" w:hAnsi="Arial" w:cs="Arial"/>
                <w:color w:val="FFFFFF"/>
                <w:lang w:val="en-GB" w:eastAsia="x-none"/>
              </w:rPr>
            </w:pPr>
            <w:r w:rsidRPr="00236C4E">
              <w:rPr>
                <w:rFonts w:ascii="Arial" w:hAnsi="Arial" w:cs="Arial"/>
                <w:color w:val="FFFFFF"/>
                <w:lang w:val="en-GB" w:eastAsia="x-none"/>
              </w:rPr>
              <w:t>1</w:t>
            </w:r>
          </w:p>
        </w:tc>
        <w:tc>
          <w:tcPr>
            <w:tcW w:w="6521" w:type="dxa"/>
            <w:shd w:val="clear" w:color="auto" w:fill="BDD6EE"/>
          </w:tcPr>
          <w:p w14:paraId="261F09DA"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Inception Report</w:t>
            </w:r>
          </w:p>
        </w:tc>
        <w:tc>
          <w:tcPr>
            <w:tcW w:w="1701" w:type="dxa"/>
            <w:shd w:val="clear" w:color="auto" w:fill="BDD6EE"/>
          </w:tcPr>
          <w:p w14:paraId="0FC9BDF9"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5</w:t>
            </w:r>
          </w:p>
        </w:tc>
      </w:tr>
      <w:tr w:rsidR="00236C4E" w:rsidRPr="00236C4E" w14:paraId="3E588766" w14:textId="77777777" w:rsidTr="004343BC">
        <w:tc>
          <w:tcPr>
            <w:tcW w:w="817" w:type="dxa"/>
            <w:tcBorders>
              <w:left w:val="single" w:sz="4" w:space="0" w:color="FFFFFF"/>
            </w:tcBorders>
            <w:shd w:val="clear" w:color="auto" w:fill="5B9BD5"/>
          </w:tcPr>
          <w:p w14:paraId="44DB3A8B" w14:textId="77777777" w:rsidR="00236C4E" w:rsidRPr="00236C4E" w:rsidRDefault="00236C4E" w:rsidP="00236C4E">
            <w:pPr>
              <w:spacing w:line="360" w:lineRule="auto"/>
              <w:contextualSpacing/>
              <w:jc w:val="both"/>
              <w:rPr>
                <w:rFonts w:ascii="Arial" w:hAnsi="Arial" w:cs="Arial"/>
                <w:color w:val="FFFFFF"/>
                <w:lang w:val="en-GB" w:eastAsia="x-none"/>
              </w:rPr>
            </w:pPr>
            <w:r w:rsidRPr="00236C4E">
              <w:rPr>
                <w:rFonts w:ascii="Arial" w:hAnsi="Arial" w:cs="Arial"/>
                <w:color w:val="FFFFFF"/>
                <w:lang w:val="en-GB" w:eastAsia="x-none"/>
              </w:rPr>
              <w:t>2</w:t>
            </w:r>
          </w:p>
        </w:tc>
        <w:tc>
          <w:tcPr>
            <w:tcW w:w="6521" w:type="dxa"/>
            <w:shd w:val="clear" w:color="auto" w:fill="DEEAF6"/>
          </w:tcPr>
          <w:p w14:paraId="2961C522" w14:textId="77777777" w:rsidR="00236C4E" w:rsidRPr="00236C4E" w:rsidRDefault="00236C4E" w:rsidP="00236C4E">
            <w:pPr>
              <w:contextualSpacing/>
              <w:jc w:val="both"/>
              <w:rPr>
                <w:rFonts w:ascii="Arial" w:hAnsi="Arial" w:cs="Arial"/>
                <w:lang w:val="en-GB" w:eastAsia="x-none"/>
              </w:rPr>
            </w:pPr>
            <w:r w:rsidRPr="00236C4E">
              <w:rPr>
                <w:rFonts w:ascii="Arial" w:hAnsi="Arial" w:cs="Arial"/>
                <w:lang w:val="en-GB" w:eastAsia="x-none"/>
              </w:rPr>
              <w:t>Methodology elaboration (questionnaire design; establishment of relevant contacts in Member States)</w:t>
            </w:r>
          </w:p>
        </w:tc>
        <w:tc>
          <w:tcPr>
            <w:tcW w:w="1701" w:type="dxa"/>
            <w:shd w:val="clear" w:color="auto" w:fill="DEEAF6"/>
          </w:tcPr>
          <w:p w14:paraId="26D46CA4"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10</w:t>
            </w:r>
          </w:p>
        </w:tc>
      </w:tr>
      <w:tr w:rsidR="00236C4E" w:rsidRPr="00236C4E" w14:paraId="5C82BA87" w14:textId="77777777" w:rsidTr="004343BC">
        <w:tc>
          <w:tcPr>
            <w:tcW w:w="817" w:type="dxa"/>
            <w:tcBorders>
              <w:left w:val="single" w:sz="4" w:space="0" w:color="FFFFFF"/>
            </w:tcBorders>
            <w:shd w:val="clear" w:color="auto" w:fill="5B9BD5"/>
          </w:tcPr>
          <w:p w14:paraId="654F3A41" w14:textId="77777777" w:rsidR="00236C4E" w:rsidRPr="00236C4E" w:rsidRDefault="00236C4E" w:rsidP="00236C4E">
            <w:pPr>
              <w:spacing w:line="360" w:lineRule="auto"/>
              <w:contextualSpacing/>
              <w:jc w:val="both"/>
              <w:rPr>
                <w:rFonts w:ascii="Arial" w:hAnsi="Arial" w:cs="Arial"/>
                <w:color w:val="FFFFFF"/>
                <w:lang w:val="en-GB" w:eastAsia="x-none"/>
              </w:rPr>
            </w:pPr>
            <w:r w:rsidRPr="00236C4E">
              <w:rPr>
                <w:rFonts w:ascii="Arial" w:hAnsi="Arial" w:cs="Arial"/>
                <w:color w:val="FFFFFF"/>
                <w:lang w:val="en-GB" w:eastAsia="x-none"/>
              </w:rPr>
              <w:t>3</w:t>
            </w:r>
          </w:p>
        </w:tc>
        <w:tc>
          <w:tcPr>
            <w:tcW w:w="6521" w:type="dxa"/>
            <w:shd w:val="clear" w:color="auto" w:fill="BDD6EE"/>
          </w:tcPr>
          <w:p w14:paraId="2B7AC687"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Assessment/Evaluation of data; matrix development</w:t>
            </w:r>
          </w:p>
        </w:tc>
        <w:tc>
          <w:tcPr>
            <w:tcW w:w="1701" w:type="dxa"/>
            <w:shd w:val="clear" w:color="auto" w:fill="BDD6EE"/>
          </w:tcPr>
          <w:p w14:paraId="201EE6A3"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18</w:t>
            </w:r>
          </w:p>
        </w:tc>
      </w:tr>
      <w:tr w:rsidR="00236C4E" w:rsidRPr="00236C4E" w14:paraId="19331081" w14:textId="77777777" w:rsidTr="004343BC">
        <w:tc>
          <w:tcPr>
            <w:tcW w:w="817" w:type="dxa"/>
            <w:tcBorders>
              <w:left w:val="single" w:sz="4" w:space="0" w:color="FFFFFF"/>
            </w:tcBorders>
            <w:shd w:val="clear" w:color="auto" w:fill="5B9BD5"/>
          </w:tcPr>
          <w:p w14:paraId="1E3AB98B" w14:textId="77777777" w:rsidR="00236C4E" w:rsidRPr="00236C4E" w:rsidRDefault="00236C4E" w:rsidP="00236C4E">
            <w:pPr>
              <w:spacing w:line="360" w:lineRule="auto"/>
              <w:contextualSpacing/>
              <w:jc w:val="both"/>
              <w:rPr>
                <w:rFonts w:ascii="Arial" w:hAnsi="Arial" w:cs="Arial"/>
                <w:color w:val="FFFFFF"/>
                <w:lang w:val="en-GB" w:eastAsia="x-none"/>
              </w:rPr>
            </w:pPr>
            <w:r w:rsidRPr="00236C4E">
              <w:rPr>
                <w:rFonts w:ascii="Arial" w:hAnsi="Arial" w:cs="Arial"/>
                <w:color w:val="FFFFFF"/>
                <w:lang w:val="en-GB" w:eastAsia="x-none"/>
              </w:rPr>
              <w:t>4</w:t>
            </w:r>
          </w:p>
        </w:tc>
        <w:tc>
          <w:tcPr>
            <w:tcW w:w="6521" w:type="dxa"/>
            <w:shd w:val="clear" w:color="auto" w:fill="DEEAF6"/>
          </w:tcPr>
          <w:p w14:paraId="4DECBD92"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Draft report formulation and power point presentation</w:t>
            </w:r>
          </w:p>
        </w:tc>
        <w:tc>
          <w:tcPr>
            <w:tcW w:w="1701" w:type="dxa"/>
            <w:shd w:val="clear" w:color="auto" w:fill="DEEAF6"/>
          </w:tcPr>
          <w:p w14:paraId="0E316D19"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6</w:t>
            </w:r>
          </w:p>
        </w:tc>
      </w:tr>
      <w:tr w:rsidR="00236C4E" w:rsidRPr="00236C4E" w14:paraId="137ECDCD" w14:textId="77777777" w:rsidTr="004343BC">
        <w:tc>
          <w:tcPr>
            <w:tcW w:w="817" w:type="dxa"/>
            <w:tcBorders>
              <w:left w:val="single" w:sz="4" w:space="0" w:color="FFFFFF"/>
            </w:tcBorders>
            <w:shd w:val="clear" w:color="auto" w:fill="5B9BD5"/>
          </w:tcPr>
          <w:p w14:paraId="570CF616" w14:textId="77777777" w:rsidR="00236C4E" w:rsidRPr="00236C4E" w:rsidRDefault="00236C4E" w:rsidP="00236C4E">
            <w:pPr>
              <w:spacing w:line="360" w:lineRule="auto"/>
              <w:contextualSpacing/>
              <w:jc w:val="both"/>
              <w:rPr>
                <w:rFonts w:ascii="Arial" w:hAnsi="Arial" w:cs="Arial"/>
                <w:color w:val="FFFFFF"/>
                <w:lang w:val="en-GB" w:eastAsia="x-none"/>
              </w:rPr>
            </w:pPr>
            <w:r w:rsidRPr="00236C4E">
              <w:rPr>
                <w:rFonts w:ascii="Arial" w:hAnsi="Arial" w:cs="Arial"/>
                <w:color w:val="FFFFFF"/>
                <w:lang w:val="en-GB" w:eastAsia="x-none"/>
              </w:rPr>
              <w:t>5</w:t>
            </w:r>
          </w:p>
        </w:tc>
        <w:tc>
          <w:tcPr>
            <w:tcW w:w="6521" w:type="dxa"/>
            <w:shd w:val="clear" w:color="auto" w:fill="BDD6EE"/>
          </w:tcPr>
          <w:p w14:paraId="27497FF0"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Validation workshop facilitation</w:t>
            </w:r>
          </w:p>
        </w:tc>
        <w:tc>
          <w:tcPr>
            <w:tcW w:w="1701" w:type="dxa"/>
            <w:shd w:val="clear" w:color="auto" w:fill="BDD6EE"/>
          </w:tcPr>
          <w:p w14:paraId="49BDDAC7"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1</w:t>
            </w:r>
          </w:p>
        </w:tc>
      </w:tr>
      <w:tr w:rsidR="00236C4E" w:rsidRPr="00236C4E" w14:paraId="76900704" w14:textId="77777777" w:rsidTr="004343BC">
        <w:tc>
          <w:tcPr>
            <w:tcW w:w="817" w:type="dxa"/>
            <w:tcBorders>
              <w:left w:val="single" w:sz="4" w:space="0" w:color="FFFFFF"/>
            </w:tcBorders>
            <w:shd w:val="clear" w:color="auto" w:fill="5B9BD5"/>
          </w:tcPr>
          <w:p w14:paraId="02A9EC38" w14:textId="77777777" w:rsidR="00236C4E" w:rsidRPr="00236C4E" w:rsidRDefault="00236C4E" w:rsidP="00236C4E">
            <w:pPr>
              <w:spacing w:line="360" w:lineRule="auto"/>
              <w:contextualSpacing/>
              <w:jc w:val="both"/>
              <w:rPr>
                <w:rFonts w:ascii="Arial" w:hAnsi="Arial" w:cs="Arial"/>
                <w:color w:val="FFFFFF"/>
                <w:lang w:val="en-GB" w:eastAsia="x-none"/>
              </w:rPr>
            </w:pPr>
            <w:r w:rsidRPr="00236C4E">
              <w:rPr>
                <w:rFonts w:ascii="Arial" w:hAnsi="Arial" w:cs="Arial"/>
                <w:color w:val="FFFFFF"/>
                <w:lang w:val="en-GB" w:eastAsia="x-none"/>
              </w:rPr>
              <w:t>6</w:t>
            </w:r>
          </w:p>
        </w:tc>
        <w:tc>
          <w:tcPr>
            <w:tcW w:w="6521" w:type="dxa"/>
            <w:shd w:val="clear" w:color="auto" w:fill="DEEAF6"/>
          </w:tcPr>
          <w:p w14:paraId="4BD7E367"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Final report</w:t>
            </w:r>
          </w:p>
        </w:tc>
        <w:tc>
          <w:tcPr>
            <w:tcW w:w="1701" w:type="dxa"/>
            <w:shd w:val="clear" w:color="auto" w:fill="DEEAF6"/>
          </w:tcPr>
          <w:p w14:paraId="343BD611" w14:textId="77777777" w:rsidR="00236C4E" w:rsidRPr="00236C4E" w:rsidRDefault="00236C4E" w:rsidP="00236C4E">
            <w:pPr>
              <w:spacing w:line="360" w:lineRule="auto"/>
              <w:contextualSpacing/>
              <w:jc w:val="both"/>
              <w:rPr>
                <w:rFonts w:ascii="Arial" w:hAnsi="Arial" w:cs="Arial"/>
                <w:lang w:val="en-GB" w:eastAsia="x-none"/>
              </w:rPr>
            </w:pPr>
            <w:r w:rsidRPr="00236C4E">
              <w:rPr>
                <w:rFonts w:ascii="Arial" w:hAnsi="Arial" w:cs="Arial"/>
                <w:lang w:val="en-GB" w:eastAsia="x-none"/>
              </w:rPr>
              <w:t>5</w:t>
            </w:r>
          </w:p>
        </w:tc>
      </w:tr>
      <w:tr w:rsidR="00236C4E" w:rsidRPr="00236C4E" w14:paraId="3620280E" w14:textId="77777777" w:rsidTr="004343BC">
        <w:tc>
          <w:tcPr>
            <w:tcW w:w="817" w:type="dxa"/>
            <w:tcBorders>
              <w:left w:val="single" w:sz="4" w:space="0" w:color="FFFFFF"/>
              <w:bottom w:val="single" w:sz="4" w:space="0" w:color="FFFFFF"/>
            </w:tcBorders>
            <w:shd w:val="clear" w:color="auto" w:fill="5B9BD5"/>
          </w:tcPr>
          <w:p w14:paraId="0E6A112D" w14:textId="77777777" w:rsidR="00236C4E" w:rsidRPr="00236C4E" w:rsidRDefault="00236C4E" w:rsidP="00236C4E">
            <w:pPr>
              <w:spacing w:line="360" w:lineRule="auto"/>
              <w:contextualSpacing/>
              <w:jc w:val="both"/>
              <w:rPr>
                <w:rFonts w:ascii="Arial" w:hAnsi="Arial" w:cs="Arial"/>
                <w:b/>
                <w:bCs/>
                <w:color w:val="FFFFFF"/>
                <w:lang w:val="en-GB" w:eastAsia="x-none"/>
              </w:rPr>
            </w:pPr>
            <w:r w:rsidRPr="00236C4E">
              <w:rPr>
                <w:rFonts w:ascii="Arial" w:hAnsi="Arial" w:cs="Arial"/>
                <w:b/>
                <w:bCs/>
                <w:color w:val="FFFFFF"/>
                <w:lang w:val="en-GB" w:eastAsia="x-none"/>
              </w:rPr>
              <w:t>7</w:t>
            </w:r>
          </w:p>
        </w:tc>
        <w:tc>
          <w:tcPr>
            <w:tcW w:w="6521" w:type="dxa"/>
            <w:shd w:val="clear" w:color="auto" w:fill="BDD6EE"/>
          </w:tcPr>
          <w:p w14:paraId="1621B468" w14:textId="77777777" w:rsidR="00236C4E" w:rsidRPr="00236C4E" w:rsidRDefault="00236C4E" w:rsidP="00236C4E">
            <w:pPr>
              <w:spacing w:line="360" w:lineRule="auto"/>
              <w:contextualSpacing/>
              <w:jc w:val="both"/>
              <w:rPr>
                <w:rFonts w:ascii="Arial" w:hAnsi="Arial" w:cs="Arial"/>
                <w:b/>
                <w:bCs/>
                <w:lang w:val="en-GB" w:eastAsia="x-none"/>
              </w:rPr>
            </w:pPr>
            <w:r w:rsidRPr="00236C4E">
              <w:rPr>
                <w:rFonts w:ascii="Arial" w:hAnsi="Arial" w:cs="Arial"/>
                <w:b/>
                <w:bCs/>
                <w:lang w:val="en-GB" w:eastAsia="x-none"/>
              </w:rPr>
              <w:t>Total</w:t>
            </w:r>
          </w:p>
        </w:tc>
        <w:tc>
          <w:tcPr>
            <w:tcW w:w="1701" w:type="dxa"/>
            <w:shd w:val="clear" w:color="auto" w:fill="BDD6EE"/>
          </w:tcPr>
          <w:p w14:paraId="2612B115" w14:textId="77777777" w:rsidR="00236C4E" w:rsidRPr="00236C4E" w:rsidRDefault="00236C4E" w:rsidP="00236C4E">
            <w:pPr>
              <w:spacing w:line="360" w:lineRule="auto"/>
              <w:contextualSpacing/>
              <w:jc w:val="both"/>
              <w:rPr>
                <w:rFonts w:ascii="Arial" w:hAnsi="Arial" w:cs="Arial"/>
                <w:b/>
                <w:bCs/>
                <w:lang w:val="en-GB" w:eastAsia="x-none"/>
              </w:rPr>
            </w:pPr>
            <w:r w:rsidRPr="00236C4E">
              <w:rPr>
                <w:rFonts w:ascii="Arial" w:hAnsi="Arial" w:cs="Arial"/>
                <w:b/>
                <w:bCs/>
                <w:lang w:val="en-GB" w:eastAsia="x-none"/>
              </w:rPr>
              <w:t>45</w:t>
            </w:r>
          </w:p>
        </w:tc>
      </w:tr>
    </w:tbl>
    <w:p w14:paraId="0AAD681F" w14:textId="77777777" w:rsidR="00236C4E" w:rsidRPr="00236C4E" w:rsidRDefault="00236C4E" w:rsidP="00236C4E">
      <w:pPr>
        <w:jc w:val="both"/>
        <w:rPr>
          <w:rFonts w:ascii="Arial" w:hAnsi="Arial" w:cs="Arial"/>
          <w:lang w:val="en-GB"/>
        </w:rPr>
      </w:pPr>
    </w:p>
    <w:p w14:paraId="3980283B" w14:textId="77777777" w:rsidR="00236C4E" w:rsidRPr="00236C4E" w:rsidRDefault="00236C4E" w:rsidP="00236C4E">
      <w:pPr>
        <w:jc w:val="both"/>
        <w:rPr>
          <w:rFonts w:ascii="Arial" w:hAnsi="Arial" w:cs="Arial"/>
          <w:bCs/>
          <w:lang w:val="en-GB"/>
        </w:rPr>
      </w:pPr>
      <w:r w:rsidRPr="00236C4E">
        <w:rPr>
          <w:rFonts w:ascii="Arial" w:hAnsi="Arial" w:cs="Arial"/>
          <w:bCs/>
          <w:lang w:val="x-none"/>
        </w:rPr>
        <w:t xml:space="preserve">The tasks will be carried out </w:t>
      </w:r>
      <w:r w:rsidRPr="00236C4E">
        <w:rPr>
          <w:rFonts w:ascii="Arial" w:hAnsi="Arial" w:cs="Arial"/>
          <w:bCs/>
          <w:lang w:val="en-GB"/>
        </w:rPr>
        <w:t xml:space="preserve">over a 45 day period </w:t>
      </w:r>
      <w:r w:rsidRPr="00236C4E">
        <w:rPr>
          <w:rFonts w:ascii="Arial" w:hAnsi="Arial" w:cs="Arial"/>
          <w:bCs/>
          <w:lang w:val="x-none"/>
        </w:rPr>
        <w:t xml:space="preserve">between </w:t>
      </w:r>
      <w:r w:rsidRPr="00236C4E">
        <w:rPr>
          <w:rFonts w:ascii="Arial" w:hAnsi="Arial" w:cs="Arial"/>
          <w:bCs/>
          <w:lang w:val="en-GB"/>
        </w:rPr>
        <w:t xml:space="preserve"> March to May  2021 by virtual means.</w:t>
      </w:r>
    </w:p>
    <w:p w14:paraId="56879ABB" w14:textId="2B47D42C" w:rsidR="00CA6707" w:rsidRDefault="00CA6707" w:rsidP="00A438D9">
      <w:pPr>
        <w:jc w:val="both"/>
        <w:rPr>
          <w:rFonts w:ascii="Arial" w:hAnsi="Arial" w:cs="Arial"/>
        </w:rPr>
      </w:pPr>
    </w:p>
    <w:p w14:paraId="7DA36676" w14:textId="009EABD7" w:rsidR="00CA6707" w:rsidRDefault="00CA6707" w:rsidP="00A438D9">
      <w:pPr>
        <w:jc w:val="both"/>
        <w:rPr>
          <w:rFonts w:ascii="Arial" w:hAnsi="Arial" w:cs="Arial"/>
        </w:rPr>
      </w:pPr>
    </w:p>
    <w:p w14:paraId="62330B07" w14:textId="5B3B0706" w:rsidR="00CA6707" w:rsidRDefault="00CA6707" w:rsidP="00A438D9">
      <w:pPr>
        <w:jc w:val="both"/>
        <w:rPr>
          <w:rFonts w:ascii="Arial" w:hAnsi="Arial" w:cs="Arial"/>
        </w:rPr>
      </w:pPr>
    </w:p>
    <w:p w14:paraId="028963AD" w14:textId="77777777" w:rsidR="00CA6707" w:rsidRPr="00740CE4" w:rsidRDefault="00CA6707" w:rsidP="00A438D9">
      <w:pPr>
        <w:jc w:val="both"/>
        <w:rPr>
          <w:rFonts w:ascii="Arial" w:hAnsi="Arial" w:cs="Arial"/>
        </w:rPr>
      </w:pPr>
    </w:p>
    <w:p w14:paraId="405526E1" w14:textId="432980A5" w:rsidR="00A438D9" w:rsidRDefault="00A438D9" w:rsidP="00A438D9">
      <w:pPr>
        <w:jc w:val="both"/>
        <w:rPr>
          <w:rFonts w:ascii="Arial" w:hAnsi="Arial" w:cs="Arial"/>
        </w:rPr>
      </w:pPr>
    </w:p>
    <w:p w14:paraId="2A3914FB" w14:textId="6AE6AF42" w:rsidR="00236C4E" w:rsidRDefault="00236C4E" w:rsidP="00A438D9">
      <w:pPr>
        <w:jc w:val="both"/>
        <w:rPr>
          <w:rFonts w:ascii="Arial" w:hAnsi="Arial" w:cs="Arial"/>
        </w:rPr>
      </w:pPr>
    </w:p>
    <w:p w14:paraId="2EDE5B28" w14:textId="235BE1D4" w:rsidR="00236C4E" w:rsidRDefault="00236C4E" w:rsidP="00A438D9">
      <w:pPr>
        <w:jc w:val="both"/>
        <w:rPr>
          <w:rFonts w:ascii="Arial" w:hAnsi="Arial" w:cs="Arial"/>
        </w:rPr>
      </w:pPr>
    </w:p>
    <w:p w14:paraId="16F342C2" w14:textId="0D54BD8F" w:rsidR="00236C4E" w:rsidRDefault="00236C4E" w:rsidP="00A438D9">
      <w:pPr>
        <w:jc w:val="both"/>
        <w:rPr>
          <w:rFonts w:ascii="Arial" w:hAnsi="Arial" w:cs="Arial"/>
        </w:rPr>
      </w:pPr>
    </w:p>
    <w:p w14:paraId="06F8C974" w14:textId="11552AF4" w:rsidR="00236C4E" w:rsidRDefault="00236C4E" w:rsidP="00A438D9">
      <w:pPr>
        <w:jc w:val="both"/>
        <w:rPr>
          <w:rFonts w:ascii="Arial" w:hAnsi="Arial" w:cs="Arial"/>
        </w:rPr>
      </w:pPr>
    </w:p>
    <w:p w14:paraId="0B5D94E1" w14:textId="20254518" w:rsidR="00236C4E" w:rsidRDefault="00236C4E" w:rsidP="00A438D9">
      <w:pPr>
        <w:jc w:val="both"/>
        <w:rPr>
          <w:rFonts w:ascii="Arial" w:hAnsi="Arial" w:cs="Arial"/>
        </w:rPr>
      </w:pPr>
    </w:p>
    <w:p w14:paraId="50D87CE3" w14:textId="1C3C0222" w:rsidR="00236C4E" w:rsidRDefault="00236C4E" w:rsidP="00A438D9">
      <w:pPr>
        <w:jc w:val="both"/>
        <w:rPr>
          <w:rFonts w:ascii="Arial" w:hAnsi="Arial" w:cs="Arial"/>
        </w:rPr>
      </w:pPr>
    </w:p>
    <w:p w14:paraId="452A9AE2" w14:textId="0E84A35A" w:rsidR="00236C4E" w:rsidRDefault="00236C4E" w:rsidP="00A438D9">
      <w:pPr>
        <w:jc w:val="both"/>
        <w:rPr>
          <w:rFonts w:ascii="Arial" w:hAnsi="Arial" w:cs="Arial"/>
        </w:rPr>
      </w:pPr>
    </w:p>
    <w:p w14:paraId="117B5F9B" w14:textId="450F81B8" w:rsidR="00236C4E" w:rsidRDefault="00236C4E" w:rsidP="00A438D9">
      <w:pPr>
        <w:jc w:val="both"/>
        <w:rPr>
          <w:rFonts w:ascii="Arial" w:hAnsi="Arial" w:cs="Arial"/>
        </w:rPr>
      </w:pPr>
    </w:p>
    <w:p w14:paraId="7EF04376" w14:textId="6258FAFA" w:rsidR="00236C4E" w:rsidRDefault="00236C4E" w:rsidP="00A438D9">
      <w:pPr>
        <w:jc w:val="both"/>
        <w:rPr>
          <w:rFonts w:ascii="Arial" w:hAnsi="Arial" w:cs="Arial"/>
        </w:rPr>
      </w:pPr>
    </w:p>
    <w:p w14:paraId="0AA1456E" w14:textId="67F1430F" w:rsidR="00236C4E" w:rsidRDefault="00236C4E" w:rsidP="00A438D9">
      <w:pPr>
        <w:jc w:val="both"/>
        <w:rPr>
          <w:rFonts w:ascii="Arial" w:hAnsi="Arial" w:cs="Arial"/>
        </w:rPr>
      </w:pPr>
    </w:p>
    <w:p w14:paraId="2DA675D6" w14:textId="66034EFC" w:rsidR="00236C4E" w:rsidRDefault="00236C4E" w:rsidP="00A438D9">
      <w:pPr>
        <w:jc w:val="both"/>
        <w:rPr>
          <w:rFonts w:ascii="Arial" w:hAnsi="Arial" w:cs="Arial"/>
        </w:rPr>
      </w:pPr>
    </w:p>
    <w:p w14:paraId="27F9F4E3" w14:textId="3B346C0D" w:rsidR="00236C4E" w:rsidRDefault="00236C4E" w:rsidP="00A438D9">
      <w:pPr>
        <w:jc w:val="both"/>
        <w:rPr>
          <w:rFonts w:ascii="Arial" w:hAnsi="Arial" w:cs="Arial"/>
        </w:rPr>
      </w:pPr>
    </w:p>
    <w:p w14:paraId="6522026A" w14:textId="64C39896" w:rsidR="00236C4E" w:rsidRDefault="00236C4E" w:rsidP="00A438D9">
      <w:pPr>
        <w:jc w:val="both"/>
        <w:rPr>
          <w:rFonts w:ascii="Arial" w:hAnsi="Arial" w:cs="Arial"/>
        </w:rPr>
      </w:pPr>
    </w:p>
    <w:p w14:paraId="3EC1AAE7" w14:textId="26C635CA" w:rsidR="00236C4E" w:rsidRDefault="00236C4E" w:rsidP="00A438D9">
      <w:pPr>
        <w:jc w:val="both"/>
        <w:rPr>
          <w:rFonts w:ascii="Arial" w:hAnsi="Arial" w:cs="Arial"/>
        </w:rPr>
      </w:pPr>
    </w:p>
    <w:p w14:paraId="1D0A4001" w14:textId="2D4633FE" w:rsidR="00236C4E" w:rsidRDefault="00236C4E" w:rsidP="00A438D9">
      <w:pPr>
        <w:jc w:val="both"/>
        <w:rPr>
          <w:rFonts w:ascii="Arial" w:hAnsi="Arial" w:cs="Arial"/>
        </w:rPr>
      </w:pPr>
    </w:p>
    <w:p w14:paraId="794551A4" w14:textId="7359ED85" w:rsidR="00236C4E" w:rsidRDefault="00236C4E" w:rsidP="00A438D9">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2D3C14">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2D3C14">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24" w:name="_Toc267927845"/>
      <w:bookmarkStart w:id="25"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24"/>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12E97090"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A01AA1" w:rsidRPr="00A01AA1">
        <w:rPr>
          <w:rFonts w:ascii="Arial" w:hAnsi="Arial" w:cs="Arial"/>
          <w:b w:val="0"/>
          <w:bCs/>
          <w:lang w:val="en-GB"/>
        </w:rPr>
        <w:t>CS/PROC/EDF/8.3/10/2021/27TPL RE-ISSUE</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40EE7AB7" w:rsidR="00382375" w:rsidRPr="0035455F" w:rsidRDefault="00E71D4A" w:rsidP="00AB17B6">
      <w:pPr>
        <w:jc w:val="center"/>
        <w:rPr>
          <w:rFonts w:ascii="Arial" w:hAnsi="Arial" w:cs="Arial"/>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D63F35" w:rsidRPr="00D63F35">
        <w:rPr>
          <w:rFonts w:ascii="Arial" w:hAnsi="Arial" w:cs="Arial"/>
          <w:b/>
          <w:bCs/>
          <w:lang w:val="en-GB"/>
        </w:rPr>
        <w:t>CONTRACT FOR TECHNICAL ASSESSMENT OF THE SCOPE AND COMPETENCES OF ACCREDITATION ASSESSORS IN THE COMESA REGION</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1AAF3C09"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r w:rsidR="00D63F35" w:rsidRPr="00D63F35">
        <w:rPr>
          <w:rFonts w:ascii="Arial" w:hAnsi="Arial" w:cs="Arial"/>
          <w:b/>
          <w:bCs/>
          <w:i/>
          <w:lang w:val="en-GB"/>
        </w:rPr>
        <w:t>CONTRACT FOR TECHNICAL ASSESSMENT OF THE SCOPE AND COMPETENCES OF ACCREDITATION ASSESSORS IN THE COMESA REGION</w:t>
      </w:r>
      <w:r w:rsidR="00D63F35" w:rsidRPr="00D63F35">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A01AA1" w:rsidRPr="00A01AA1">
        <w:rPr>
          <w:rFonts w:ascii="Arial" w:hAnsi="Arial" w:cs="Arial"/>
          <w:bCs/>
          <w:i/>
          <w:lang w:val="en-GB"/>
        </w:rPr>
        <w:t>CS/PROC/EDF/8.3/10/2021/27TPL RE-ISSUE</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6"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6"/>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7" w:name="_Toc267927846"/>
      <w:r w:rsidRPr="0035455F">
        <w:rPr>
          <w:rFonts w:cs="Arial"/>
          <w:sz w:val="24"/>
          <w:szCs w:val="24"/>
          <w:lang w:val="en-GB"/>
        </w:rPr>
        <w:lastRenderedPageBreak/>
        <w:t>B.</w:t>
      </w:r>
      <w:r w:rsidRPr="0035455F">
        <w:rPr>
          <w:rFonts w:cs="Arial"/>
          <w:sz w:val="24"/>
          <w:szCs w:val="24"/>
          <w:lang w:val="en-GB"/>
        </w:rPr>
        <w:tab/>
        <w:t>CURRICULUM VITAE</w:t>
      </w:r>
      <w:bookmarkEnd w:id="27"/>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8"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8"/>
    </w:p>
    <w:p w14:paraId="7C92F149" w14:textId="77777777" w:rsidR="00590C6F" w:rsidRDefault="00590C6F" w:rsidP="00806D70">
      <w:pPr>
        <w:jc w:val="center"/>
        <w:rPr>
          <w:rFonts w:ascii="Arial" w:hAnsi="Arial" w:cs="Arial"/>
          <w:b/>
          <w:lang w:val="en-GB"/>
        </w:rPr>
      </w:pPr>
    </w:p>
    <w:p w14:paraId="2BD5439B" w14:textId="16A935F5" w:rsidR="00CE72FE"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A01AA1" w:rsidRPr="00A01AA1">
        <w:rPr>
          <w:rFonts w:ascii="Arial" w:hAnsi="Arial" w:cs="Arial"/>
          <w:bCs/>
          <w:lang w:val="en-GB"/>
        </w:rPr>
        <w:t xml:space="preserve">CS/PROC/EDF/8.3/10/2021/27TPL RE-ISSUE </w:t>
      </w:r>
      <w:r w:rsidR="003D1452">
        <w:rPr>
          <w:rFonts w:ascii="Arial" w:hAnsi="Arial" w:cs="Arial"/>
          <w:bCs/>
          <w:lang w:val="en-GB"/>
        </w:rPr>
        <w:t xml:space="preserve">- </w:t>
      </w:r>
      <w:r w:rsidR="00D63F35" w:rsidRPr="00D63F35">
        <w:rPr>
          <w:rFonts w:ascii="Arial" w:hAnsi="Arial" w:cs="Arial"/>
          <w:bCs/>
          <w:lang w:val="en-GB"/>
        </w:rPr>
        <w:t>CONTRACT FOR TECHNICAL ASSESSMENT OF THE SCOPE AND COMPETENCES OF ACCREDITATION ASSESSORS IN THE COMESA REGION</w:t>
      </w:r>
    </w:p>
    <w:p w14:paraId="407F9C51" w14:textId="77777777" w:rsidR="00FD7FC5" w:rsidRDefault="00FD7FC5" w:rsidP="00D741B3">
      <w:pPr>
        <w:jc w:val="both"/>
        <w:rPr>
          <w:rFonts w:ascii="Arial" w:hAnsi="Arial" w:cs="Arial"/>
          <w:bCs/>
          <w:lang w:val="en-GB"/>
        </w:rPr>
      </w:pPr>
    </w:p>
    <w:p w14:paraId="4296FD08" w14:textId="70E14F6F"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9"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9"/>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5"/>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B0B7" w14:textId="77777777" w:rsidR="00091DB3" w:rsidRDefault="00091DB3" w:rsidP="00382375">
      <w:r>
        <w:separator/>
      </w:r>
    </w:p>
  </w:endnote>
  <w:endnote w:type="continuationSeparator" w:id="0">
    <w:p w14:paraId="130038E4" w14:textId="77777777" w:rsidR="00091DB3" w:rsidRDefault="00091DB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DE60" w14:textId="77777777" w:rsidR="00091DB3" w:rsidRDefault="00091DB3" w:rsidP="00382375">
      <w:r>
        <w:separator/>
      </w:r>
    </w:p>
  </w:footnote>
  <w:footnote w:type="continuationSeparator" w:id="0">
    <w:p w14:paraId="73CB9437" w14:textId="77777777" w:rsidR="00091DB3" w:rsidRDefault="00091DB3"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0D6C447F" w:rsidR="004221E1" w:rsidRPr="00580808" w:rsidRDefault="00580808" w:rsidP="00984AD0">
    <w:pPr>
      <w:pStyle w:val="Header"/>
      <w:jc w:val="both"/>
    </w:pPr>
    <w:bookmarkStart w:id="8" w:name="_Hlk56346103"/>
    <w:bookmarkStart w:id="9" w:name="_Hlk56346104"/>
    <w:bookmarkStart w:id="10" w:name="_Hlk83386110"/>
    <w:bookmarkStart w:id="11" w:name="_Hlk83386111"/>
    <w:r w:rsidRPr="00580808">
      <w:rPr>
        <w:b/>
        <w:bCs/>
        <w:sz w:val="16"/>
        <w:szCs w:val="16"/>
        <w:lang w:val="en-GB"/>
      </w:rPr>
      <w:t>REFERENCE NUMBER:</w:t>
    </w:r>
    <w:r w:rsidRPr="00580808">
      <w:rPr>
        <w:b/>
        <w:bCs/>
        <w:i/>
        <w:sz w:val="16"/>
        <w:szCs w:val="16"/>
        <w:lang w:val="en-GB"/>
      </w:rPr>
      <w:t xml:space="preserve"> </w:t>
    </w:r>
    <w:bookmarkStart w:id="12" w:name="_Hlk61263211"/>
    <w:bookmarkEnd w:id="8"/>
    <w:bookmarkEnd w:id="9"/>
    <w:r w:rsidR="000E7CC9" w:rsidRPr="000E7CC9">
      <w:rPr>
        <w:b/>
        <w:bCs/>
        <w:sz w:val="16"/>
        <w:szCs w:val="16"/>
        <w:lang w:val="en-GB"/>
      </w:rPr>
      <w:t>CS/PROC/EDF/8.3/10/2021/</w:t>
    </w:r>
    <w:r w:rsidR="000703EC">
      <w:rPr>
        <w:b/>
        <w:bCs/>
        <w:sz w:val="16"/>
        <w:szCs w:val="16"/>
        <w:lang w:val="en-GB"/>
      </w:rPr>
      <w:t>27</w:t>
    </w:r>
    <w:r w:rsidR="000E7CC9" w:rsidRPr="000E7CC9">
      <w:rPr>
        <w:b/>
        <w:bCs/>
        <w:sz w:val="16"/>
        <w:szCs w:val="16"/>
        <w:lang w:val="en-GB"/>
      </w:rPr>
      <w:t>TPL</w:t>
    </w:r>
    <w:bookmarkEnd w:id="12"/>
    <w:r w:rsidR="000E7CC9" w:rsidRPr="000E7CC9">
      <w:rPr>
        <w:b/>
        <w:bCs/>
        <w:sz w:val="16"/>
        <w:szCs w:val="16"/>
        <w:lang w:val="en-GB"/>
      </w:rPr>
      <w:t xml:space="preserve"> </w:t>
    </w:r>
    <w:r w:rsidR="000703EC">
      <w:rPr>
        <w:b/>
        <w:bCs/>
        <w:sz w:val="16"/>
        <w:szCs w:val="16"/>
        <w:lang w:val="en-GB"/>
      </w:rPr>
      <w:t xml:space="preserve">RE-ISSUE </w:t>
    </w:r>
    <w:r w:rsidR="00C724A5">
      <w:rPr>
        <w:b/>
        <w:bCs/>
        <w:sz w:val="16"/>
        <w:szCs w:val="16"/>
        <w:lang w:val="en-GB"/>
      </w:rPr>
      <w:t>–</w:t>
    </w:r>
    <w:r w:rsidR="000E7CC9" w:rsidRPr="000E7CC9">
      <w:rPr>
        <w:b/>
        <w:bCs/>
        <w:sz w:val="16"/>
        <w:szCs w:val="16"/>
        <w:lang w:val="en-GB"/>
      </w:rPr>
      <w:t xml:space="preserve"> </w:t>
    </w:r>
    <w:bookmarkStart w:id="13" w:name="_Hlk75381178"/>
    <w:r w:rsidR="00C724A5">
      <w:rPr>
        <w:b/>
        <w:bCs/>
        <w:sz w:val="16"/>
        <w:szCs w:val="16"/>
        <w:lang w:val="en-GB"/>
      </w:rPr>
      <w:t xml:space="preserve">CONTRACT </w:t>
    </w:r>
    <w:bookmarkEnd w:id="13"/>
    <w:r w:rsidR="00984AD0" w:rsidRPr="00984AD0">
      <w:rPr>
        <w:b/>
        <w:bCs/>
        <w:sz w:val="16"/>
        <w:szCs w:val="16"/>
        <w:lang w:val="en-GB"/>
      </w:rPr>
      <w:t>FOR TECHNICAL ASSESSMENT OF THE SCOPE AND COMPETENCES OF ACCREDITATION ASSESSORS IN THE COMESA REGION</w: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30A4760"/>
    <w:multiLevelType w:val="hybridMultilevel"/>
    <w:tmpl w:val="D9EEFBB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46BE"/>
    <w:multiLevelType w:val="hybridMultilevel"/>
    <w:tmpl w:val="34563254"/>
    <w:lvl w:ilvl="0" w:tplc="2000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FAD7254"/>
    <w:multiLevelType w:val="hybridMultilevel"/>
    <w:tmpl w:val="B6E4DB22"/>
    <w:lvl w:ilvl="0" w:tplc="24CE40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230F4"/>
    <w:multiLevelType w:val="hybridMultilevel"/>
    <w:tmpl w:val="7FB4B58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6AF18DE"/>
    <w:multiLevelType w:val="hybridMultilevel"/>
    <w:tmpl w:val="4190C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593212"/>
    <w:multiLevelType w:val="hybridMultilevel"/>
    <w:tmpl w:val="3DAA34E0"/>
    <w:lvl w:ilvl="0" w:tplc="20000017">
      <w:start w:val="1"/>
      <w:numFmt w:val="lowerLetter"/>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8" w15:restartNumberingAfterBreak="0">
    <w:nsid w:val="7F74591E"/>
    <w:multiLevelType w:val="hybridMultilevel"/>
    <w:tmpl w:val="3384C8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27"/>
  </w:num>
  <w:num w:numId="3">
    <w:abstractNumId w:val="0"/>
  </w:num>
  <w:num w:numId="4">
    <w:abstractNumId w:val="1"/>
  </w:num>
  <w:num w:numId="5">
    <w:abstractNumId w:val="4"/>
  </w:num>
  <w:num w:numId="6">
    <w:abstractNumId w:val="13"/>
  </w:num>
  <w:num w:numId="7">
    <w:abstractNumId w:val="10"/>
  </w:num>
  <w:num w:numId="8">
    <w:abstractNumId w:val="8"/>
  </w:num>
  <w:num w:numId="9">
    <w:abstractNumId w:val="7"/>
  </w:num>
  <w:num w:numId="10">
    <w:abstractNumId w:val="25"/>
  </w:num>
  <w:num w:numId="11">
    <w:abstractNumId w:val="15"/>
  </w:num>
  <w:num w:numId="12">
    <w:abstractNumId w:val="11"/>
  </w:num>
  <w:num w:numId="13">
    <w:abstractNumId w:val="2"/>
  </w:num>
  <w:num w:numId="14">
    <w:abstractNumId w:val="12"/>
  </w:num>
  <w:num w:numId="15">
    <w:abstractNumId w:val="14"/>
  </w:num>
  <w:num w:numId="16">
    <w:abstractNumId w:val="20"/>
  </w:num>
  <w:num w:numId="17">
    <w:abstractNumId w:val="5"/>
  </w:num>
  <w:num w:numId="18">
    <w:abstractNumId w:val="21"/>
  </w:num>
  <w:num w:numId="19">
    <w:abstractNumId w:val="9"/>
  </w:num>
  <w:num w:numId="20">
    <w:abstractNumId w:val="24"/>
  </w:num>
  <w:num w:numId="21">
    <w:abstractNumId w:val="18"/>
  </w:num>
  <w:num w:numId="22">
    <w:abstractNumId w:val="22"/>
  </w:num>
  <w:num w:numId="23">
    <w:abstractNumId w:val="23"/>
  </w:num>
  <w:num w:numId="24">
    <w:abstractNumId w:val="28"/>
  </w:num>
  <w:num w:numId="25">
    <w:abstractNumId w:val="19"/>
  </w:num>
  <w:num w:numId="26">
    <w:abstractNumId w:val="3"/>
  </w:num>
  <w:num w:numId="27">
    <w:abstractNumId w:val="17"/>
  </w:num>
  <w:num w:numId="28">
    <w:abstractNumId w:val="6"/>
  </w:num>
  <w:num w:numId="2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03EC"/>
    <w:rsid w:val="00071981"/>
    <w:rsid w:val="00071FCC"/>
    <w:rsid w:val="00076310"/>
    <w:rsid w:val="0007777D"/>
    <w:rsid w:val="000800A9"/>
    <w:rsid w:val="00083027"/>
    <w:rsid w:val="000858AC"/>
    <w:rsid w:val="00091DB3"/>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42E2"/>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3334"/>
    <w:rsid w:val="001C30AB"/>
    <w:rsid w:val="001C3F33"/>
    <w:rsid w:val="001D7ED9"/>
    <w:rsid w:val="001F2884"/>
    <w:rsid w:val="001F2EC8"/>
    <w:rsid w:val="001F449B"/>
    <w:rsid w:val="001F5B33"/>
    <w:rsid w:val="00201B6A"/>
    <w:rsid w:val="002032A4"/>
    <w:rsid w:val="002033AC"/>
    <w:rsid w:val="00205CE2"/>
    <w:rsid w:val="00205F95"/>
    <w:rsid w:val="0020784C"/>
    <w:rsid w:val="00207EAE"/>
    <w:rsid w:val="002116A2"/>
    <w:rsid w:val="00212E37"/>
    <w:rsid w:val="00215D25"/>
    <w:rsid w:val="0022236E"/>
    <w:rsid w:val="00224642"/>
    <w:rsid w:val="0022736B"/>
    <w:rsid w:val="00234256"/>
    <w:rsid w:val="00236C4E"/>
    <w:rsid w:val="00237F5A"/>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CD5"/>
    <w:rsid w:val="002B5DA4"/>
    <w:rsid w:val="002C4CFC"/>
    <w:rsid w:val="002C7618"/>
    <w:rsid w:val="002D3C14"/>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70F28"/>
    <w:rsid w:val="0038034A"/>
    <w:rsid w:val="00381137"/>
    <w:rsid w:val="00382375"/>
    <w:rsid w:val="00386F9B"/>
    <w:rsid w:val="0039286F"/>
    <w:rsid w:val="003A127C"/>
    <w:rsid w:val="003A1325"/>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A6929"/>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C4A84"/>
    <w:rsid w:val="006D021F"/>
    <w:rsid w:val="006D2410"/>
    <w:rsid w:val="006D3154"/>
    <w:rsid w:val="006E39FD"/>
    <w:rsid w:val="006E5346"/>
    <w:rsid w:val="006F5836"/>
    <w:rsid w:val="006F72F3"/>
    <w:rsid w:val="006F79E1"/>
    <w:rsid w:val="00700756"/>
    <w:rsid w:val="00710EE7"/>
    <w:rsid w:val="007157B1"/>
    <w:rsid w:val="0072400E"/>
    <w:rsid w:val="00724362"/>
    <w:rsid w:val="00741078"/>
    <w:rsid w:val="007429F0"/>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C5A4A"/>
    <w:rsid w:val="007D0F86"/>
    <w:rsid w:val="007D42FD"/>
    <w:rsid w:val="007D4A46"/>
    <w:rsid w:val="007D4CF9"/>
    <w:rsid w:val="007D640B"/>
    <w:rsid w:val="007D709B"/>
    <w:rsid w:val="007E691B"/>
    <w:rsid w:val="007F192D"/>
    <w:rsid w:val="007F6464"/>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57F3"/>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4AD0"/>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1AA1"/>
    <w:rsid w:val="00A037E3"/>
    <w:rsid w:val="00A05F98"/>
    <w:rsid w:val="00A110AF"/>
    <w:rsid w:val="00A1141C"/>
    <w:rsid w:val="00A153C8"/>
    <w:rsid w:val="00A218A5"/>
    <w:rsid w:val="00A26C43"/>
    <w:rsid w:val="00A3681F"/>
    <w:rsid w:val="00A42DC2"/>
    <w:rsid w:val="00A438D9"/>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3F45"/>
    <w:rsid w:val="00AA483E"/>
    <w:rsid w:val="00AA48EC"/>
    <w:rsid w:val="00AA5DDD"/>
    <w:rsid w:val="00AB17B6"/>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17A39"/>
    <w:rsid w:val="00B2214D"/>
    <w:rsid w:val="00B23757"/>
    <w:rsid w:val="00B26BE4"/>
    <w:rsid w:val="00B34623"/>
    <w:rsid w:val="00B35009"/>
    <w:rsid w:val="00B36522"/>
    <w:rsid w:val="00B42ADD"/>
    <w:rsid w:val="00B42B13"/>
    <w:rsid w:val="00B45B99"/>
    <w:rsid w:val="00B46393"/>
    <w:rsid w:val="00B560E8"/>
    <w:rsid w:val="00B661C8"/>
    <w:rsid w:val="00B71ED4"/>
    <w:rsid w:val="00B729DD"/>
    <w:rsid w:val="00B92E14"/>
    <w:rsid w:val="00B94D6D"/>
    <w:rsid w:val="00BA2AB8"/>
    <w:rsid w:val="00BB58DF"/>
    <w:rsid w:val="00BC2292"/>
    <w:rsid w:val="00BC328A"/>
    <w:rsid w:val="00BC4BC4"/>
    <w:rsid w:val="00BC5208"/>
    <w:rsid w:val="00BC6CD5"/>
    <w:rsid w:val="00BD3372"/>
    <w:rsid w:val="00BD3784"/>
    <w:rsid w:val="00BD519A"/>
    <w:rsid w:val="00BD5BC8"/>
    <w:rsid w:val="00BE4A6D"/>
    <w:rsid w:val="00BE5A58"/>
    <w:rsid w:val="00BF60E2"/>
    <w:rsid w:val="00C00C40"/>
    <w:rsid w:val="00C01A9C"/>
    <w:rsid w:val="00C077F0"/>
    <w:rsid w:val="00C10A96"/>
    <w:rsid w:val="00C11E45"/>
    <w:rsid w:val="00C201C5"/>
    <w:rsid w:val="00C2174B"/>
    <w:rsid w:val="00C23F9E"/>
    <w:rsid w:val="00C30CE6"/>
    <w:rsid w:val="00C31D83"/>
    <w:rsid w:val="00C3408C"/>
    <w:rsid w:val="00C35D63"/>
    <w:rsid w:val="00C37F65"/>
    <w:rsid w:val="00C41887"/>
    <w:rsid w:val="00C512B6"/>
    <w:rsid w:val="00C53BF6"/>
    <w:rsid w:val="00C66C24"/>
    <w:rsid w:val="00C71AC5"/>
    <w:rsid w:val="00C724A5"/>
    <w:rsid w:val="00C7446C"/>
    <w:rsid w:val="00C75B9A"/>
    <w:rsid w:val="00C90FC4"/>
    <w:rsid w:val="00C94749"/>
    <w:rsid w:val="00CA3192"/>
    <w:rsid w:val="00CA56F3"/>
    <w:rsid w:val="00CA668D"/>
    <w:rsid w:val="00CA6707"/>
    <w:rsid w:val="00CB169F"/>
    <w:rsid w:val="00CB2B00"/>
    <w:rsid w:val="00CB394D"/>
    <w:rsid w:val="00CC6BD5"/>
    <w:rsid w:val="00CD0445"/>
    <w:rsid w:val="00CD1D2D"/>
    <w:rsid w:val="00CD433B"/>
    <w:rsid w:val="00CE0380"/>
    <w:rsid w:val="00CE72FE"/>
    <w:rsid w:val="00CF2493"/>
    <w:rsid w:val="00D017D8"/>
    <w:rsid w:val="00D11C5D"/>
    <w:rsid w:val="00D30B4E"/>
    <w:rsid w:val="00D40753"/>
    <w:rsid w:val="00D46312"/>
    <w:rsid w:val="00D5293B"/>
    <w:rsid w:val="00D565EC"/>
    <w:rsid w:val="00D56BF2"/>
    <w:rsid w:val="00D63F35"/>
    <w:rsid w:val="00D741B3"/>
    <w:rsid w:val="00D905C6"/>
    <w:rsid w:val="00D91F95"/>
    <w:rsid w:val="00D923EA"/>
    <w:rsid w:val="00D93D70"/>
    <w:rsid w:val="00D97459"/>
    <w:rsid w:val="00D97984"/>
    <w:rsid w:val="00DA71AB"/>
    <w:rsid w:val="00DB0CEA"/>
    <w:rsid w:val="00DB1CA3"/>
    <w:rsid w:val="00DB357B"/>
    <w:rsid w:val="00DC5CD6"/>
    <w:rsid w:val="00DD27A8"/>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D5D01"/>
    <w:rsid w:val="00EE60BF"/>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649B"/>
    <w:rsid w:val="00F8017F"/>
    <w:rsid w:val="00F878AD"/>
    <w:rsid w:val="00F927D0"/>
    <w:rsid w:val="00F959CE"/>
    <w:rsid w:val="00FA7D4A"/>
    <w:rsid w:val="00FB6812"/>
    <w:rsid w:val="00FB78BA"/>
    <w:rsid w:val="00FB7F1F"/>
    <w:rsid w:val="00FC5324"/>
    <w:rsid w:val="00FC5BAF"/>
    <w:rsid w:val="00FC7BCE"/>
    <w:rsid w:val="00FC7E65"/>
    <w:rsid w:val="00FD2907"/>
    <w:rsid w:val="00FD7FC5"/>
    <w:rsid w:val="00FE28D2"/>
    <w:rsid w:val="00FE3D41"/>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108</cp:revision>
  <cp:lastPrinted>2014-12-02T15:54:00Z</cp:lastPrinted>
  <dcterms:created xsi:type="dcterms:W3CDTF">2020-11-15T13:51:00Z</dcterms:created>
  <dcterms:modified xsi:type="dcterms:W3CDTF">2021-09-24T13:04:00Z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