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127C7AF7" w:rsidR="00635193" w:rsidRPr="008402DE" w:rsidRDefault="00BE360D"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8402DE">
        <w:rPr>
          <w:rFonts w:asciiTheme="minorBidi" w:hAnsiTheme="minorBidi" w:cstheme="minorBidi"/>
          <w:bCs/>
          <w:noProof/>
          <w:sz w:val="22"/>
          <w:szCs w:val="22"/>
          <w:lang w:val="en-GB" w:eastAsia="ar-SA"/>
        </w:rPr>
        <w:drawing>
          <wp:inline distT="0" distB="0" distL="0" distR="0" wp14:anchorId="4C86047C" wp14:editId="0A10EFF8">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8402DE">
        <w:rPr>
          <w:rFonts w:asciiTheme="minorBidi" w:hAnsiTheme="minorBidi" w:cstheme="minorBidi"/>
          <w:bCs/>
          <w:sz w:val="22"/>
          <w:szCs w:val="22"/>
          <w:lang w:val="en-GB" w:eastAsia="ar-SA"/>
        </w:rPr>
        <w:t xml:space="preserve">                                                                                                              </w:t>
      </w:r>
    </w:p>
    <w:p w14:paraId="67044A39" w14:textId="77777777" w:rsidR="00635193" w:rsidRPr="008402DE" w:rsidRDefault="00635193" w:rsidP="00F401B8">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Default="00DF08F9" w:rsidP="00162475">
      <w:pPr>
        <w:tabs>
          <w:tab w:val="left" w:pos="284"/>
        </w:tabs>
        <w:suppressAutoHyphens/>
        <w:jc w:val="center"/>
        <w:rPr>
          <w:rFonts w:ascii="Arial" w:hAnsi="Arial" w:cs="Arial"/>
          <w:b/>
          <w:sz w:val="22"/>
          <w:szCs w:val="22"/>
          <w:lang w:val="en-GB" w:eastAsia="ar-SA"/>
        </w:rPr>
      </w:pPr>
      <w:r w:rsidRPr="00F401B8">
        <w:rPr>
          <w:rFonts w:ascii="Arial" w:hAnsi="Arial" w:cs="Arial"/>
          <w:b/>
          <w:sz w:val="22"/>
          <w:szCs w:val="22"/>
          <w:lang w:val="en-GB" w:eastAsia="ar-SA"/>
        </w:rPr>
        <w:t>SPECIFIC PROCUREMENT NOTICE</w:t>
      </w:r>
    </w:p>
    <w:p w14:paraId="7A28DD87" w14:textId="77777777" w:rsidR="00B44932" w:rsidRDefault="00B44932" w:rsidP="00B44932">
      <w:pPr>
        <w:tabs>
          <w:tab w:val="left" w:pos="284"/>
        </w:tabs>
        <w:suppressAutoHyphens/>
        <w:jc w:val="center"/>
        <w:rPr>
          <w:rFonts w:ascii="Arial" w:hAnsi="Arial" w:cs="Arial"/>
          <w:b/>
          <w:sz w:val="22"/>
          <w:szCs w:val="22"/>
          <w:lang w:val="en-GB" w:eastAsia="ar-SA"/>
        </w:rPr>
      </w:pPr>
    </w:p>
    <w:p w14:paraId="380FD956" w14:textId="34F20DE6" w:rsidR="00B44932" w:rsidRPr="00B44932" w:rsidRDefault="00B44932" w:rsidP="00B44932">
      <w:pPr>
        <w:tabs>
          <w:tab w:val="left" w:pos="284"/>
        </w:tabs>
        <w:suppressAutoHyphens/>
        <w:jc w:val="center"/>
        <w:rPr>
          <w:rFonts w:ascii="Arial" w:hAnsi="Arial" w:cs="Arial"/>
          <w:b/>
          <w:sz w:val="22"/>
          <w:szCs w:val="22"/>
          <w:lang w:val="en-GB" w:eastAsia="ar-SA"/>
        </w:rPr>
      </w:pPr>
      <w:r w:rsidRPr="00B44932">
        <w:rPr>
          <w:rFonts w:ascii="Arial" w:hAnsi="Arial" w:cs="Arial"/>
          <w:b/>
          <w:sz w:val="22"/>
          <w:szCs w:val="22"/>
          <w:lang w:val="en-GB" w:eastAsia="ar-SA"/>
        </w:rPr>
        <w:t xml:space="preserve">REFERENCE NUMBER: </w:t>
      </w:r>
      <w:r w:rsidRPr="00B44932">
        <w:rPr>
          <w:rFonts w:ascii="Arial" w:hAnsi="Arial" w:cs="Arial"/>
          <w:b/>
          <w:sz w:val="22"/>
          <w:szCs w:val="22"/>
          <w:lang w:eastAsia="ar-SA"/>
        </w:rPr>
        <w:t>EH/</w:t>
      </w:r>
      <w:r w:rsidR="00FF7D03">
        <w:rPr>
          <w:rFonts w:ascii="Arial" w:hAnsi="Arial" w:cs="Arial"/>
          <w:b/>
          <w:sz w:val="22"/>
          <w:szCs w:val="22"/>
          <w:lang w:eastAsia="ar-SA"/>
        </w:rPr>
        <w:t>11</w:t>
      </w:r>
      <w:r w:rsidRPr="00B44932">
        <w:rPr>
          <w:rFonts w:ascii="Arial" w:hAnsi="Arial" w:cs="Arial"/>
          <w:b/>
          <w:sz w:val="22"/>
          <w:szCs w:val="22"/>
          <w:lang w:eastAsia="ar-SA"/>
        </w:rPr>
        <w:t>/0</w:t>
      </w:r>
      <w:r w:rsidR="00FF7D03">
        <w:rPr>
          <w:rFonts w:ascii="Arial" w:hAnsi="Arial" w:cs="Arial"/>
          <w:b/>
          <w:sz w:val="22"/>
          <w:szCs w:val="22"/>
          <w:lang w:eastAsia="ar-SA"/>
        </w:rPr>
        <w:t>5</w:t>
      </w:r>
      <w:r w:rsidRPr="00B44932">
        <w:rPr>
          <w:rFonts w:ascii="Arial" w:hAnsi="Arial" w:cs="Arial"/>
          <w:b/>
          <w:sz w:val="22"/>
          <w:szCs w:val="22"/>
          <w:lang w:eastAsia="ar-SA"/>
        </w:rPr>
        <w:t>/23</w:t>
      </w:r>
    </w:p>
    <w:p w14:paraId="39A16CEB" w14:textId="77777777" w:rsidR="00B44932" w:rsidRPr="00F401B8" w:rsidRDefault="00B44932" w:rsidP="00162475">
      <w:pPr>
        <w:tabs>
          <w:tab w:val="left" w:pos="284"/>
        </w:tabs>
        <w:suppressAutoHyphens/>
        <w:jc w:val="center"/>
        <w:rPr>
          <w:rFonts w:ascii="Arial" w:hAnsi="Arial" w:cs="Arial"/>
          <w:b/>
          <w:sz w:val="22"/>
          <w:szCs w:val="22"/>
          <w:lang w:val="en-GB" w:eastAsia="ar-SA"/>
        </w:rPr>
      </w:pPr>
    </w:p>
    <w:p w14:paraId="4CD0516D" w14:textId="025252CB" w:rsidR="00635193" w:rsidRPr="00F401B8" w:rsidRDefault="00A638A9" w:rsidP="00162475">
      <w:pPr>
        <w:jc w:val="center"/>
        <w:rPr>
          <w:rFonts w:ascii="Arial" w:hAnsi="Arial" w:cs="Arial"/>
          <w:b/>
          <w:sz w:val="22"/>
          <w:szCs w:val="22"/>
          <w:lang w:val="en-GB"/>
        </w:rPr>
      </w:pPr>
      <w:r w:rsidRPr="00F401B8">
        <w:rPr>
          <w:rFonts w:ascii="Arial" w:hAnsi="Arial" w:cs="Arial"/>
          <w:b/>
          <w:sz w:val="22"/>
          <w:szCs w:val="22"/>
          <w:lang w:val="en-GB"/>
        </w:rPr>
        <w:t>NUMBER OF LOTS: T</w:t>
      </w:r>
      <w:r w:rsidR="009E71B3">
        <w:rPr>
          <w:rFonts w:ascii="Arial" w:hAnsi="Arial" w:cs="Arial"/>
          <w:b/>
          <w:sz w:val="22"/>
          <w:szCs w:val="22"/>
          <w:lang w:val="en-GB"/>
        </w:rPr>
        <w:t>WO</w:t>
      </w:r>
      <w:r w:rsidRPr="00F401B8">
        <w:rPr>
          <w:rFonts w:ascii="Arial" w:hAnsi="Arial" w:cs="Arial"/>
          <w:b/>
          <w:sz w:val="22"/>
          <w:szCs w:val="22"/>
          <w:lang w:val="en-GB"/>
        </w:rPr>
        <w:t xml:space="preserve"> (</w:t>
      </w:r>
      <w:r w:rsidR="009E71B3">
        <w:rPr>
          <w:rFonts w:ascii="Arial" w:hAnsi="Arial" w:cs="Arial"/>
          <w:b/>
          <w:sz w:val="22"/>
          <w:szCs w:val="22"/>
          <w:lang w:val="en-GB"/>
        </w:rPr>
        <w:t>2</w:t>
      </w:r>
      <w:r w:rsidRPr="00F401B8">
        <w:rPr>
          <w:rFonts w:ascii="Arial" w:hAnsi="Arial" w:cs="Arial"/>
          <w:b/>
          <w:sz w:val="22"/>
          <w:szCs w:val="22"/>
          <w:lang w:val="en-GB"/>
        </w:rPr>
        <w:t>)</w:t>
      </w:r>
    </w:p>
    <w:p w14:paraId="6ED0916B" w14:textId="77777777" w:rsidR="00635193" w:rsidRPr="00F401B8" w:rsidRDefault="00635193" w:rsidP="00162475">
      <w:pPr>
        <w:jc w:val="center"/>
        <w:rPr>
          <w:rFonts w:ascii="Arial" w:hAnsi="Arial" w:cs="Arial"/>
          <w:b/>
          <w:sz w:val="22"/>
          <w:szCs w:val="22"/>
          <w:lang w:val="en-GB"/>
        </w:rPr>
      </w:pPr>
    </w:p>
    <w:p w14:paraId="703F42F5" w14:textId="77777777" w:rsidR="00635193" w:rsidRPr="00F401B8" w:rsidRDefault="00635193" w:rsidP="00784BCB">
      <w:pPr>
        <w:ind w:left="709"/>
        <w:jc w:val="both"/>
        <w:rPr>
          <w:rFonts w:ascii="Arial" w:hAnsi="Arial" w:cs="Arial"/>
          <w:bCs/>
          <w:sz w:val="22"/>
          <w:szCs w:val="22"/>
          <w:lang w:val="en-GB"/>
        </w:rPr>
      </w:pPr>
    </w:p>
    <w:p w14:paraId="779A90B0" w14:textId="25ABBCB5" w:rsidR="00E07FF1" w:rsidRPr="001D057D" w:rsidRDefault="00E07FF1" w:rsidP="00E07FF1">
      <w:pPr>
        <w:pStyle w:val="NoSpacing"/>
        <w:jc w:val="both"/>
        <w:rPr>
          <w:rFonts w:ascii="Arial" w:hAnsi="Arial" w:cs="Arial"/>
          <w:b/>
          <w:bCs/>
        </w:rPr>
      </w:pPr>
      <w:bookmarkStart w:id="1" w:name="_Hlk132902403"/>
      <w:r w:rsidRPr="001D057D">
        <w:rPr>
          <w:rFonts w:ascii="Arial" w:hAnsi="Arial" w:cs="Arial"/>
          <w:b/>
          <w:bCs/>
        </w:rPr>
        <w:t xml:space="preserve">TENDER FOR </w:t>
      </w:r>
      <w:bookmarkStart w:id="2" w:name="_Hlk122093046"/>
      <w:r w:rsidRPr="001D057D">
        <w:rPr>
          <w:rFonts w:ascii="Arial" w:hAnsi="Arial" w:cs="Arial"/>
          <w:b/>
          <w:bCs/>
        </w:rPr>
        <w:t xml:space="preserve">SUPPLY AND DELIVERY OF </w:t>
      </w:r>
      <w:r w:rsidR="00EC633F" w:rsidRPr="001D057D">
        <w:rPr>
          <w:rFonts w:ascii="Arial" w:hAnsi="Arial" w:cs="Arial"/>
          <w:b/>
          <w:bCs/>
        </w:rPr>
        <w:t>GRADING PROFICIENCY SCHEME EQUIPMENT</w:t>
      </w:r>
      <w:bookmarkEnd w:id="1"/>
      <w:r w:rsidR="00EC633F" w:rsidRPr="001D057D">
        <w:rPr>
          <w:rFonts w:ascii="Arial" w:hAnsi="Arial" w:cs="Arial"/>
          <w:b/>
          <w:bCs/>
        </w:rPr>
        <w:t>.</w:t>
      </w:r>
    </w:p>
    <w:bookmarkEnd w:id="2"/>
    <w:p w14:paraId="6D7FD4EE" w14:textId="4DCFEA61" w:rsidR="00635193" w:rsidRPr="00F401B8" w:rsidRDefault="00635193" w:rsidP="00E632A0">
      <w:pPr>
        <w:jc w:val="center"/>
        <w:rPr>
          <w:rFonts w:ascii="Arial" w:hAnsi="Arial" w:cs="Arial"/>
          <w:bCs/>
          <w:sz w:val="22"/>
          <w:szCs w:val="22"/>
          <w:lang w:val="en-GB"/>
        </w:rPr>
      </w:pPr>
      <w:r w:rsidRPr="00F401B8">
        <w:rPr>
          <w:rFonts w:ascii="Arial" w:hAnsi="Arial" w:cs="Arial"/>
          <w:bCs/>
          <w:sz w:val="22"/>
          <w:szCs w:val="22"/>
          <w:lang w:val="en-GB"/>
        </w:rPr>
        <w:t xml:space="preserve"> </w:t>
      </w:r>
    </w:p>
    <w:p w14:paraId="607DBDB7" w14:textId="77777777" w:rsidR="00635193" w:rsidRPr="00F401B8" w:rsidRDefault="00635193" w:rsidP="00784BCB">
      <w:pPr>
        <w:tabs>
          <w:tab w:val="left" w:pos="284"/>
        </w:tabs>
        <w:suppressAutoHyphens/>
        <w:jc w:val="both"/>
        <w:rPr>
          <w:rFonts w:ascii="Arial" w:hAnsi="Arial" w:cs="Arial"/>
          <w:bCs/>
          <w:sz w:val="10"/>
          <w:szCs w:val="10"/>
        </w:rPr>
      </w:pPr>
    </w:p>
    <w:p w14:paraId="77E73F3B" w14:textId="31473502" w:rsidR="00621874" w:rsidRPr="00F401B8" w:rsidRDefault="00621874" w:rsidP="00621874">
      <w:pPr>
        <w:shd w:val="clear" w:color="auto" w:fill="FFFFFF"/>
        <w:spacing w:after="165"/>
        <w:jc w:val="both"/>
        <w:rPr>
          <w:rStyle w:val="Hyperlink"/>
          <w:rFonts w:ascii="Arial" w:hAnsi="Arial" w:cs="Arial"/>
        </w:rPr>
      </w:pPr>
      <w:r w:rsidRPr="00F401B8">
        <w:rPr>
          <w:rFonts w:ascii="Arial" w:hAnsi="Arial" w:cs="Arial"/>
          <w:color w:val="333333"/>
        </w:rPr>
        <w:t xml:space="preserve">The Common Market for Eastern and Southern Africa (COMESA) is a Regional Economic Community comprising twenty-one (21) Africa States which agreed to promote regional integration through trade and investment for the benefit of all its people. </w:t>
      </w:r>
      <w:r w:rsidRPr="00F401B8">
        <w:rPr>
          <w:rFonts w:ascii="Arial" w:hAnsi="Arial" w:cs="Arial"/>
          <w:color w:val="000000"/>
        </w:rPr>
        <w:t xml:space="preserve">More information can be obtained from the website </w:t>
      </w:r>
      <w:hyperlink r:id="rId8" w:history="1">
        <w:r w:rsidRPr="00F401B8">
          <w:rPr>
            <w:rStyle w:val="Hyperlink"/>
            <w:rFonts w:ascii="Arial" w:hAnsi="Arial" w:cs="Arial"/>
          </w:rPr>
          <w:t>http://www.comesa.int/</w:t>
        </w:r>
      </w:hyperlink>
      <w:r w:rsidRPr="00F401B8">
        <w:rPr>
          <w:rStyle w:val="Hyperlink"/>
          <w:rFonts w:ascii="Arial" w:hAnsi="Arial" w:cs="Arial"/>
        </w:rPr>
        <w:t>.</w:t>
      </w:r>
    </w:p>
    <w:p w14:paraId="0EFEDBD7" w14:textId="77777777" w:rsidR="00635193" w:rsidRPr="00F401B8" w:rsidRDefault="00635193" w:rsidP="00784BCB">
      <w:pPr>
        <w:tabs>
          <w:tab w:val="left" w:pos="284"/>
        </w:tabs>
        <w:suppressAutoHyphens/>
        <w:jc w:val="both"/>
        <w:rPr>
          <w:rFonts w:ascii="Arial" w:hAnsi="Arial" w:cs="Arial"/>
          <w:bCs/>
          <w:spacing w:val="-2"/>
          <w:sz w:val="12"/>
          <w:szCs w:val="12"/>
          <w:lang w:val="en-GB" w:eastAsia="ar-SA"/>
        </w:rPr>
      </w:pPr>
    </w:p>
    <w:p w14:paraId="1ABA61A4" w14:textId="2C2CD9C8" w:rsidR="00CB6FA3" w:rsidRPr="00EC633F" w:rsidRDefault="00C761CB" w:rsidP="00784BCB">
      <w:pPr>
        <w:tabs>
          <w:tab w:val="left" w:pos="284"/>
        </w:tabs>
        <w:suppressAutoHyphens/>
        <w:jc w:val="both"/>
        <w:rPr>
          <w:rFonts w:ascii="Arial" w:hAnsi="Arial" w:cs="Arial"/>
          <w:bCs/>
        </w:rPr>
      </w:pPr>
      <w:r w:rsidRPr="00C761CB">
        <w:rPr>
          <w:rFonts w:ascii="Arial" w:hAnsi="Arial" w:cs="Arial"/>
          <w:bCs/>
        </w:rPr>
        <w:t>The Common Market for Eastern and Southern Africa (COMESA) in collaboration with the Alliance for a Green Revolution in Africa (AGRA) with support from the Foreign, Commonwealth and Development Office (FCDO, UK)) have embarked on a project to Enhance Regional Agricultural Commodity Trade in COMESA. The project aims at enhancing regional agricultural commodity trade in the region through the establishment of Mutual Recognition Agreements (MRA) among the trading partner Member States. The project is being piloted in Kenya, Uganda, Rwanda, Malawi, Zambia, and Zimbabwe with the MRA covering six (6) key traded commodities in the region - Maize, Groundnuts, Soya-beans, Rice, Beans and Sorghum</w:t>
      </w:r>
      <w:r w:rsidR="00CB6FA3" w:rsidRPr="00EC633F">
        <w:rPr>
          <w:rFonts w:ascii="Arial" w:hAnsi="Arial" w:cs="Arial"/>
          <w:bCs/>
        </w:rPr>
        <w:t xml:space="preserve">  </w:t>
      </w:r>
    </w:p>
    <w:p w14:paraId="77728399" w14:textId="77777777" w:rsidR="00CB6FA3" w:rsidRPr="00EC633F" w:rsidRDefault="00CB6FA3" w:rsidP="00784BCB">
      <w:pPr>
        <w:tabs>
          <w:tab w:val="left" w:pos="284"/>
        </w:tabs>
        <w:suppressAutoHyphens/>
        <w:jc w:val="both"/>
        <w:rPr>
          <w:rFonts w:ascii="Arial" w:hAnsi="Arial" w:cs="Arial"/>
          <w:bCs/>
        </w:rPr>
      </w:pPr>
    </w:p>
    <w:p w14:paraId="7F6DD3C6" w14:textId="341083F9" w:rsidR="00635193" w:rsidRPr="00EC633F" w:rsidRDefault="00635193" w:rsidP="00784BCB">
      <w:pPr>
        <w:tabs>
          <w:tab w:val="left" w:pos="284"/>
        </w:tabs>
        <w:suppressAutoHyphens/>
        <w:jc w:val="both"/>
        <w:rPr>
          <w:rFonts w:ascii="Arial" w:hAnsi="Arial" w:cs="Arial"/>
          <w:bCs/>
        </w:rPr>
      </w:pPr>
      <w:r w:rsidRPr="00EC633F">
        <w:rPr>
          <w:rFonts w:ascii="Arial" w:hAnsi="Arial" w:cs="Arial"/>
          <w:bCs/>
        </w:rPr>
        <w:t>The Common market for Eastern and Southern Africa (COMESA) Secretariat</w:t>
      </w:r>
      <w:r w:rsidRPr="00EC633F">
        <w:rPr>
          <w:rFonts w:ascii="Arial" w:hAnsi="Arial" w:cs="Arial"/>
          <w:bCs/>
          <w:spacing w:val="-2"/>
          <w:lang w:val="en-GB" w:eastAsia="ar-SA"/>
        </w:rPr>
        <w:t xml:space="preserve"> now invites eligible </w:t>
      </w:r>
      <w:r w:rsidR="00C30C47" w:rsidRPr="00EC633F">
        <w:rPr>
          <w:rFonts w:ascii="Arial" w:hAnsi="Arial" w:cs="Arial"/>
          <w:bCs/>
          <w:spacing w:val="-2"/>
          <w:lang w:val="en-GB" w:eastAsia="ar-SA"/>
        </w:rPr>
        <w:t xml:space="preserve">firms </w:t>
      </w:r>
      <w:r w:rsidRPr="00EC633F">
        <w:rPr>
          <w:rFonts w:ascii="Arial" w:hAnsi="Arial" w:cs="Arial"/>
          <w:bCs/>
          <w:spacing w:val="-2"/>
          <w:lang w:val="en-GB" w:eastAsia="ar-SA"/>
        </w:rPr>
        <w:t xml:space="preserve">to </w:t>
      </w:r>
      <w:r w:rsidR="00C30C47" w:rsidRPr="00EC633F">
        <w:rPr>
          <w:rFonts w:ascii="Arial" w:hAnsi="Arial" w:cs="Arial"/>
          <w:bCs/>
          <w:spacing w:val="-2"/>
          <w:lang w:val="en-GB" w:eastAsia="ar-SA"/>
        </w:rPr>
        <w:t xml:space="preserve">provide their bids </w:t>
      </w:r>
      <w:r w:rsidRPr="00EC633F">
        <w:rPr>
          <w:rFonts w:ascii="Arial" w:hAnsi="Arial" w:cs="Arial"/>
          <w:bCs/>
          <w:spacing w:val="-2"/>
          <w:lang w:val="en-GB" w:eastAsia="ar-SA"/>
        </w:rPr>
        <w:t xml:space="preserve">for the </w:t>
      </w:r>
      <w:r w:rsidR="00C30C47" w:rsidRPr="00EC633F">
        <w:rPr>
          <w:rFonts w:ascii="Arial" w:hAnsi="Arial" w:cs="Arial"/>
        </w:rPr>
        <w:t>supply and delivery of</w:t>
      </w:r>
      <w:r w:rsidR="00C30C47" w:rsidRPr="00EC633F">
        <w:rPr>
          <w:rFonts w:ascii="Arial" w:hAnsi="Arial" w:cs="Arial"/>
          <w:bCs/>
        </w:rPr>
        <w:t xml:space="preserve"> </w:t>
      </w:r>
      <w:r w:rsidR="00C761CB" w:rsidRPr="00C761CB">
        <w:rPr>
          <w:rFonts w:ascii="Arial" w:hAnsi="Arial" w:cs="Arial"/>
          <w:bCs/>
        </w:rPr>
        <w:t>Grading Proficiency Scheme requires equipment</w:t>
      </w:r>
      <w:r w:rsidR="00C761CB">
        <w:rPr>
          <w:rFonts w:ascii="Arial" w:hAnsi="Arial" w:cs="Arial"/>
          <w:bCs/>
        </w:rPr>
        <w:t>.</w:t>
      </w:r>
      <w:r w:rsidR="00C761CB" w:rsidRPr="00EC633F">
        <w:rPr>
          <w:rFonts w:ascii="Arial" w:hAnsi="Arial" w:cs="Arial"/>
          <w:bCs/>
        </w:rPr>
        <w:t xml:space="preserve"> The</w:t>
      </w:r>
      <w:r w:rsidR="00394DCA">
        <w:rPr>
          <w:rFonts w:ascii="Arial" w:hAnsi="Arial" w:cs="Arial"/>
          <w:bCs/>
        </w:rPr>
        <w:t xml:space="preserve"> </w:t>
      </w:r>
      <w:r w:rsidR="00C30C47" w:rsidRPr="00EC633F">
        <w:rPr>
          <w:rFonts w:ascii="Arial" w:hAnsi="Arial" w:cs="Arial"/>
          <w:bCs/>
        </w:rPr>
        <w:t>Tender has the following Lots and Quantities</w:t>
      </w:r>
      <w:r w:rsidR="00EE2ADB" w:rsidRPr="00EC633F">
        <w:rPr>
          <w:rFonts w:ascii="Arial" w:hAnsi="Arial" w:cs="Arial"/>
          <w:bCs/>
        </w:rPr>
        <w:t xml:space="preserve"> as follows:</w:t>
      </w:r>
    </w:p>
    <w:p w14:paraId="1807CD9D" w14:textId="10528D7C" w:rsidR="00EE2ADB" w:rsidRPr="00EC633F" w:rsidRDefault="00EE2ADB" w:rsidP="00784BCB">
      <w:pPr>
        <w:tabs>
          <w:tab w:val="left" w:pos="284"/>
        </w:tabs>
        <w:suppressAutoHyphens/>
        <w:jc w:val="both"/>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292"/>
        <w:gridCol w:w="1817"/>
      </w:tblGrid>
      <w:tr w:rsidR="008402DE" w:rsidRPr="00EC633F" w14:paraId="695C459A" w14:textId="77777777" w:rsidTr="009E71B3">
        <w:trPr>
          <w:jc w:val="center"/>
        </w:trPr>
        <w:tc>
          <w:tcPr>
            <w:tcW w:w="318" w:type="pct"/>
            <w:shd w:val="clear" w:color="auto" w:fill="BFBFBF"/>
          </w:tcPr>
          <w:p w14:paraId="13D2186B" w14:textId="6D790F40" w:rsidR="00E51C70" w:rsidRPr="00EC633F" w:rsidRDefault="007E561A" w:rsidP="00244549">
            <w:pPr>
              <w:rPr>
                <w:rFonts w:ascii="Arial" w:hAnsi="Arial" w:cs="Arial"/>
                <w:lang w:val="en-GB"/>
              </w:rPr>
            </w:pPr>
            <w:r w:rsidRPr="00EC633F">
              <w:rPr>
                <w:rFonts w:ascii="Arial" w:hAnsi="Arial" w:cs="Arial"/>
                <w:lang w:val="en-GB"/>
              </w:rPr>
              <w:t>Lot</w:t>
            </w:r>
          </w:p>
        </w:tc>
        <w:tc>
          <w:tcPr>
            <w:tcW w:w="3633" w:type="pct"/>
            <w:shd w:val="clear" w:color="auto" w:fill="BFBFBF"/>
          </w:tcPr>
          <w:p w14:paraId="7DFF80C8" w14:textId="60D899BE" w:rsidR="00E51C70" w:rsidRPr="00EC633F" w:rsidRDefault="007E561A" w:rsidP="00244549">
            <w:pPr>
              <w:rPr>
                <w:rFonts w:ascii="Arial" w:hAnsi="Arial" w:cs="Arial"/>
                <w:lang w:val="en-GB"/>
              </w:rPr>
            </w:pPr>
            <w:r w:rsidRPr="00EC633F">
              <w:rPr>
                <w:rFonts w:ascii="Arial" w:hAnsi="Arial" w:cs="Arial"/>
                <w:lang w:val="en-GB"/>
              </w:rPr>
              <w:t>Product Description</w:t>
            </w:r>
          </w:p>
        </w:tc>
        <w:tc>
          <w:tcPr>
            <w:tcW w:w="1049" w:type="pct"/>
            <w:shd w:val="clear" w:color="auto" w:fill="BFBFBF"/>
          </w:tcPr>
          <w:p w14:paraId="4DFC7689" w14:textId="7F877675" w:rsidR="00E51C70" w:rsidRPr="00EC633F" w:rsidRDefault="007E561A" w:rsidP="00244549">
            <w:pPr>
              <w:rPr>
                <w:rFonts w:ascii="Arial" w:hAnsi="Arial" w:cs="Arial"/>
                <w:lang w:val="en-GB"/>
              </w:rPr>
            </w:pPr>
            <w:r w:rsidRPr="00EC633F">
              <w:rPr>
                <w:rFonts w:ascii="Arial" w:hAnsi="Arial" w:cs="Arial"/>
                <w:lang w:val="en-GB"/>
              </w:rPr>
              <w:t>Quantities</w:t>
            </w:r>
          </w:p>
        </w:tc>
      </w:tr>
      <w:tr w:rsidR="008402DE" w:rsidRPr="00EC633F" w14:paraId="24FE355D" w14:textId="77777777" w:rsidTr="009E71B3">
        <w:trPr>
          <w:jc w:val="center"/>
        </w:trPr>
        <w:tc>
          <w:tcPr>
            <w:tcW w:w="318" w:type="pct"/>
            <w:vAlign w:val="center"/>
          </w:tcPr>
          <w:p w14:paraId="1E7650F2" w14:textId="15418A3E" w:rsidR="00E51C70" w:rsidRPr="00EC633F" w:rsidRDefault="009E71B3" w:rsidP="00244549">
            <w:pPr>
              <w:jc w:val="center"/>
              <w:rPr>
                <w:rFonts w:ascii="Arial" w:hAnsi="Arial" w:cs="Arial"/>
                <w:lang w:val="en-GB"/>
              </w:rPr>
            </w:pPr>
            <w:r>
              <w:rPr>
                <w:rFonts w:ascii="Arial" w:hAnsi="Arial" w:cs="Arial"/>
                <w:lang w:val="en-GB"/>
              </w:rPr>
              <w:t>1</w:t>
            </w:r>
          </w:p>
        </w:tc>
        <w:tc>
          <w:tcPr>
            <w:tcW w:w="3633" w:type="pct"/>
            <w:vAlign w:val="center"/>
          </w:tcPr>
          <w:p w14:paraId="3C0C0AD6" w14:textId="344A15EE" w:rsidR="00E51C70" w:rsidRPr="00EC633F" w:rsidRDefault="00AC4F37" w:rsidP="00244549">
            <w:pPr>
              <w:rPr>
                <w:rFonts w:ascii="Arial" w:hAnsi="Arial" w:cs="Arial"/>
                <w:lang w:val="nl-NL"/>
              </w:rPr>
            </w:pPr>
            <w:r>
              <w:rPr>
                <w:rFonts w:ascii="Arial" w:hAnsi="Arial" w:cs="Arial"/>
              </w:rPr>
              <w:t>Grading Equipment</w:t>
            </w:r>
          </w:p>
        </w:tc>
        <w:tc>
          <w:tcPr>
            <w:tcW w:w="1049" w:type="pct"/>
            <w:vAlign w:val="center"/>
          </w:tcPr>
          <w:p w14:paraId="3508930D" w14:textId="64D6996C" w:rsidR="00E51C70" w:rsidRPr="00EC633F" w:rsidRDefault="00AC4F37" w:rsidP="00244549">
            <w:pPr>
              <w:jc w:val="center"/>
              <w:rPr>
                <w:rFonts w:ascii="Arial" w:hAnsi="Arial" w:cs="Arial"/>
                <w:lang w:val="nl-NL"/>
              </w:rPr>
            </w:pPr>
            <w:r>
              <w:rPr>
                <w:rFonts w:ascii="Arial" w:hAnsi="Arial" w:cs="Arial"/>
                <w:lang w:val="nl-NL"/>
              </w:rPr>
              <w:t>21</w:t>
            </w:r>
          </w:p>
        </w:tc>
      </w:tr>
      <w:tr w:rsidR="008402DE" w:rsidRPr="00EC633F" w14:paraId="73AF881D" w14:textId="77777777" w:rsidTr="009E71B3">
        <w:trPr>
          <w:jc w:val="center"/>
        </w:trPr>
        <w:tc>
          <w:tcPr>
            <w:tcW w:w="318" w:type="pct"/>
            <w:vAlign w:val="center"/>
          </w:tcPr>
          <w:p w14:paraId="4751E9E1" w14:textId="42E9A592" w:rsidR="00E51C70" w:rsidRPr="00EC633F" w:rsidRDefault="009E71B3" w:rsidP="00244549">
            <w:pPr>
              <w:jc w:val="center"/>
              <w:rPr>
                <w:rFonts w:ascii="Arial" w:hAnsi="Arial" w:cs="Arial"/>
                <w:lang w:val="en-GB"/>
              </w:rPr>
            </w:pPr>
            <w:r>
              <w:rPr>
                <w:rFonts w:ascii="Arial" w:hAnsi="Arial" w:cs="Arial"/>
                <w:lang w:val="en-GB"/>
              </w:rPr>
              <w:t>2</w:t>
            </w:r>
          </w:p>
        </w:tc>
        <w:tc>
          <w:tcPr>
            <w:tcW w:w="3633" w:type="pct"/>
            <w:vAlign w:val="center"/>
          </w:tcPr>
          <w:p w14:paraId="2C864650" w14:textId="3A59281D" w:rsidR="00E51C70" w:rsidRPr="00EC633F" w:rsidRDefault="00F11D85" w:rsidP="00244549">
            <w:pPr>
              <w:rPr>
                <w:rFonts w:ascii="Arial" w:hAnsi="Arial" w:cs="Arial"/>
                <w:lang w:val="nl-NL"/>
              </w:rPr>
            </w:pPr>
            <w:r>
              <w:rPr>
                <w:rFonts w:ascii="Arial" w:hAnsi="Arial" w:cs="Arial"/>
              </w:rPr>
              <w:t>Testing Equipment</w:t>
            </w:r>
            <w:r w:rsidR="007E561A" w:rsidRPr="00EC633F">
              <w:rPr>
                <w:rFonts w:ascii="Arial" w:hAnsi="Arial" w:cs="Arial"/>
              </w:rPr>
              <w:t xml:space="preserve"> </w:t>
            </w:r>
          </w:p>
        </w:tc>
        <w:tc>
          <w:tcPr>
            <w:tcW w:w="1049" w:type="pct"/>
            <w:vAlign w:val="center"/>
          </w:tcPr>
          <w:p w14:paraId="36444248" w14:textId="13FDDCEC" w:rsidR="00E51C70" w:rsidRPr="00EC633F" w:rsidRDefault="007E561A" w:rsidP="00244549">
            <w:pPr>
              <w:jc w:val="center"/>
              <w:rPr>
                <w:rFonts w:ascii="Arial" w:hAnsi="Arial" w:cs="Arial"/>
                <w:lang w:val="nl-NL"/>
              </w:rPr>
            </w:pPr>
            <w:r w:rsidRPr="00EC633F">
              <w:rPr>
                <w:rFonts w:ascii="Arial" w:hAnsi="Arial" w:cs="Arial"/>
                <w:lang w:val="nl-NL"/>
              </w:rPr>
              <w:t>1</w:t>
            </w:r>
            <w:r w:rsidR="008B1A7C">
              <w:rPr>
                <w:rFonts w:ascii="Arial" w:hAnsi="Arial" w:cs="Arial"/>
                <w:lang w:val="nl-NL"/>
              </w:rPr>
              <w:t>7</w:t>
            </w:r>
          </w:p>
        </w:tc>
      </w:tr>
    </w:tbl>
    <w:p w14:paraId="4A0A9A66" w14:textId="77777777" w:rsidR="00E51C70" w:rsidRPr="00EC633F" w:rsidRDefault="00E51C70" w:rsidP="00784BCB">
      <w:pPr>
        <w:tabs>
          <w:tab w:val="left" w:pos="284"/>
        </w:tabs>
        <w:suppressAutoHyphens/>
        <w:jc w:val="both"/>
        <w:rPr>
          <w:rFonts w:ascii="Arial" w:hAnsi="Arial" w:cs="Arial"/>
          <w:bCs/>
        </w:rPr>
      </w:pPr>
    </w:p>
    <w:p w14:paraId="6F97ABD1" w14:textId="26220323" w:rsidR="00635193" w:rsidRPr="00EC633F" w:rsidRDefault="00635193" w:rsidP="00784BCB">
      <w:pPr>
        <w:tabs>
          <w:tab w:val="left" w:pos="284"/>
        </w:tabs>
        <w:suppressAutoHyphens/>
        <w:jc w:val="both"/>
        <w:rPr>
          <w:rFonts w:ascii="Arial" w:hAnsi="Arial" w:cs="Arial"/>
          <w:bCs/>
          <w:spacing w:val="-2"/>
          <w:lang w:val="en-GB" w:eastAsia="ar-SA"/>
        </w:rPr>
      </w:pPr>
      <w:r w:rsidRPr="00EC633F">
        <w:rPr>
          <w:rFonts w:ascii="Arial" w:hAnsi="Arial" w:cs="Arial"/>
          <w:bCs/>
          <w:spacing w:val="-2"/>
          <w:lang w:val="en-GB" w:eastAsia="ar-SA"/>
        </w:rPr>
        <w:t xml:space="preserve">Eligibility criteria, and the selection procedure shall be in accordance with the </w:t>
      </w:r>
      <w:r w:rsidR="0013599E" w:rsidRPr="00EC633F">
        <w:rPr>
          <w:rFonts w:ascii="Arial" w:hAnsi="Arial" w:cs="Arial"/>
          <w:bCs/>
          <w:spacing w:val="-2"/>
          <w:lang w:val="en-GB" w:eastAsia="ar-SA"/>
        </w:rPr>
        <w:t xml:space="preserve">COMESA </w:t>
      </w:r>
      <w:r w:rsidRPr="00EC633F">
        <w:rPr>
          <w:rFonts w:ascii="Arial" w:hAnsi="Arial" w:cs="Arial"/>
          <w:bCs/>
          <w:spacing w:val="-2"/>
          <w:lang w:val="en-GB" w:eastAsia="ar-SA"/>
        </w:rPr>
        <w:t>“Procurement</w:t>
      </w:r>
      <w:r w:rsidR="0013599E" w:rsidRPr="00EC633F">
        <w:rPr>
          <w:rFonts w:ascii="Arial" w:hAnsi="Arial" w:cs="Arial"/>
          <w:bCs/>
          <w:spacing w:val="-2"/>
          <w:lang w:val="en-GB" w:eastAsia="ar-SA"/>
        </w:rPr>
        <w:t xml:space="preserve"> Rules and Regulations February 2014</w:t>
      </w:r>
      <w:r w:rsidRPr="00EC633F">
        <w:rPr>
          <w:rFonts w:ascii="Arial" w:hAnsi="Arial" w:cs="Arial"/>
          <w:bCs/>
          <w:spacing w:val="-2"/>
          <w:lang w:val="en-GB" w:eastAsia="ar-SA"/>
        </w:rPr>
        <w:t xml:space="preserve">”, which is available on the </w:t>
      </w:r>
      <w:r w:rsidR="0013599E" w:rsidRPr="00EC633F">
        <w:rPr>
          <w:rFonts w:ascii="Arial" w:hAnsi="Arial" w:cs="Arial"/>
          <w:bCs/>
          <w:spacing w:val="-2"/>
          <w:lang w:val="en-GB" w:eastAsia="ar-SA"/>
        </w:rPr>
        <w:t xml:space="preserve">COMESA </w:t>
      </w:r>
      <w:r w:rsidRPr="00EC633F">
        <w:rPr>
          <w:rFonts w:ascii="Arial" w:hAnsi="Arial" w:cs="Arial"/>
          <w:bCs/>
          <w:spacing w:val="-2"/>
          <w:lang w:val="en-GB" w:eastAsia="ar-SA"/>
        </w:rPr>
        <w:t xml:space="preserve">website at </w:t>
      </w:r>
      <w:hyperlink r:id="rId9" w:history="1">
        <w:r w:rsidR="0013599E" w:rsidRPr="00EC633F">
          <w:rPr>
            <w:rStyle w:val="Hyperlink"/>
            <w:rFonts w:ascii="Arial" w:hAnsi="Arial" w:cs="Arial"/>
            <w:bCs/>
            <w:spacing w:val="-2"/>
            <w:lang w:val="en-GB" w:eastAsia="ar-SA"/>
          </w:rPr>
          <w:t>http://www.comesa.int</w:t>
        </w:r>
      </w:hyperlink>
      <w:r w:rsidRPr="00EC633F">
        <w:rPr>
          <w:rFonts w:ascii="Arial" w:hAnsi="Arial" w:cs="Arial"/>
          <w:bCs/>
          <w:spacing w:val="-2"/>
          <w:lang w:val="en-GB" w:eastAsia="ar-SA"/>
        </w:rPr>
        <w:t>.</w:t>
      </w:r>
    </w:p>
    <w:p w14:paraId="28A773FA" w14:textId="77777777" w:rsidR="00635193" w:rsidRPr="00EC633F" w:rsidRDefault="00635193" w:rsidP="00784BCB">
      <w:pPr>
        <w:tabs>
          <w:tab w:val="left" w:pos="284"/>
        </w:tabs>
        <w:suppressAutoHyphens/>
        <w:jc w:val="both"/>
        <w:rPr>
          <w:rFonts w:ascii="Arial" w:hAnsi="Arial" w:cs="Arial"/>
          <w:bCs/>
          <w:lang w:val="en-GB" w:eastAsia="ar-SA"/>
        </w:rPr>
      </w:pPr>
    </w:p>
    <w:p w14:paraId="3B190BD2" w14:textId="5BA58AF0" w:rsidR="00635193" w:rsidRPr="00EC633F" w:rsidRDefault="00635193" w:rsidP="00784BCB">
      <w:pPr>
        <w:tabs>
          <w:tab w:val="left" w:pos="284"/>
        </w:tabs>
        <w:suppressAutoHyphens/>
        <w:jc w:val="both"/>
        <w:rPr>
          <w:rFonts w:ascii="Arial" w:hAnsi="Arial" w:cs="Arial"/>
          <w:bCs/>
          <w:spacing w:val="-2"/>
          <w:lang w:val="en-GB" w:eastAsia="ar-SA"/>
        </w:rPr>
      </w:pPr>
      <w:r w:rsidRPr="00EC633F">
        <w:rPr>
          <w:rFonts w:ascii="Arial" w:hAnsi="Arial" w:cs="Arial"/>
          <w:bCs/>
          <w:spacing w:val="-2"/>
          <w:lang w:val="en-GB" w:eastAsia="ar-SA"/>
        </w:rPr>
        <w:t xml:space="preserve">Detailed description of the </w:t>
      </w:r>
      <w:r w:rsidR="007E561A" w:rsidRPr="00EC633F">
        <w:rPr>
          <w:rFonts w:ascii="Arial" w:hAnsi="Arial" w:cs="Arial"/>
          <w:bCs/>
          <w:spacing w:val="-2"/>
          <w:lang w:val="en-GB" w:eastAsia="ar-SA"/>
        </w:rPr>
        <w:t xml:space="preserve">products and delivery destinations </w:t>
      </w:r>
      <w:r w:rsidRPr="00EC633F">
        <w:rPr>
          <w:rFonts w:ascii="Arial" w:hAnsi="Arial" w:cs="Arial"/>
          <w:bCs/>
          <w:spacing w:val="-2"/>
          <w:lang w:val="en-GB" w:eastAsia="ar-SA"/>
        </w:rPr>
        <w:t xml:space="preserve">are provided in the </w:t>
      </w:r>
      <w:r w:rsidR="007E561A" w:rsidRPr="00EC633F">
        <w:rPr>
          <w:rFonts w:ascii="Arial" w:hAnsi="Arial" w:cs="Arial"/>
          <w:bCs/>
          <w:spacing w:val="-2"/>
          <w:lang w:val="en-GB" w:eastAsia="ar-SA"/>
        </w:rPr>
        <w:t>Tender D</w:t>
      </w:r>
      <w:r w:rsidRPr="00EC633F">
        <w:rPr>
          <w:rFonts w:ascii="Arial" w:hAnsi="Arial" w:cs="Arial"/>
          <w:bCs/>
          <w:spacing w:val="-2"/>
          <w:lang w:val="en-GB" w:eastAsia="ar-SA"/>
        </w:rPr>
        <w:t xml:space="preserve">ocument which can be downloaded free of charge from the COMESA website on the link alongside this notice: </w:t>
      </w:r>
      <w:hyperlink r:id="rId10" w:history="1">
        <w:r w:rsidRPr="00EC633F">
          <w:rPr>
            <w:rStyle w:val="Hyperlink"/>
            <w:rFonts w:ascii="Arial" w:hAnsi="Arial" w:cs="Arial"/>
            <w:bCs/>
            <w:color w:val="auto"/>
            <w:spacing w:val="-2"/>
            <w:lang w:val="en-GB" w:eastAsia="ar-SA"/>
          </w:rPr>
          <w:t>www.comesa.int</w:t>
        </w:r>
      </w:hyperlink>
      <w:r w:rsidRPr="00EC633F">
        <w:rPr>
          <w:rFonts w:ascii="Arial" w:hAnsi="Arial" w:cs="Arial"/>
          <w:bCs/>
          <w:spacing w:val="-2"/>
          <w:lang w:val="en-GB" w:eastAsia="ar-SA"/>
        </w:rPr>
        <w:t xml:space="preserve"> </w:t>
      </w:r>
    </w:p>
    <w:p w14:paraId="4AE75480" w14:textId="77777777" w:rsidR="00635193" w:rsidRPr="00EC633F" w:rsidRDefault="00635193" w:rsidP="00784BCB">
      <w:pPr>
        <w:tabs>
          <w:tab w:val="left" w:pos="284"/>
        </w:tabs>
        <w:suppressAutoHyphens/>
        <w:jc w:val="both"/>
        <w:rPr>
          <w:rFonts w:ascii="Arial" w:hAnsi="Arial" w:cs="Arial"/>
          <w:bCs/>
          <w:spacing w:val="-2"/>
          <w:lang w:val="en-GB" w:eastAsia="ar-SA"/>
        </w:rPr>
      </w:pPr>
    </w:p>
    <w:p w14:paraId="27A18AD8" w14:textId="10AF030D" w:rsidR="00635193" w:rsidRPr="00EC633F" w:rsidRDefault="00635193" w:rsidP="00784BCB">
      <w:pPr>
        <w:tabs>
          <w:tab w:val="left" w:pos="284"/>
        </w:tabs>
        <w:suppressAutoHyphens/>
        <w:jc w:val="both"/>
        <w:rPr>
          <w:rFonts w:ascii="Arial" w:hAnsi="Arial" w:cs="Arial"/>
          <w:bCs/>
          <w:spacing w:val="-2"/>
          <w:lang w:val="en-GB" w:eastAsia="ar-SA"/>
        </w:rPr>
      </w:pPr>
      <w:r w:rsidRPr="00EC633F">
        <w:rPr>
          <w:rFonts w:ascii="Arial" w:hAnsi="Arial" w:cs="Arial"/>
          <w:bCs/>
          <w:spacing w:val="-2"/>
          <w:lang w:val="en-GB" w:eastAsia="ar-SA"/>
        </w:rPr>
        <w:lastRenderedPageBreak/>
        <w:t xml:space="preserve">Additional requests for information and clarifications can be made until </w:t>
      </w:r>
      <w:r w:rsidR="007D3D9C" w:rsidRPr="00EC633F">
        <w:rPr>
          <w:rFonts w:ascii="Arial" w:hAnsi="Arial" w:cs="Arial"/>
          <w:bCs/>
          <w:spacing w:val="-2"/>
          <w:lang w:val="en-GB" w:eastAsia="ar-SA"/>
        </w:rPr>
        <w:t>three (</w:t>
      </w:r>
      <w:r w:rsidR="009D74EF" w:rsidRPr="00EC633F">
        <w:rPr>
          <w:rFonts w:ascii="Arial" w:hAnsi="Arial" w:cs="Arial"/>
          <w:bCs/>
          <w:spacing w:val="-2"/>
          <w:lang w:val="en-GB" w:eastAsia="ar-SA"/>
        </w:rPr>
        <w:t>3</w:t>
      </w:r>
      <w:r w:rsidR="007D3D9C" w:rsidRPr="00EC633F">
        <w:rPr>
          <w:rFonts w:ascii="Arial" w:hAnsi="Arial" w:cs="Arial"/>
          <w:bCs/>
          <w:spacing w:val="-2"/>
          <w:lang w:val="en-GB" w:eastAsia="ar-SA"/>
        </w:rPr>
        <w:t>)</w:t>
      </w:r>
      <w:r w:rsidRPr="00EC633F">
        <w:rPr>
          <w:rFonts w:ascii="Arial" w:hAnsi="Arial" w:cs="Arial"/>
          <w:bCs/>
          <w:spacing w:val="-2"/>
          <w:lang w:val="en-GB" w:eastAsia="ar-SA"/>
        </w:rPr>
        <w:t xml:space="preserve"> working days prior to deadline at the following addresses: </w:t>
      </w:r>
    </w:p>
    <w:p w14:paraId="7B5839DC" w14:textId="77777777" w:rsidR="00635193" w:rsidRPr="00EC633F" w:rsidRDefault="00635193" w:rsidP="00784BCB">
      <w:pPr>
        <w:tabs>
          <w:tab w:val="left" w:pos="284"/>
        </w:tabs>
        <w:suppressAutoHyphens/>
        <w:jc w:val="both"/>
        <w:rPr>
          <w:rFonts w:ascii="Arial" w:hAnsi="Arial" w:cs="Arial"/>
          <w:bCs/>
          <w:spacing w:val="-2"/>
          <w:lang w:val="en-GB" w:eastAsia="ar-SA"/>
        </w:rPr>
      </w:pPr>
    </w:p>
    <w:p w14:paraId="02B0B260" w14:textId="2FC5105F" w:rsidR="00635193" w:rsidRPr="00EC633F" w:rsidRDefault="00406A19" w:rsidP="00784BCB">
      <w:pPr>
        <w:rPr>
          <w:rStyle w:val="Hyperlink"/>
          <w:rFonts w:ascii="Arial" w:hAnsi="Arial" w:cs="Arial"/>
          <w:bCs/>
          <w:color w:val="auto"/>
          <w:lang w:val="fr-FR"/>
        </w:rPr>
      </w:pPr>
      <w:proofErr w:type="gramStart"/>
      <w:r w:rsidRPr="00EC633F">
        <w:rPr>
          <w:rFonts w:ascii="Arial" w:hAnsi="Arial" w:cs="Arial"/>
          <w:bCs/>
          <w:lang w:val="fr-FR"/>
        </w:rPr>
        <w:t>E-mail</w:t>
      </w:r>
      <w:proofErr w:type="gramEnd"/>
      <w:r w:rsidRPr="00EC633F">
        <w:rPr>
          <w:rFonts w:ascii="Arial" w:hAnsi="Arial" w:cs="Arial"/>
          <w:bCs/>
          <w:lang w:val="fr-FR"/>
        </w:rPr>
        <w:t xml:space="preserve"> :</w:t>
      </w:r>
      <w:r w:rsidR="00635193" w:rsidRPr="00EC633F">
        <w:rPr>
          <w:rFonts w:ascii="Arial" w:hAnsi="Arial" w:cs="Arial"/>
          <w:bCs/>
          <w:lang w:val="fr-FR"/>
        </w:rPr>
        <w:t xml:space="preserve"> </w:t>
      </w:r>
      <w:r>
        <w:rPr>
          <w:rFonts w:ascii="Arial" w:hAnsi="Arial" w:cs="Arial"/>
          <w:bCs/>
          <w:lang w:val="fr-FR"/>
        </w:rPr>
        <w:t>ehara@comesa.int ;</w:t>
      </w:r>
      <w:hyperlink r:id="rId11" w:history="1"/>
      <w:r w:rsidR="00635193" w:rsidRPr="00EC633F">
        <w:rPr>
          <w:rFonts w:ascii="Arial" w:hAnsi="Arial" w:cs="Arial"/>
          <w:bCs/>
          <w:lang w:val="fr-FR"/>
        </w:rPr>
        <w:t xml:space="preserve"> </w:t>
      </w:r>
      <w:hyperlink r:id="rId12" w:history="1">
        <w:r w:rsidR="00A51C4E" w:rsidRPr="00EC633F">
          <w:rPr>
            <w:rStyle w:val="Hyperlink"/>
            <w:rFonts w:ascii="Arial" w:hAnsi="Arial" w:cs="Arial"/>
          </w:rPr>
          <w:t>SMwesigwa@comesa.int</w:t>
        </w:r>
      </w:hyperlink>
      <w:r w:rsidR="00DF6F85">
        <w:rPr>
          <w:rStyle w:val="Hyperlink"/>
          <w:rFonts w:ascii="Arial" w:hAnsi="Arial" w:cs="Arial"/>
        </w:rPr>
        <w:t xml:space="preserve">; </w:t>
      </w:r>
      <w:hyperlink r:id="rId13" w:history="1">
        <w:r w:rsidR="00DF6F85" w:rsidRPr="00D24576">
          <w:rPr>
            <w:rStyle w:val="Hyperlink"/>
            <w:rFonts w:ascii="Arial" w:hAnsi="Arial" w:cs="Arial"/>
            <w:bCs/>
            <w:lang w:val="fr-FR"/>
          </w:rPr>
          <w:t>procurement@comesa.int</w:t>
        </w:r>
      </w:hyperlink>
      <w:r w:rsidR="00635193" w:rsidRPr="00EC633F">
        <w:rPr>
          <w:rFonts w:ascii="Arial" w:hAnsi="Arial" w:cs="Arial"/>
          <w:bCs/>
          <w:lang w:val="fr-FR"/>
        </w:rPr>
        <w:t>;</w:t>
      </w:r>
      <w:r w:rsidR="00635193" w:rsidRPr="00EC633F">
        <w:rPr>
          <w:rFonts w:ascii="Arial" w:hAnsi="Arial" w:cs="Arial"/>
          <w:bCs/>
          <w:i/>
          <w:lang w:val="fr-FR"/>
        </w:rPr>
        <w:t xml:space="preserve"> </w:t>
      </w:r>
    </w:p>
    <w:p w14:paraId="4FB7AD51" w14:textId="77777777" w:rsidR="00635193" w:rsidRPr="00EC633F" w:rsidRDefault="00635193" w:rsidP="00784BCB">
      <w:pPr>
        <w:tabs>
          <w:tab w:val="left" w:pos="284"/>
        </w:tabs>
        <w:suppressAutoHyphens/>
        <w:jc w:val="both"/>
        <w:rPr>
          <w:rFonts w:ascii="Arial" w:hAnsi="Arial" w:cs="Arial"/>
          <w:bCs/>
          <w:spacing w:val="-2"/>
          <w:lang w:val="fr-FR" w:eastAsia="ar-SA"/>
        </w:rPr>
      </w:pPr>
    </w:p>
    <w:p w14:paraId="5480EF38" w14:textId="77777777" w:rsidR="00635193" w:rsidRPr="00EC633F" w:rsidRDefault="00635193" w:rsidP="00784BCB">
      <w:pPr>
        <w:jc w:val="both"/>
        <w:rPr>
          <w:rFonts w:ascii="Arial" w:hAnsi="Arial" w:cs="Arial"/>
          <w:bCs/>
        </w:rPr>
      </w:pPr>
      <w:r w:rsidRPr="00EC633F">
        <w:rPr>
          <w:rFonts w:ascii="Arial" w:hAnsi="Arial" w:cs="Arial"/>
          <w:bCs/>
        </w:rPr>
        <w:t>SUBMISSION OF APPLICATIONS</w:t>
      </w:r>
    </w:p>
    <w:p w14:paraId="19DA60C4" w14:textId="77777777" w:rsidR="0078645B" w:rsidRPr="00EC633F" w:rsidRDefault="0078645B" w:rsidP="00784BCB">
      <w:pPr>
        <w:jc w:val="both"/>
        <w:rPr>
          <w:rFonts w:ascii="Arial" w:hAnsi="Arial" w:cs="Arial"/>
          <w:bCs/>
        </w:rPr>
      </w:pPr>
    </w:p>
    <w:p w14:paraId="72F33226" w14:textId="4FB31A75" w:rsidR="00635193" w:rsidRPr="00EC633F" w:rsidRDefault="00F87EF6" w:rsidP="00784BCB">
      <w:pPr>
        <w:jc w:val="both"/>
        <w:rPr>
          <w:rFonts w:ascii="Arial" w:hAnsi="Arial" w:cs="Arial"/>
          <w:bCs/>
        </w:rPr>
      </w:pPr>
      <w:r w:rsidRPr="00EC633F">
        <w:rPr>
          <w:rFonts w:ascii="Arial" w:hAnsi="Arial" w:cs="Arial"/>
          <w:bCs/>
        </w:rPr>
        <w:t>The</w:t>
      </w:r>
      <w:r w:rsidR="0078645B" w:rsidRPr="00EC633F">
        <w:rPr>
          <w:rFonts w:ascii="Arial" w:hAnsi="Arial" w:cs="Arial"/>
          <w:bCs/>
        </w:rPr>
        <w:t xml:space="preserve"> Bid</w:t>
      </w:r>
      <w:r w:rsidR="007642A3" w:rsidRPr="00EC633F">
        <w:rPr>
          <w:rFonts w:ascii="Arial" w:hAnsi="Arial" w:cs="Arial"/>
          <w:bCs/>
        </w:rPr>
        <w:t>s</w:t>
      </w:r>
      <w:r w:rsidR="0078645B" w:rsidRPr="00EC633F">
        <w:rPr>
          <w:rFonts w:ascii="Arial" w:hAnsi="Arial" w:cs="Arial"/>
          <w:bCs/>
        </w:rPr>
        <w:t xml:space="preserve"> </w:t>
      </w:r>
      <w:r w:rsidRPr="00EC633F">
        <w:rPr>
          <w:rFonts w:ascii="Arial" w:hAnsi="Arial" w:cs="Arial"/>
          <w:bCs/>
        </w:rPr>
        <w:t xml:space="preserve">must be </w:t>
      </w:r>
      <w:r w:rsidR="007E7018" w:rsidRPr="00EC633F">
        <w:rPr>
          <w:rFonts w:ascii="Arial" w:hAnsi="Arial" w:cs="Arial"/>
          <w:bCs/>
        </w:rPr>
        <w:t>submitted</w:t>
      </w:r>
      <w:r w:rsidRPr="00EC633F">
        <w:rPr>
          <w:rFonts w:ascii="Arial" w:hAnsi="Arial" w:cs="Arial"/>
          <w:bCs/>
        </w:rPr>
        <w:t xml:space="preserve"> Forms attached as Annex 2 to the </w:t>
      </w:r>
      <w:r w:rsidR="0078645B" w:rsidRPr="00EC633F">
        <w:rPr>
          <w:rFonts w:ascii="Arial" w:hAnsi="Arial" w:cs="Arial"/>
          <w:bCs/>
        </w:rPr>
        <w:t xml:space="preserve">Tender </w:t>
      </w:r>
      <w:r w:rsidRPr="00EC633F">
        <w:rPr>
          <w:rFonts w:ascii="Arial" w:hAnsi="Arial" w:cs="Arial"/>
          <w:bCs/>
        </w:rPr>
        <w:t xml:space="preserve">document </w:t>
      </w:r>
      <w:r w:rsidR="00A12F7F" w:rsidRPr="00EC633F">
        <w:rPr>
          <w:rFonts w:ascii="Arial" w:hAnsi="Arial" w:cs="Arial"/>
          <w:bCs/>
        </w:rPr>
        <w:t xml:space="preserve">and </w:t>
      </w:r>
      <w:r w:rsidR="00635193" w:rsidRPr="00EC633F">
        <w:rPr>
          <w:rFonts w:ascii="Arial" w:hAnsi="Arial" w:cs="Arial"/>
          <w:bCs/>
        </w:rPr>
        <w:t>clearly marked and email bearing the subject,</w:t>
      </w:r>
    </w:p>
    <w:p w14:paraId="76D7DAF4" w14:textId="77777777" w:rsidR="00635193" w:rsidRPr="00EC633F" w:rsidRDefault="00635193" w:rsidP="00EC22B4">
      <w:pPr>
        <w:jc w:val="both"/>
        <w:rPr>
          <w:rFonts w:ascii="Arial" w:hAnsi="Arial" w:cs="Arial"/>
          <w:bCs/>
        </w:rPr>
      </w:pPr>
    </w:p>
    <w:p w14:paraId="51F7CC48" w14:textId="0E82BFE8" w:rsidR="00635193" w:rsidRPr="00EC633F" w:rsidRDefault="00635193" w:rsidP="007642A3">
      <w:pPr>
        <w:pStyle w:val="NoSpacing"/>
        <w:jc w:val="both"/>
        <w:rPr>
          <w:rFonts w:ascii="Arial" w:hAnsi="Arial" w:cs="Arial"/>
          <w:lang w:val="en-ZW"/>
        </w:rPr>
      </w:pPr>
      <w:r w:rsidRPr="00EC633F">
        <w:rPr>
          <w:rFonts w:ascii="Arial" w:hAnsi="Arial" w:cs="Arial"/>
          <w:bCs/>
        </w:rPr>
        <w:t>“</w:t>
      </w:r>
      <w:r w:rsidR="007F14F2" w:rsidRPr="007F14F2">
        <w:rPr>
          <w:rFonts w:ascii="Arial" w:hAnsi="Arial" w:cs="Arial"/>
        </w:rPr>
        <w:t>TENDER FOR SUPPLY AND DELIVERY OF</w:t>
      </w:r>
      <w:r w:rsidR="007F14F2" w:rsidRPr="007F14F2">
        <w:rPr>
          <w:rFonts w:ascii="Arial" w:hAnsi="Arial" w:cs="Arial"/>
          <w:bCs/>
        </w:rPr>
        <w:t xml:space="preserve"> GRADING </w:t>
      </w:r>
      <w:r w:rsidR="00962F9A" w:rsidRPr="007F14F2">
        <w:rPr>
          <w:rFonts w:ascii="Arial" w:hAnsi="Arial" w:cs="Arial"/>
          <w:bCs/>
        </w:rPr>
        <w:t xml:space="preserve">PROFICIENCY </w:t>
      </w:r>
      <w:r w:rsidR="00962F9A">
        <w:rPr>
          <w:rFonts w:ascii="Arial" w:hAnsi="Arial" w:cs="Arial"/>
          <w:bCs/>
        </w:rPr>
        <w:t>SCHEME</w:t>
      </w:r>
      <w:r w:rsidR="007F14F2" w:rsidRPr="007F14F2">
        <w:rPr>
          <w:rFonts w:ascii="Arial" w:hAnsi="Arial" w:cs="Arial"/>
          <w:bCs/>
        </w:rPr>
        <w:t xml:space="preserve"> EQUIPMENT</w:t>
      </w:r>
      <w:r w:rsidR="005208B2" w:rsidRPr="00EC633F">
        <w:rPr>
          <w:rFonts w:ascii="Arial" w:hAnsi="Arial" w:cs="Arial"/>
          <w:lang w:val="en-ZW"/>
        </w:rPr>
        <w:t>”.</w:t>
      </w:r>
    </w:p>
    <w:p w14:paraId="2A64D9EC" w14:textId="77777777" w:rsidR="00635193" w:rsidRPr="00EC633F" w:rsidRDefault="00635193" w:rsidP="00784BCB">
      <w:pPr>
        <w:jc w:val="both"/>
        <w:rPr>
          <w:rFonts w:ascii="Arial" w:hAnsi="Arial" w:cs="Arial"/>
          <w:bCs/>
          <w:lang w:val="en-GB"/>
        </w:rPr>
      </w:pPr>
    </w:p>
    <w:p w14:paraId="7A08FE8F" w14:textId="77777777" w:rsidR="00635193" w:rsidRPr="00EC633F" w:rsidRDefault="00635193" w:rsidP="00784BCB">
      <w:pPr>
        <w:jc w:val="both"/>
        <w:rPr>
          <w:rFonts w:ascii="Arial" w:hAnsi="Arial" w:cs="Arial"/>
          <w:bCs/>
        </w:rPr>
      </w:pPr>
      <w:r w:rsidRPr="00EC633F">
        <w:rPr>
          <w:rFonts w:ascii="Arial" w:hAnsi="Arial" w:cs="Arial"/>
          <w:bCs/>
        </w:rPr>
        <w:t xml:space="preserve">should be emailed to the following address: </w:t>
      </w:r>
    </w:p>
    <w:p w14:paraId="3AF9F5BA" w14:textId="77777777" w:rsidR="001A115F" w:rsidRPr="00EC633F" w:rsidRDefault="001A115F" w:rsidP="001A115F">
      <w:pPr>
        <w:jc w:val="both"/>
        <w:rPr>
          <w:rFonts w:ascii="Arial" w:hAnsi="Arial" w:cs="Arial"/>
          <w:bCs/>
          <w:i/>
          <w:iCs/>
          <w:lang w:val="en-GB"/>
        </w:rPr>
      </w:pPr>
    </w:p>
    <w:p w14:paraId="229A9C6D" w14:textId="70AB34EB" w:rsidR="00635193" w:rsidRPr="00EC633F" w:rsidRDefault="00A61568" w:rsidP="001A115F">
      <w:pPr>
        <w:jc w:val="both"/>
        <w:rPr>
          <w:rFonts w:ascii="Arial" w:hAnsi="Arial" w:cs="Arial"/>
          <w:bCs/>
          <w:lang w:val="en-GB"/>
        </w:rPr>
      </w:pPr>
      <w:r>
        <w:rPr>
          <w:rFonts w:ascii="Arial" w:hAnsi="Arial" w:cs="Arial"/>
          <w:bCs/>
          <w:lang w:val="fr-FR"/>
        </w:rPr>
        <w:t>ehara@comesa.int</w:t>
      </w:r>
      <w:hyperlink r:id="rId14" w:history="1"/>
      <w:r w:rsidR="0078645B" w:rsidRPr="00EC633F">
        <w:rPr>
          <w:rFonts w:ascii="Arial" w:hAnsi="Arial" w:cs="Arial"/>
          <w:bCs/>
          <w:lang w:val="fr-FR"/>
        </w:rPr>
        <w:t xml:space="preserve">;  </w:t>
      </w:r>
      <w:hyperlink r:id="rId15" w:history="1">
        <w:r w:rsidR="0078645B" w:rsidRPr="00EC633F">
          <w:rPr>
            <w:rStyle w:val="Hyperlink"/>
            <w:rFonts w:ascii="Arial" w:hAnsi="Arial" w:cs="Arial"/>
          </w:rPr>
          <w:t>SMwesigwa@comesa.int</w:t>
        </w:r>
      </w:hyperlink>
      <w:r w:rsidR="0078645B" w:rsidRPr="00EC633F">
        <w:rPr>
          <w:rFonts w:ascii="Arial" w:hAnsi="Arial" w:cs="Arial"/>
          <w:bCs/>
          <w:lang w:val="fr-FR"/>
        </w:rPr>
        <w:t xml:space="preserve">; </w:t>
      </w:r>
      <w:hyperlink r:id="rId16" w:history="1">
        <w:r w:rsidR="0078645B" w:rsidRPr="00EC633F">
          <w:rPr>
            <w:rStyle w:val="Hyperlink"/>
            <w:rFonts w:ascii="Arial" w:hAnsi="Arial" w:cs="Arial"/>
            <w:bCs/>
            <w:color w:val="auto"/>
            <w:lang w:val="fr-FR"/>
          </w:rPr>
          <w:t>procurement@comesa.int</w:t>
        </w:r>
      </w:hyperlink>
      <w:r w:rsidR="0078645B" w:rsidRPr="00EC633F">
        <w:rPr>
          <w:rStyle w:val="Hyperlink"/>
          <w:rFonts w:ascii="Arial" w:hAnsi="Arial" w:cs="Arial"/>
          <w:bCs/>
          <w:color w:val="auto"/>
          <w:lang w:val="fr-FR"/>
        </w:rPr>
        <w:t>;</w:t>
      </w:r>
      <w:r w:rsidR="00A22A4E" w:rsidRPr="00EC633F">
        <w:rPr>
          <w:rFonts w:ascii="Arial" w:hAnsi="Arial" w:cs="Arial"/>
          <w:bCs/>
          <w:lang w:val="en-GB"/>
        </w:rPr>
        <w:t xml:space="preserve"> </w:t>
      </w:r>
    </w:p>
    <w:p w14:paraId="206FCF9A" w14:textId="43EF623F" w:rsidR="00635193" w:rsidRPr="00EC633F" w:rsidRDefault="00A61568" w:rsidP="00784BCB">
      <w:pPr>
        <w:rPr>
          <w:rFonts w:ascii="Arial" w:hAnsi="Arial" w:cs="Arial"/>
          <w:bCs/>
          <w:iCs/>
          <w:lang w:val="en-GB"/>
        </w:rPr>
      </w:pPr>
      <w:r w:rsidRPr="00EC633F">
        <w:rPr>
          <w:rFonts w:ascii="Arial" w:hAnsi="Arial" w:cs="Arial"/>
          <w:bCs/>
          <w:iCs/>
        </w:rPr>
        <w:t>physical</w:t>
      </w:r>
      <w:r w:rsidR="00635193" w:rsidRPr="00EC633F">
        <w:rPr>
          <w:rFonts w:ascii="Arial" w:hAnsi="Arial" w:cs="Arial"/>
          <w:bCs/>
          <w:iCs/>
        </w:rPr>
        <w:t xml:space="preserve"> submission of applications is NOT allowed. </w:t>
      </w:r>
    </w:p>
    <w:p w14:paraId="7C7BFDCA" w14:textId="77777777" w:rsidR="00635193" w:rsidRPr="00EC633F" w:rsidRDefault="00635193" w:rsidP="00784BCB">
      <w:pPr>
        <w:pStyle w:val="NoSpacing"/>
        <w:rPr>
          <w:rFonts w:ascii="Arial" w:hAnsi="Arial" w:cs="Arial"/>
          <w:bCs/>
          <w:lang w:val="en-GB"/>
        </w:rPr>
      </w:pPr>
    </w:p>
    <w:p w14:paraId="3BC42D16" w14:textId="22D0BAAD" w:rsidR="00635193" w:rsidRPr="00EC633F" w:rsidRDefault="00635193" w:rsidP="00784BCB">
      <w:pPr>
        <w:pStyle w:val="BodyText2"/>
        <w:rPr>
          <w:rFonts w:ascii="Arial" w:hAnsi="Arial" w:cs="Arial"/>
          <w:bCs/>
          <w:lang w:val="en-GB"/>
        </w:rPr>
      </w:pPr>
      <w:r w:rsidRPr="00EC633F">
        <w:rPr>
          <w:rFonts w:ascii="Arial" w:hAnsi="Arial" w:cs="Arial"/>
          <w:bCs/>
          <w:lang w:val="en-GB"/>
        </w:rPr>
        <w:t xml:space="preserve">The deadline for submission of your application to the submission address indicated above is: </w:t>
      </w:r>
    </w:p>
    <w:p w14:paraId="3C964954" w14:textId="77777777" w:rsidR="00A055E9" w:rsidRPr="00EC633F" w:rsidRDefault="00A055E9" w:rsidP="00784BCB">
      <w:pPr>
        <w:pStyle w:val="BodyText2"/>
        <w:rPr>
          <w:rFonts w:ascii="Arial" w:hAnsi="Arial" w:cs="Arial"/>
          <w:bCs/>
          <w:lang w:val="en-GB"/>
        </w:rPr>
      </w:pPr>
    </w:p>
    <w:p w14:paraId="700284D3" w14:textId="68ACF278" w:rsidR="00635193" w:rsidRPr="00EC633F" w:rsidRDefault="001C3A08" w:rsidP="00784BCB">
      <w:pPr>
        <w:pStyle w:val="BodyText2"/>
        <w:rPr>
          <w:rFonts w:ascii="Arial" w:hAnsi="Arial" w:cs="Arial"/>
          <w:bCs/>
          <w:iCs/>
          <w:lang w:val="en-GB"/>
        </w:rPr>
      </w:pPr>
      <w:r>
        <w:rPr>
          <w:rFonts w:ascii="Arial" w:hAnsi="Arial" w:cs="Arial"/>
          <w:bCs/>
          <w:iCs/>
          <w:lang w:val="en-GB"/>
        </w:rPr>
        <w:t>2nd</w:t>
      </w:r>
      <w:r w:rsidR="0072409E" w:rsidRPr="00EC633F">
        <w:rPr>
          <w:rFonts w:ascii="Arial" w:hAnsi="Arial" w:cs="Arial"/>
          <w:bCs/>
          <w:iCs/>
          <w:lang w:val="en-GB"/>
        </w:rPr>
        <w:t xml:space="preserve"> </w:t>
      </w:r>
      <w:r w:rsidR="009E36BB">
        <w:rPr>
          <w:rFonts w:ascii="Arial" w:hAnsi="Arial" w:cs="Arial"/>
          <w:bCs/>
          <w:iCs/>
          <w:lang w:val="en-GB"/>
        </w:rPr>
        <w:t>June</w:t>
      </w:r>
      <w:r w:rsidR="0072409E" w:rsidRPr="00EC633F">
        <w:rPr>
          <w:rFonts w:ascii="Arial" w:hAnsi="Arial" w:cs="Arial"/>
          <w:bCs/>
          <w:iCs/>
          <w:lang w:val="en-GB"/>
        </w:rPr>
        <w:t xml:space="preserve"> 2</w:t>
      </w:r>
      <w:r w:rsidR="00635193" w:rsidRPr="00EC633F">
        <w:rPr>
          <w:rFonts w:ascii="Arial" w:hAnsi="Arial" w:cs="Arial"/>
          <w:bCs/>
          <w:iCs/>
          <w:lang w:val="en-GB"/>
        </w:rPr>
        <w:t>02</w:t>
      </w:r>
      <w:r w:rsidR="0078645B" w:rsidRPr="00EC633F">
        <w:rPr>
          <w:rFonts w:ascii="Arial" w:hAnsi="Arial" w:cs="Arial"/>
          <w:bCs/>
          <w:iCs/>
          <w:lang w:val="en-GB"/>
        </w:rPr>
        <w:t>3</w:t>
      </w:r>
      <w:r w:rsidR="00635193" w:rsidRPr="00EC633F">
        <w:rPr>
          <w:rFonts w:ascii="Arial" w:hAnsi="Arial" w:cs="Arial"/>
          <w:bCs/>
          <w:iCs/>
          <w:lang w:val="en-GB"/>
        </w:rPr>
        <w:t xml:space="preserve"> </w:t>
      </w:r>
      <w:r w:rsidR="00BC0D5F" w:rsidRPr="00EC633F">
        <w:rPr>
          <w:rFonts w:ascii="Arial" w:hAnsi="Arial" w:cs="Arial"/>
          <w:bCs/>
          <w:iCs/>
          <w:lang w:val="en-GB"/>
        </w:rPr>
        <w:t>at</w:t>
      </w:r>
      <w:r w:rsidR="00635193" w:rsidRPr="00EC633F">
        <w:rPr>
          <w:rFonts w:ascii="Arial" w:hAnsi="Arial" w:cs="Arial"/>
          <w:bCs/>
          <w:iCs/>
          <w:lang w:val="en-GB"/>
        </w:rPr>
        <w:t xml:space="preserve"> 16:00 hours </w:t>
      </w:r>
    </w:p>
    <w:p w14:paraId="2BAE78B5" w14:textId="77777777" w:rsidR="00635193" w:rsidRPr="00F401B8" w:rsidRDefault="00635193" w:rsidP="00784BCB">
      <w:pPr>
        <w:tabs>
          <w:tab w:val="left" w:pos="284"/>
        </w:tabs>
        <w:suppressAutoHyphens/>
        <w:jc w:val="both"/>
        <w:rPr>
          <w:rFonts w:ascii="Arial" w:hAnsi="Arial" w:cs="Arial"/>
          <w:bCs/>
          <w:spacing w:val="-2"/>
          <w:sz w:val="22"/>
          <w:szCs w:val="22"/>
          <w:lang w:val="en-GB" w:eastAsia="ar-SA"/>
        </w:rPr>
      </w:pPr>
    </w:p>
    <w:p w14:paraId="5F597A83" w14:textId="77777777" w:rsidR="00635193" w:rsidRPr="00F401B8" w:rsidRDefault="00635193" w:rsidP="00784BCB">
      <w:pPr>
        <w:tabs>
          <w:tab w:val="right" w:pos="7254"/>
        </w:tabs>
        <w:jc w:val="both"/>
        <w:rPr>
          <w:rFonts w:ascii="Arial" w:hAnsi="Arial" w:cs="Arial"/>
          <w:bCs/>
          <w:sz w:val="22"/>
          <w:szCs w:val="22"/>
          <w:lang w:val="en-GB"/>
        </w:rPr>
      </w:pPr>
    </w:p>
    <w:p w14:paraId="708211E4" w14:textId="77777777" w:rsidR="00635193" w:rsidRPr="00F401B8" w:rsidRDefault="00635193" w:rsidP="00784BCB">
      <w:pPr>
        <w:jc w:val="center"/>
        <w:rPr>
          <w:rFonts w:ascii="Arial" w:hAnsi="Arial" w:cs="Arial"/>
          <w:bCs/>
          <w:sz w:val="22"/>
          <w:szCs w:val="22"/>
          <w:lang w:val="en-GB"/>
        </w:rPr>
      </w:pPr>
    </w:p>
    <w:p w14:paraId="03DDC3A9" w14:textId="77777777" w:rsidR="00635193" w:rsidRPr="00F401B8" w:rsidRDefault="00635193" w:rsidP="00784BCB">
      <w:pPr>
        <w:jc w:val="center"/>
        <w:rPr>
          <w:rFonts w:ascii="Arial" w:hAnsi="Arial" w:cs="Arial"/>
          <w:bCs/>
          <w:sz w:val="22"/>
          <w:szCs w:val="22"/>
          <w:lang w:val="en-GB"/>
        </w:rPr>
      </w:pPr>
    </w:p>
    <w:p w14:paraId="5A28BA81" w14:textId="77777777" w:rsidR="00635193" w:rsidRPr="00F401B8" w:rsidRDefault="00635193" w:rsidP="00784BCB">
      <w:pPr>
        <w:jc w:val="center"/>
        <w:rPr>
          <w:rFonts w:ascii="Arial" w:hAnsi="Arial" w:cs="Arial"/>
          <w:bCs/>
          <w:sz w:val="22"/>
          <w:szCs w:val="22"/>
          <w:lang w:val="en-GB"/>
        </w:rPr>
      </w:pPr>
    </w:p>
    <w:p w14:paraId="5F9C382E" w14:textId="77777777" w:rsidR="00635193" w:rsidRPr="00F401B8" w:rsidRDefault="00635193" w:rsidP="00784BCB">
      <w:pPr>
        <w:jc w:val="center"/>
        <w:rPr>
          <w:rFonts w:ascii="Arial" w:hAnsi="Arial" w:cs="Arial"/>
          <w:bCs/>
          <w:sz w:val="22"/>
          <w:szCs w:val="22"/>
          <w:lang w:val="en-GB"/>
        </w:rPr>
      </w:pPr>
    </w:p>
    <w:p w14:paraId="10425CB9" w14:textId="77777777" w:rsidR="00635193" w:rsidRPr="00F401B8" w:rsidRDefault="00635193" w:rsidP="00784BCB">
      <w:pPr>
        <w:jc w:val="center"/>
        <w:rPr>
          <w:rFonts w:ascii="Arial" w:hAnsi="Arial" w:cs="Arial"/>
          <w:bCs/>
          <w:sz w:val="22"/>
          <w:szCs w:val="22"/>
          <w:lang w:val="en-GB"/>
        </w:rPr>
      </w:pPr>
    </w:p>
    <w:p w14:paraId="6037B3FC" w14:textId="77777777" w:rsidR="00635193" w:rsidRPr="00F401B8" w:rsidRDefault="00635193" w:rsidP="00784BCB">
      <w:pPr>
        <w:jc w:val="center"/>
        <w:rPr>
          <w:rFonts w:ascii="Arial" w:hAnsi="Arial" w:cs="Arial"/>
          <w:bCs/>
          <w:sz w:val="22"/>
          <w:szCs w:val="22"/>
          <w:lang w:val="en-GB"/>
        </w:rPr>
      </w:pPr>
    </w:p>
    <w:bookmarkEnd w:id="0"/>
    <w:p w14:paraId="397B26F2" w14:textId="77777777" w:rsidR="00635193" w:rsidRPr="00F401B8" w:rsidRDefault="00635193" w:rsidP="00784BCB">
      <w:pPr>
        <w:jc w:val="center"/>
        <w:rPr>
          <w:rFonts w:ascii="Arial" w:hAnsi="Arial" w:cs="Arial"/>
          <w:bCs/>
          <w:sz w:val="22"/>
          <w:szCs w:val="22"/>
          <w:lang w:val="en-GB"/>
        </w:rPr>
      </w:pPr>
    </w:p>
    <w:sectPr w:rsidR="00635193" w:rsidRPr="00F401B8" w:rsidSect="00974346">
      <w:headerReference w:type="even" r:id="rId17"/>
      <w:headerReference w:type="default" r:id="rId18"/>
      <w:footerReference w:type="default" r:id="rId19"/>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70A5" w14:textId="77777777" w:rsidR="007436A2" w:rsidRDefault="007436A2" w:rsidP="00FC358D">
      <w:r>
        <w:separator/>
      </w:r>
    </w:p>
  </w:endnote>
  <w:endnote w:type="continuationSeparator" w:id="0">
    <w:p w14:paraId="56440B7D" w14:textId="77777777" w:rsidR="007436A2" w:rsidRDefault="007436A2"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EndPr/>
    <w:sdtContent>
      <w:sdt>
        <w:sdtPr>
          <w:id w:val="1728636285"/>
          <w:docPartObj>
            <w:docPartGallery w:val="Page Numbers (Top of Page)"/>
            <w:docPartUnique/>
          </w:docPartObj>
        </w:sdtPr>
        <w:sdtEnd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A776" w14:textId="77777777" w:rsidR="007436A2" w:rsidRDefault="007436A2" w:rsidP="00FC358D">
      <w:r>
        <w:separator/>
      </w:r>
    </w:p>
  </w:footnote>
  <w:footnote w:type="continuationSeparator" w:id="0">
    <w:p w14:paraId="48DCC622" w14:textId="77777777" w:rsidR="007436A2" w:rsidRDefault="007436A2"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4A292F0A"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5"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8"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0"/>
  </w:num>
  <w:num w:numId="2" w16cid:durableId="1720592786">
    <w:abstractNumId w:val="0"/>
  </w:num>
  <w:num w:numId="3" w16cid:durableId="281615379">
    <w:abstractNumId w:val="9"/>
  </w:num>
  <w:num w:numId="4" w16cid:durableId="2069840834">
    <w:abstractNumId w:val="8"/>
  </w:num>
  <w:num w:numId="5" w16cid:durableId="1732263959">
    <w:abstractNumId w:val="3"/>
  </w:num>
  <w:num w:numId="6" w16cid:durableId="945312996">
    <w:abstractNumId w:val="16"/>
  </w:num>
  <w:num w:numId="7" w16cid:durableId="919143398">
    <w:abstractNumId w:val="18"/>
  </w:num>
  <w:num w:numId="8" w16cid:durableId="1221329385">
    <w:abstractNumId w:val="6"/>
  </w:num>
  <w:num w:numId="9" w16cid:durableId="976372336">
    <w:abstractNumId w:val="17"/>
  </w:num>
  <w:num w:numId="10" w16cid:durableId="2019842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3"/>
  </w:num>
  <w:num w:numId="12" w16cid:durableId="1453743265">
    <w:abstractNumId w:val="7"/>
  </w:num>
  <w:num w:numId="13" w16cid:durableId="550964358">
    <w:abstractNumId w:val="4"/>
  </w:num>
  <w:num w:numId="14" w16cid:durableId="1783701">
    <w:abstractNumId w:val="2"/>
  </w:num>
  <w:num w:numId="15" w16cid:durableId="1963418084">
    <w:abstractNumId w:val="15"/>
  </w:num>
  <w:num w:numId="16" w16cid:durableId="833647016">
    <w:abstractNumId w:val="11"/>
  </w:num>
  <w:num w:numId="17" w16cid:durableId="565578032">
    <w:abstractNumId w:val="12"/>
  </w:num>
  <w:num w:numId="18" w16cid:durableId="1629159871">
    <w:abstractNumId w:val="1"/>
  </w:num>
  <w:num w:numId="19" w16cid:durableId="241566346">
    <w:abstractNumId w:val="14"/>
  </w:num>
  <w:num w:numId="20" w16cid:durableId="427115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13AA4"/>
    <w:rsid w:val="000242BC"/>
    <w:rsid w:val="00030749"/>
    <w:rsid w:val="00044895"/>
    <w:rsid w:val="00064233"/>
    <w:rsid w:val="00072840"/>
    <w:rsid w:val="000764BC"/>
    <w:rsid w:val="000815B0"/>
    <w:rsid w:val="00090F3A"/>
    <w:rsid w:val="000B1C7D"/>
    <w:rsid w:val="0013599E"/>
    <w:rsid w:val="00162475"/>
    <w:rsid w:val="00171F35"/>
    <w:rsid w:val="0018005F"/>
    <w:rsid w:val="0018532F"/>
    <w:rsid w:val="001A039C"/>
    <w:rsid w:val="001A115F"/>
    <w:rsid w:val="001C3A08"/>
    <w:rsid w:val="001C40C9"/>
    <w:rsid w:val="001D057D"/>
    <w:rsid w:val="001D123B"/>
    <w:rsid w:val="001D2FEC"/>
    <w:rsid w:val="00212293"/>
    <w:rsid w:val="00212F75"/>
    <w:rsid w:val="00214659"/>
    <w:rsid w:val="00230C0E"/>
    <w:rsid w:val="00247B1C"/>
    <w:rsid w:val="0025440C"/>
    <w:rsid w:val="00255624"/>
    <w:rsid w:val="002604C1"/>
    <w:rsid w:val="00267611"/>
    <w:rsid w:val="00280090"/>
    <w:rsid w:val="00295F99"/>
    <w:rsid w:val="002F1EB4"/>
    <w:rsid w:val="003122FB"/>
    <w:rsid w:val="00340582"/>
    <w:rsid w:val="003668F2"/>
    <w:rsid w:val="00394DCA"/>
    <w:rsid w:val="003C393A"/>
    <w:rsid w:val="003C5931"/>
    <w:rsid w:val="003D268C"/>
    <w:rsid w:val="003F073A"/>
    <w:rsid w:val="00406A19"/>
    <w:rsid w:val="004149F2"/>
    <w:rsid w:val="004219A1"/>
    <w:rsid w:val="004339F0"/>
    <w:rsid w:val="0043606F"/>
    <w:rsid w:val="00444FAA"/>
    <w:rsid w:val="00492494"/>
    <w:rsid w:val="005208B2"/>
    <w:rsid w:val="0053658A"/>
    <w:rsid w:val="00577D5E"/>
    <w:rsid w:val="00583A2C"/>
    <w:rsid w:val="0059299C"/>
    <w:rsid w:val="005E7E43"/>
    <w:rsid w:val="005F19CA"/>
    <w:rsid w:val="005F66AD"/>
    <w:rsid w:val="00621874"/>
    <w:rsid w:val="00624685"/>
    <w:rsid w:val="00635193"/>
    <w:rsid w:val="006B0F86"/>
    <w:rsid w:val="006D1EC4"/>
    <w:rsid w:val="006F050E"/>
    <w:rsid w:val="006F2DE8"/>
    <w:rsid w:val="006F64B0"/>
    <w:rsid w:val="0072409E"/>
    <w:rsid w:val="00741634"/>
    <w:rsid w:val="00742D51"/>
    <w:rsid w:val="007436A2"/>
    <w:rsid w:val="007642A3"/>
    <w:rsid w:val="00764349"/>
    <w:rsid w:val="00773FAB"/>
    <w:rsid w:val="00783A2B"/>
    <w:rsid w:val="00784BCB"/>
    <w:rsid w:val="0078645B"/>
    <w:rsid w:val="007B675E"/>
    <w:rsid w:val="007D3D9C"/>
    <w:rsid w:val="007E1133"/>
    <w:rsid w:val="007E11FD"/>
    <w:rsid w:val="007E561A"/>
    <w:rsid w:val="007E7018"/>
    <w:rsid w:val="007F14F2"/>
    <w:rsid w:val="00814502"/>
    <w:rsid w:val="008402DE"/>
    <w:rsid w:val="00854C86"/>
    <w:rsid w:val="00867C75"/>
    <w:rsid w:val="008A1F28"/>
    <w:rsid w:val="008B1A7C"/>
    <w:rsid w:val="008D449A"/>
    <w:rsid w:val="009422B6"/>
    <w:rsid w:val="00952DAA"/>
    <w:rsid w:val="00962F9A"/>
    <w:rsid w:val="00966F4A"/>
    <w:rsid w:val="00974346"/>
    <w:rsid w:val="009978E7"/>
    <w:rsid w:val="009D74EF"/>
    <w:rsid w:val="009E36BB"/>
    <w:rsid w:val="009E71B3"/>
    <w:rsid w:val="009E7F2D"/>
    <w:rsid w:val="009F02DE"/>
    <w:rsid w:val="00A055E9"/>
    <w:rsid w:val="00A1180D"/>
    <w:rsid w:val="00A12F7F"/>
    <w:rsid w:val="00A16AD4"/>
    <w:rsid w:val="00A22A4E"/>
    <w:rsid w:val="00A31FA9"/>
    <w:rsid w:val="00A33D51"/>
    <w:rsid w:val="00A51C4E"/>
    <w:rsid w:val="00A60B20"/>
    <w:rsid w:val="00A61568"/>
    <w:rsid w:val="00A61937"/>
    <w:rsid w:val="00A638A9"/>
    <w:rsid w:val="00AC4F37"/>
    <w:rsid w:val="00AD4F22"/>
    <w:rsid w:val="00AF630D"/>
    <w:rsid w:val="00B34010"/>
    <w:rsid w:val="00B44932"/>
    <w:rsid w:val="00BA06FB"/>
    <w:rsid w:val="00BB05C5"/>
    <w:rsid w:val="00BC0D5F"/>
    <w:rsid w:val="00BD641F"/>
    <w:rsid w:val="00BE1FEB"/>
    <w:rsid w:val="00BE2454"/>
    <w:rsid w:val="00BE360D"/>
    <w:rsid w:val="00BE7FCF"/>
    <w:rsid w:val="00BF6367"/>
    <w:rsid w:val="00C30C47"/>
    <w:rsid w:val="00C6794B"/>
    <w:rsid w:val="00C761CB"/>
    <w:rsid w:val="00C84BE5"/>
    <w:rsid w:val="00CA48AA"/>
    <w:rsid w:val="00CB6FA3"/>
    <w:rsid w:val="00CF307F"/>
    <w:rsid w:val="00D15336"/>
    <w:rsid w:val="00D6592D"/>
    <w:rsid w:val="00D66FB0"/>
    <w:rsid w:val="00D70FFA"/>
    <w:rsid w:val="00D85C43"/>
    <w:rsid w:val="00D91E70"/>
    <w:rsid w:val="00D93874"/>
    <w:rsid w:val="00DA79D1"/>
    <w:rsid w:val="00DC7007"/>
    <w:rsid w:val="00DE3D3A"/>
    <w:rsid w:val="00DF08F9"/>
    <w:rsid w:val="00DF6F85"/>
    <w:rsid w:val="00E00AC3"/>
    <w:rsid w:val="00E07FF1"/>
    <w:rsid w:val="00E47A26"/>
    <w:rsid w:val="00E51C70"/>
    <w:rsid w:val="00E56C77"/>
    <w:rsid w:val="00E632A0"/>
    <w:rsid w:val="00E638A2"/>
    <w:rsid w:val="00E64B87"/>
    <w:rsid w:val="00E7288F"/>
    <w:rsid w:val="00E81428"/>
    <w:rsid w:val="00E90177"/>
    <w:rsid w:val="00E940A3"/>
    <w:rsid w:val="00EB42F2"/>
    <w:rsid w:val="00EC22B4"/>
    <w:rsid w:val="00EC59AE"/>
    <w:rsid w:val="00EC633F"/>
    <w:rsid w:val="00ED160B"/>
    <w:rsid w:val="00ED4706"/>
    <w:rsid w:val="00EE2ADB"/>
    <w:rsid w:val="00F11D85"/>
    <w:rsid w:val="00F15E83"/>
    <w:rsid w:val="00F31F78"/>
    <w:rsid w:val="00F35035"/>
    <w:rsid w:val="00F401B8"/>
    <w:rsid w:val="00F53189"/>
    <w:rsid w:val="00F704B4"/>
    <w:rsid w:val="00F711BD"/>
    <w:rsid w:val="00F852A5"/>
    <w:rsid w:val="00F87EF6"/>
    <w:rsid w:val="00F934A2"/>
    <w:rsid w:val="00FB6210"/>
    <w:rsid w:val="00FC358D"/>
    <w:rsid w:val="00FD4691"/>
    <w:rsid w:val="00FE2016"/>
    <w:rsid w:val="00FE2D79"/>
    <w:rsid w:val="00FF7D03"/>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090F3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sa.int/" TargetMode="External"/><Relationship Id="rId13" Type="http://schemas.openxmlformats.org/officeDocument/2006/relationships/hyperlink" Target="mailto:procurement@comesa.i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Mwesigwa@comesa.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curement@comesa.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SMwesigwa@comesa.int" TargetMode="External"/><Relationship Id="rId10" Type="http://schemas.openxmlformats.org/officeDocument/2006/relationships/hyperlink" Target="http://www.comesa.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Estella Hara Mumba</cp:lastModifiedBy>
  <cp:revision>20</cp:revision>
  <dcterms:created xsi:type="dcterms:W3CDTF">2023-04-20T14:48:00Z</dcterms:created>
  <dcterms:modified xsi:type="dcterms:W3CDTF">2023-05-22T08:16:00Z</dcterms:modified>
</cp:coreProperties>
</file>