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659BB" w14:textId="77777777" w:rsidR="00B57999" w:rsidRPr="00DE0B76" w:rsidRDefault="00B57999" w:rsidP="00B5799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8"/>
        </w:rPr>
      </w:pPr>
      <w:bookmarkStart w:id="0" w:name="_GoBack"/>
      <w:bookmarkEnd w:id="0"/>
      <w:r>
        <w:rPr>
          <w:rFonts w:ascii="Arial" w:hAnsi="Arial" w:cs="Arial"/>
          <w:b/>
          <w:noProof/>
          <w:snapToGrid w:val="0"/>
          <w:sz w:val="24"/>
          <w:szCs w:val="28"/>
        </w:rPr>
        <w:drawing>
          <wp:inline distT="0" distB="0" distL="0" distR="0" wp14:anchorId="5DE65A36" wp14:editId="4CCEB605">
            <wp:extent cx="990600" cy="990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14:paraId="281E5DB7" w14:textId="66996A58" w:rsidR="008028BA"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tabs>
          <w:tab w:val="left" w:pos="7470"/>
        </w:tabs>
        <w:spacing w:after="0" w:line="240" w:lineRule="auto"/>
        <w:rPr>
          <w:rFonts w:ascii="Arial" w:hAnsi="Arial" w:cs="Arial"/>
          <w:b/>
          <w:snapToGrid w:val="0"/>
          <w:sz w:val="24"/>
          <w:szCs w:val="24"/>
        </w:rPr>
      </w:pPr>
      <w:r>
        <w:rPr>
          <w:rFonts w:ascii="Arial" w:hAnsi="Arial" w:cs="Arial"/>
          <w:b/>
          <w:snapToGrid w:val="0"/>
          <w:sz w:val="24"/>
          <w:szCs w:val="24"/>
        </w:rPr>
        <w:tab/>
      </w:r>
      <w:r>
        <w:rPr>
          <w:rFonts w:ascii="Arial" w:hAnsi="Arial" w:cs="Arial"/>
          <w:b/>
          <w:snapToGrid w:val="0"/>
          <w:sz w:val="24"/>
          <w:szCs w:val="24"/>
        </w:rPr>
        <w:tab/>
      </w:r>
      <w:r>
        <w:rPr>
          <w:rFonts w:ascii="Arial" w:hAnsi="Arial" w:cs="Arial"/>
          <w:b/>
          <w:snapToGrid w:val="0"/>
          <w:sz w:val="24"/>
          <w:szCs w:val="24"/>
        </w:rPr>
        <w:tab/>
        <w:t>Distr.</w:t>
      </w:r>
    </w:p>
    <w:p w14:paraId="07C32FF6" w14:textId="2D114DE9"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tabs>
          <w:tab w:val="left" w:pos="8610"/>
        </w:tabs>
        <w:spacing w:after="0" w:line="240" w:lineRule="auto"/>
        <w:rPr>
          <w:rFonts w:ascii="Arial" w:hAnsi="Arial" w:cs="Arial"/>
          <w:b/>
          <w:snapToGrid w:val="0"/>
          <w:sz w:val="24"/>
          <w:szCs w:val="24"/>
        </w:rPr>
      </w:pPr>
      <w:r>
        <w:rPr>
          <w:rFonts w:ascii="Arial" w:hAnsi="Arial" w:cs="Arial"/>
          <w:b/>
          <w:snapToGrid w:val="0"/>
          <w:sz w:val="24"/>
          <w:szCs w:val="24"/>
        </w:rPr>
        <w:t xml:space="preserve">                                                                                                                             LIMITED</w:t>
      </w:r>
    </w:p>
    <w:p w14:paraId="50B1D908" w14:textId="77777777"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ind w:firstLine="720"/>
        <w:jc w:val="center"/>
        <w:rPr>
          <w:rFonts w:ascii="Arial" w:hAnsi="Arial" w:cs="Arial"/>
          <w:b/>
          <w:snapToGrid w:val="0"/>
          <w:sz w:val="24"/>
          <w:szCs w:val="24"/>
        </w:rPr>
      </w:pPr>
      <w:r>
        <w:rPr>
          <w:rFonts w:ascii="Arial" w:hAnsi="Arial" w:cs="Arial"/>
          <w:b/>
          <w:snapToGrid w:val="0"/>
          <w:sz w:val="24"/>
          <w:szCs w:val="24"/>
        </w:rPr>
        <w:t xml:space="preserve">                       </w:t>
      </w:r>
    </w:p>
    <w:p w14:paraId="18BB3B94" w14:textId="2E7C7C7D"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ind w:firstLine="720"/>
        <w:jc w:val="center"/>
        <w:rPr>
          <w:rFonts w:ascii="Arial" w:hAnsi="Arial" w:cs="Arial"/>
          <w:b/>
          <w:snapToGrid w:val="0"/>
          <w:sz w:val="24"/>
          <w:szCs w:val="24"/>
        </w:rPr>
      </w:pPr>
      <w:r>
        <w:rPr>
          <w:rFonts w:ascii="Arial" w:hAnsi="Arial" w:cs="Arial"/>
          <w:b/>
          <w:snapToGrid w:val="0"/>
          <w:sz w:val="24"/>
          <w:szCs w:val="24"/>
        </w:rPr>
        <w:t xml:space="preserve">                                                                                             CS/ADM/SC/XXII/9.3</w:t>
      </w:r>
    </w:p>
    <w:p w14:paraId="4E7EAEC8" w14:textId="4FFE81C9"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tabs>
          <w:tab w:val="left" w:pos="7500"/>
        </w:tabs>
        <w:rPr>
          <w:rFonts w:ascii="Arial" w:hAnsi="Arial" w:cs="Arial"/>
          <w:b/>
          <w:snapToGrid w:val="0"/>
          <w:sz w:val="24"/>
          <w:szCs w:val="24"/>
        </w:rPr>
      </w:pPr>
      <w:r>
        <w:rPr>
          <w:rFonts w:ascii="Arial" w:hAnsi="Arial" w:cs="Arial"/>
          <w:b/>
          <w:snapToGrid w:val="0"/>
          <w:sz w:val="24"/>
          <w:szCs w:val="24"/>
        </w:rPr>
        <w:t xml:space="preserve">                                                                                                           Original: ENGLISH</w:t>
      </w:r>
    </w:p>
    <w:p w14:paraId="4CC6C2B0" w14:textId="77777777" w:rsidR="00585E64" w:rsidRDefault="00585E64" w:rsidP="00B5799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0FF151B2" w14:textId="7BE64A8B" w:rsidR="00585E64" w:rsidRDefault="00585E64" w:rsidP="00B5799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r>
        <w:rPr>
          <w:rFonts w:ascii="Arial" w:hAnsi="Arial" w:cs="Arial"/>
          <w:b/>
          <w:snapToGrid w:val="0"/>
          <w:sz w:val="24"/>
          <w:szCs w:val="24"/>
        </w:rPr>
        <w:t xml:space="preserve">                                    </w:t>
      </w:r>
    </w:p>
    <w:p w14:paraId="4EE9E8B5" w14:textId="77777777"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rPr>
      </w:pPr>
      <w:r>
        <w:rPr>
          <w:rFonts w:ascii="Arial" w:hAnsi="Arial" w:cs="Arial"/>
          <w:b/>
          <w:snapToGrid w:val="0"/>
          <w:sz w:val="24"/>
          <w:szCs w:val="24"/>
        </w:rPr>
        <w:t xml:space="preserve">COMMON MARKET FOR EASTERN AND </w:t>
      </w:r>
    </w:p>
    <w:p w14:paraId="3CB35B99" w14:textId="2D73CF71" w:rsidR="008028BA"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rPr>
      </w:pPr>
      <w:r>
        <w:rPr>
          <w:rFonts w:ascii="Arial" w:hAnsi="Arial" w:cs="Arial"/>
          <w:b/>
          <w:snapToGrid w:val="0"/>
          <w:sz w:val="24"/>
          <w:szCs w:val="24"/>
        </w:rPr>
        <w:t xml:space="preserve">SOUTHERN AFRICA </w:t>
      </w:r>
    </w:p>
    <w:p w14:paraId="2734C2E2" w14:textId="2E251339"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p>
    <w:p w14:paraId="5F5F313F" w14:textId="54507F1D"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snapToGrid w:val="0"/>
          <w:sz w:val="24"/>
          <w:szCs w:val="24"/>
        </w:rPr>
      </w:pPr>
      <w:r w:rsidRPr="00585E64">
        <w:rPr>
          <w:rFonts w:ascii="Arial" w:hAnsi="Arial" w:cs="Arial"/>
          <w:snapToGrid w:val="0"/>
          <w:sz w:val="24"/>
          <w:szCs w:val="24"/>
        </w:rPr>
        <w:t xml:space="preserve">Twenty Second </w:t>
      </w:r>
      <w:r>
        <w:rPr>
          <w:rFonts w:ascii="Arial" w:hAnsi="Arial" w:cs="Arial"/>
          <w:snapToGrid w:val="0"/>
          <w:sz w:val="24"/>
          <w:szCs w:val="24"/>
        </w:rPr>
        <w:t xml:space="preserve">Meeting of the Sub-Committee on Audit and Budgetary Matters </w:t>
      </w:r>
    </w:p>
    <w:p w14:paraId="799093F0" w14:textId="77777777"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snapToGrid w:val="0"/>
          <w:sz w:val="24"/>
          <w:szCs w:val="24"/>
        </w:rPr>
      </w:pPr>
    </w:p>
    <w:p w14:paraId="2F294C50" w14:textId="03128BF9"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snapToGrid w:val="0"/>
          <w:sz w:val="24"/>
          <w:szCs w:val="24"/>
        </w:rPr>
      </w:pPr>
      <w:r>
        <w:rPr>
          <w:rFonts w:ascii="Arial" w:hAnsi="Arial" w:cs="Arial"/>
          <w:snapToGrid w:val="0"/>
          <w:sz w:val="24"/>
          <w:szCs w:val="24"/>
        </w:rPr>
        <w:t xml:space="preserve">Lusaka, Zambia </w:t>
      </w:r>
    </w:p>
    <w:p w14:paraId="036FC822" w14:textId="737D831F" w:rsidR="00585E64" w:rsidRP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snapToGrid w:val="0"/>
          <w:sz w:val="24"/>
          <w:szCs w:val="24"/>
        </w:rPr>
      </w:pPr>
      <w:r>
        <w:rPr>
          <w:rFonts w:ascii="Arial" w:hAnsi="Arial" w:cs="Arial"/>
          <w:snapToGrid w:val="0"/>
          <w:sz w:val="24"/>
          <w:szCs w:val="24"/>
        </w:rPr>
        <w:t>28 October – 1 November 2019</w:t>
      </w:r>
    </w:p>
    <w:p w14:paraId="157F058E" w14:textId="0027AE16" w:rsidR="00585E64"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line="240" w:lineRule="auto"/>
        <w:jc w:val="center"/>
        <w:rPr>
          <w:rFonts w:ascii="Arial" w:hAnsi="Arial" w:cs="Arial"/>
          <w:b/>
          <w:snapToGrid w:val="0"/>
          <w:sz w:val="24"/>
          <w:szCs w:val="24"/>
        </w:rPr>
      </w:pPr>
    </w:p>
    <w:p w14:paraId="0D4E34CC" w14:textId="77777777" w:rsidR="00585E64" w:rsidRPr="008E706D" w:rsidRDefault="00585E64" w:rsidP="00585E64">
      <w:pPr>
        <w:pBdr>
          <w:top w:val="thinThickThinSmallGap" w:sz="24" w:space="0" w:color="auto"/>
          <w:left w:val="thinThickThinSmallGap" w:sz="24" w:space="14" w:color="auto"/>
          <w:bottom w:val="thinThickThinSmallGap" w:sz="24" w:space="1" w:color="auto"/>
          <w:right w:val="thinThickThinSmallGap" w:sz="24" w:space="4" w:color="auto"/>
        </w:pBdr>
        <w:spacing w:line="240" w:lineRule="auto"/>
        <w:jc w:val="center"/>
        <w:rPr>
          <w:rFonts w:ascii="Arial" w:hAnsi="Arial" w:cs="Arial"/>
          <w:b/>
          <w:snapToGrid w:val="0"/>
          <w:sz w:val="24"/>
          <w:szCs w:val="24"/>
        </w:rPr>
      </w:pPr>
    </w:p>
    <w:p w14:paraId="5DE659BF" w14:textId="77777777" w:rsidR="00377D3E" w:rsidRPr="00377D3E" w:rsidRDefault="00952D5D"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jc w:val="center"/>
        <w:rPr>
          <w:rFonts w:ascii="Arial" w:hAnsi="Arial" w:cs="Arial"/>
          <w:b/>
          <w:snapToGrid w:val="0"/>
          <w:sz w:val="24"/>
          <w:szCs w:val="24"/>
        </w:rPr>
      </w:pPr>
      <w:r>
        <w:rPr>
          <w:rFonts w:ascii="Arial" w:hAnsi="Arial" w:cs="Arial"/>
          <w:b/>
          <w:snapToGrid w:val="0"/>
          <w:sz w:val="24"/>
          <w:szCs w:val="24"/>
        </w:rPr>
        <w:t xml:space="preserve">AUDIT </w:t>
      </w:r>
      <w:r w:rsidR="00377D3E">
        <w:rPr>
          <w:rFonts w:ascii="Arial" w:hAnsi="Arial" w:cs="Arial"/>
          <w:b/>
          <w:snapToGrid w:val="0"/>
          <w:sz w:val="24"/>
          <w:szCs w:val="24"/>
        </w:rPr>
        <w:t xml:space="preserve">OF </w:t>
      </w:r>
      <w:r w:rsidR="00377D3E" w:rsidRPr="00377D3E">
        <w:rPr>
          <w:rFonts w:ascii="Arial" w:hAnsi="Arial" w:cs="Arial"/>
          <w:b/>
          <w:snapToGrid w:val="0"/>
          <w:sz w:val="24"/>
          <w:szCs w:val="24"/>
        </w:rPr>
        <w:t xml:space="preserve">THE UTILIZATION OF </w:t>
      </w:r>
    </w:p>
    <w:p w14:paraId="5DE659C0" w14:textId="77777777" w:rsidR="00952D5D" w:rsidRPr="008E706D" w:rsidRDefault="00377D3E"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jc w:val="center"/>
        <w:rPr>
          <w:rFonts w:ascii="Arial" w:hAnsi="Arial" w:cs="Arial"/>
          <w:b/>
          <w:snapToGrid w:val="0"/>
          <w:sz w:val="24"/>
          <w:szCs w:val="24"/>
        </w:rPr>
      </w:pPr>
      <w:r w:rsidRPr="00377D3E">
        <w:rPr>
          <w:rFonts w:ascii="Arial" w:hAnsi="Arial" w:cs="Arial"/>
          <w:b/>
          <w:snapToGrid w:val="0"/>
          <w:sz w:val="24"/>
          <w:szCs w:val="24"/>
        </w:rPr>
        <w:t xml:space="preserve"> MERGER FEE INCOME OF COMESA COMPETITION COMMISSION (CCC)</w:t>
      </w:r>
    </w:p>
    <w:p w14:paraId="5DE659C4" w14:textId="76B8FE90" w:rsidR="00B57999" w:rsidRPr="008E706D" w:rsidRDefault="00952D5D" w:rsidP="00585E64">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jc w:val="center"/>
        <w:rPr>
          <w:rFonts w:ascii="Arial" w:hAnsi="Arial" w:cs="Arial"/>
          <w:b/>
          <w:snapToGrid w:val="0"/>
          <w:sz w:val="24"/>
          <w:szCs w:val="24"/>
        </w:rPr>
      </w:pPr>
      <w:r w:rsidRPr="008E706D">
        <w:rPr>
          <w:rFonts w:ascii="Arial" w:hAnsi="Arial" w:cs="Arial"/>
          <w:b/>
          <w:snapToGrid w:val="0"/>
          <w:sz w:val="24"/>
          <w:szCs w:val="24"/>
        </w:rPr>
        <w:t>COM-IAU-</w:t>
      </w:r>
      <w:r w:rsidR="00377D3E">
        <w:rPr>
          <w:rFonts w:ascii="Arial" w:hAnsi="Arial" w:cs="Arial"/>
          <w:b/>
          <w:snapToGrid w:val="0"/>
          <w:sz w:val="24"/>
          <w:szCs w:val="24"/>
        </w:rPr>
        <w:t>CCC</w:t>
      </w:r>
      <w:r w:rsidRPr="008E706D">
        <w:rPr>
          <w:rFonts w:ascii="Arial" w:hAnsi="Arial" w:cs="Arial"/>
          <w:b/>
          <w:snapToGrid w:val="0"/>
          <w:sz w:val="24"/>
          <w:szCs w:val="24"/>
        </w:rPr>
        <w:t xml:space="preserve"> </w:t>
      </w:r>
      <w:r w:rsidR="00E8264D">
        <w:rPr>
          <w:rFonts w:ascii="Arial" w:hAnsi="Arial" w:cs="Arial"/>
          <w:b/>
          <w:snapToGrid w:val="0"/>
          <w:sz w:val="24"/>
          <w:szCs w:val="24"/>
        </w:rPr>
        <w:t>–</w:t>
      </w:r>
      <w:r w:rsidRPr="008E706D">
        <w:rPr>
          <w:rFonts w:ascii="Arial" w:hAnsi="Arial" w:cs="Arial"/>
          <w:b/>
          <w:snapToGrid w:val="0"/>
          <w:sz w:val="24"/>
          <w:szCs w:val="24"/>
        </w:rPr>
        <w:t xml:space="preserve"> </w:t>
      </w:r>
      <w:r w:rsidR="00585E64" w:rsidRPr="008E706D">
        <w:rPr>
          <w:rFonts w:ascii="Arial" w:hAnsi="Arial" w:cs="Arial"/>
          <w:b/>
          <w:snapToGrid w:val="0"/>
          <w:sz w:val="24"/>
          <w:szCs w:val="24"/>
        </w:rPr>
        <w:t>201</w:t>
      </w:r>
      <w:r w:rsidR="00585E64">
        <w:rPr>
          <w:rFonts w:ascii="Arial" w:hAnsi="Arial" w:cs="Arial"/>
          <w:b/>
          <w:snapToGrid w:val="0"/>
          <w:sz w:val="24"/>
          <w:szCs w:val="24"/>
        </w:rPr>
        <w:t>9 - EXECUTIVE</w:t>
      </w:r>
      <w:r w:rsidR="00B57999">
        <w:rPr>
          <w:rFonts w:ascii="Arial" w:hAnsi="Arial" w:cs="Arial"/>
          <w:b/>
          <w:snapToGrid w:val="0"/>
          <w:sz w:val="24"/>
          <w:szCs w:val="24"/>
        </w:rPr>
        <w:t xml:space="preserve"> SUMMARY</w:t>
      </w:r>
    </w:p>
    <w:p w14:paraId="5DE659C5" w14:textId="77777777" w:rsidR="00EA305B" w:rsidRDefault="00EA305B"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5DE659C6" w14:textId="77777777" w:rsidR="00EA305B" w:rsidRDefault="00EA305B"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5DE659C7" w14:textId="77777777" w:rsidR="00EA305B" w:rsidRDefault="00EA305B"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5DE659C8" w14:textId="0AD233D5" w:rsidR="00EA305B" w:rsidRDefault="00EA305B"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3D1B38BD" w14:textId="585C73A4" w:rsidR="00585E64" w:rsidRDefault="00585E64"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6DCD3145" w14:textId="73E803F9" w:rsidR="00585E64" w:rsidRDefault="00585E64"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67232592" w14:textId="6959E5D3" w:rsidR="008028BA" w:rsidRDefault="008028BA"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38D2AC6A" w14:textId="052D3368" w:rsidR="00585E64" w:rsidRDefault="00585E64"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21169B14" w14:textId="7B48124C" w:rsidR="008028BA" w:rsidRDefault="008028BA"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16F2EB1E" w14:textId="00329AF8" w:rsidR="008028BA" w:rsidRDefault="008028BA"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306FD0FF" w14:textId="77777777" w:rsidR="008028BA" w:rsidRDefault="008028BA"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5DE659C9" w14:textId="77777777" w:rsidR="00EA305B" w:rsidRDefault="00EA305B"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b/>
          <w:snapToGrid w:val="0"/>
          <w:sz w:val="24"/>
          <w:szCs w:val="24"/>
          <w:u w:val="single"/>
        </w:rPr>
      </w:pPr>
    </w:p>
    <w:p w14:paraId="5DE659CA" w14:textId="03D04E56" w:rsidR="00EA305B" w:rsidRPr="00585E64" w:rsidRDefault="00585E64" w:rsidP="00EA305B">
      <w:pPr>
        <w:pBdr>
          <w:top w:val="thinThickThinSmallGap" w:sz="24" w:space="0" w:color="auto"/>
          <w:left w:val="thinThickThinSmallGap" w:sz="24" w:space="14" w:color="auto"/>
          <w:bottom w:val="thinThickThinSmallGap" w:sz="24" w:space="1" w:color="auto"/>
          <w:right w:val="thinThickThinSmallGap" w:sz="24" w:space="4" w:color="auto"/>
        </w:pBdr>
        <w:spacing w:after="0" w:line="240" w:lineRule="auto"/>
        <w:rPr>
          <w:rFonts w:ascii="Arial" w:hAnsi="Arial" w:cs="Arial"/>
          <w:snapToGrid w:val="0"/>
          <w:sz w:val="24"/>
          <w:szCs w:val="24"/>
        </w:rPr>
      </w:pPr>
      <w:r w:rsidRPr="00585E64">
        <w:rPr>
          <w:rFonts w:ascii="Arial" w:hAnsi="Arial" w:cs="Arial"/>
          <w:snapToGrid w:val="0"/>
          <w:sz w:val="24"/>
          <w:szCs w:val="24"/>
        </w:rPr>
        <w:t>AO/</w:t>
      </w:r>
      <w:proofErr w:type="spellStart"/>
      <w:r w:rsidRPr="00585E64">
        <w:rPr>
          <w:rFonts w:ascii="Arial" w:hAnsi="Arial" w:cs="Arial"/>
          <w:snapToGrid w:val="0"/>
          <w:sz w:val="24"/>
          <w:szCs w:val="24"/>
        </w:rPr>
        <w:t>hcm</w:t>
      </w:r>
      <w:proofErr w:type="spellEnd"/>
    </w:p>
    <w:p w14:paraId="5DE659CF" w14:textId="456EE1A7" w:rsidR="00B57999" w:rsidRPr="008E706D" w:rsidRDefault="00B57999" w:rsidP="00B57999">
      <w:pPr>
        <w:pStyle w:val="Heading"/>
        <w:rPr>
          <w:rFonts w:cs="Arial"/>
          <w:szCs w:val="24"/>
        </w:rPr>
      </w:pPr>
      <w:r w:rsidRPr="008E706D">
        <w:rPr>
          <w:rFonts w:cs="Arial"/>
          <w:szCs w:val="24"/>
        </w:rPr>
        <w:br w:type="column"/>
      </w:r>
      <w:bookmarkStart w:id="1" w:name="_Toc461110958"/>
      <w:r w:rsidR="00A9071A">
        <w:rPr>
          <w:rFonts w:cs="Arial"/>
          <w:szCs w:val="24"/>
        </w:rPr>
        <w:lastRenderedPageBreak/>
        <w:t>I</w:t>
      </w:r>
      <w:r w:rsidR="00A9071A">
        <w:rPr>
          <w:rFonts w:cs="Arial"/>
          <w:szCs w:val="24"/>
        </w:rPr>
        <w:tab/>
      </w:r>
      <w:r w:rsidRPr="008E706D">
        <w:rPr>
          <w:rFonts w:cs="Arial"/>
          <w:szCs w:val="24"/>
        </w:rPr>
        <w:t>INTRODUCTION</w:t>
      </w:r>
      <w:bookmarkEnd w:id="1"/>
    </w:p>
    <w:p w14:paraId="5DE659D0" w14:textId="77777777" w:rsidR="00B57999" w:rsidRPr="008E706D" w:rsidRDefault="00B57999" w:rsidP="00B57999">
      <w:pPr>
        <w:pStyle w:val="Heading"/>
        <w:jc w:val="both"/>
        <w:rPr>
          <w:rFonts w:cs="Arial"/>
          <w:szCs w:val="24"/>
        </w:rPr>
      </w:pPr>
    </w:p>
    <w:p w14:paraId="5DE659D1" w14:textId="53E73193" w:rsidR="003225E8" w:rsidRPr="003225E8" w:rsidRDefault="00A9071A" w:rsidP="003225E8">
      <w:pPr>
        <w:pStyle w:val="Heading"/>
        <w:jc w:val="both"/>
        <w:rPr>
          <w:rFonts w:cs="Arial"/>
          <w:b w:val="0"/>
          <w:color w:val="auto"/>
          <w:szCs w:val="24"/>
          <w:lang w:val="en-US"/>
        </w:rPr>
      </w:pPr>
      <w:r>
        <w:rPr>
          <w:rFonts w:cs="Arial"/>
          <w:b w:val="0"/>
          <w:color w:val="auto"/>
          <w:szCs w:val="24"/>
          <w:lang w:val="en-US"/>
        </w:rPr>
        <w:t>1</w:t>
      </w:r>
      <w:r>
        <w:rPr>
          <w:rFonts w:cs="Arial"/>
          <w:b w:val="0"/>
          <w:color w:val="auto"/>
          <w:szCs w:val="24"/>
          <w:lang w:val="en-US"/>
        </w:rPr>
        <w:tab/>
      </w:r>
      <w:r w:rsidR="003225E8" w:rsidRPr="003225E8">
        <w:rPr>
          <w:rFonts w:cs="Arial"/>
          <w:b w:val="0"/>
          <w:color w:val="auto"/>
          <w:szCs w:val="24"/>
          <w:lang w:val="en-US"/>
        </w:rPr>
        <w:t>The COMESA Competition Commission was established in accordance with Article 55 (3) which provides that; “The Council shall make regulations to regulate competition within the Member States”.</w:t>
      </w:r>
    </w:p>
    <w:p w14:paraId="5DE659D2" w14:textId="77777777" w:rsidR="003225E8" w:rsidRPr="003225E8" w:rsidRDefault="003225E8" w:rsidP="003225E8">
      <w:pPr>
        <w:pStyle w:val="Heading"/>
        <w:jc w:val="both"/>
        <w:rPr>
          <w:rFonts w:cs="Arial"/>
          <w:b w:val="0"/>
          <w:color w:val="auto"/>
          <w:szCs w:val="24"/>
          <w:lang w:val="en-US"/>
        </w:rPr>
      </w:pPr>
      <w:r w:rsidRPr="003225E8">
        <w:rPr>
          <w:rFonts w:cs="Arial"/>
          <w:b w:val="0"/>
          <w:color w:val="auto"/>
          <w:szCs w:val="24"/>
          <w:lang w:val="en-US"/>
        </w:rPr>
        <w:t xml:space="preserve"> </w:t>
      </w:r>
    </w:p>
    <w:p w14:paraId="5DE659D3" w14:textId="09CCA988" w:rsidR="00B57999" w:rsidRDefault="00A9071A" w:rsidP="003225E8">
      <w:pPr>
        <w:pStyle w:val="Heading"/>
        <w:jc w:val="both"/>
        <w:rPr>
          <w:rFonts w:cs="Arial"/>
          <w:b w:val="0"/>
          <w:color w:val="auto"/>
          <w:szCs w:val="24"/>
          <w:lang w:val="en-US"/>
        </w:rPr>
      </w:pPr>
      <w:r>
        <w:rPr>
          <w:rFonts w:cs="Arial"/>
          <w:b w:val="0"/>
          <w:color w:val="auto"/>
          <w:szCs w:val="24"/>
          <w:lang w:val="en-US"/>
        </w:rPr>
        <w:t>2</w:t>
      </w:r>
      <w:r>
        <w:rPr>
          <w:rFonts w:cs="Arial"/>
          <w:b w:val="0"/>
          <w:color w:val="auto"/>
          <w:szCs w:val="24"/>
          <w:lang w:val="en-US"/>
        </w:rPr>
        <w:tab/>
      </w:r>
      <w:r w:rsidR="003225E8" w:rsidRPr="003225E8">
        <w:rPr>
          <w:rFonts w:cs="Arial"/>
          <w:b w:val="0"/>
          <w:color w:val="auto"/>
          <w:szCs w:val="24"/>
          <w:lang w:val="en-US"/>
        </w:rPr>
        <w:t>The Board of the Commission through Article 15(2) of the Competition Commission Regulations recommended to Council the rules governing fees payable in respect of services provided by the Commission. The rules on revenue sharing of merger filing fees collected by the Commission provide for the retention of 50% of the Common Market merger filing fees by the Commission. The Board of the Commission provides oversight over the utilization of these funds</w:t>
      </w:r>
      <w:r w:rsidR="003225E8">
        <w:rPr>
          <w:rFonts w:cs="Arial"/>
          <w:b w:val="0"/>
          <w:color w:val="auto"/>
          <w:szCs w:val="24"/>
          <w:lang w:val="en-US"/>
        </w:rPr>
        <w:t>.</w:t>
      </w:r>
    </w:p>
    <w:p w14:paraId="5DE659D4" w14:textId="77777777" w:rsidR="003225E8" w:rsidRPr="00AD5636" w:rsidRDefault="003225E8" w:rsidP="003225E8">
      <w:pPr>
        <w:pStyle w:val="Heading"/>
        <w:jc w:val="both"/>
        <w:rPr>
          <w:rFonts w:cs="Arial"/>
          <w:b w:val="0"/>
          <w:szCs w:val="24"/>
        </w:rPr>
      </w:pPr>
    </w:p>
    <w:p w14:paraId="5DE659D5" w14:textId="3134E3D8" w:rsidR="00B57999" w:rsidRPr="00AD5636" w:rsidRDefault="00A9071A" w:rsidP="00B57999">
      <w:pPr>
        <w:pStyle w:val="Heading"/>
        <w:rPr>
          <w:rFonts w:cs="Arial"/>
          <w:szCs w:val="24"/>
        </w:rPr>
      </w:pPr>
      <w:r>
        <w:rPr>
          <w:rFonts w:cs="Arial"/>
          <w:szCs w:val="24"/>
        </w:rPr>
        <w:t>II</w:t>
      </w:r>
      <w:r>
        <w:rPr>
          <w:rFonts w:cs="Arial"/>
          <w:szCs w:val="24"/>
        </w:rPr>
        <w:tab/>
      </w:r>
      <w:r w:rsidR="00B57999" w:rsidRPr="00AD5636">
        <w:rPr>
          <w:rFonts w:cs="Arial"/>
          <w:szCs w:val="24"/>
        </w:rPr>
        <w:t>SCOPE</w:t>
      </w:r>
    </w:p>
    <w:p w14:paraId="5DE659D6" w14:textId="77777777" w:rsidR="00433612" w:rsidRDefault="00433612" w:rsidP="00B57999">
      <w:pPr>
        <w:spacing w:after="0" w:line="240" w:lineRule="auto"/>
        <w:jc w:val="both"/>
        <w:rPr>
          <w:rFonts w:ascii="Arial" w:eastAsiaTheme="minorEastAsia" w:hAnsi="Arial" w:cs="Arial"/>
          <w:color w:val="000000"/>
          <w:sz w:val="24"/>
          <w:szCs w:val="24"/>
        </w:rPr>
      </w:pPr>
    </w:p>
    <w:p w14:paraId="5DE659D7" w14:textId="3A247031" w:rsidR="00C4440A" w:rsidRDefault="00A9071A" w:rsidP="00A208FE">
      <w:pPr>
        <w:spacing w:after="0" w:line="240" w:lineRule="auto"/>
        <w:jc w:val="both"/>
        <w:rPr>
          <w:rFonts w:ascii="Arial" w:eastAsiaTheme="minorEastAsia" w:hAnsi="Arial" w:cs="Arial"/>
          <w:color w:val="000000"/>
          <w:sz w:val="24"/>
          <w:szCs w:val="24"/>
        </w:rPr>
      </w:pPr>
      <w:r>
        <w:rPr>
          <w:rFonts w:ascii="Arial" w:eastAsiaTheme="minorEastAsia" w:hAnsi="Arial" w:cs="Arial"/>
          <w:color w:val="000000"/>
          <w:sz w:val="24"/>
          <w:szCs w:val="24"/>
        </w:rPr>
        <w:t>3</w:t>
      </w:r>
      <w:r>
        <w:rPr>
          <w:rFonts w:ascii="Arial" w:eastAsiaTheme="minorEastAsia" w:hAnsi="Arial" w:cs="Arial"/>
          <w:color w:val="000000"/>
          <w:sz w:val="24"/>
          <w:szCs w:val="24"/>
        </w:rPr>
        <w:tab/>
      </w:r>
      <w:r w:rsidR="00C4440A" w:rsidRPr="00C4440A">
        <w:rPr>
          <w:rFonts w:ascii="Arial" w:eastAsiaTheme="minorEastAsia" w:hAnsi="Arial" w:cs="Arial"/>
          <w:color w:val="000000"/>
          <w:sz w:val="24"/>
          <w:szCs w:val="24"/>
        </w:rPr>
        <w:t>Our scope included the review of the</w:t>
      </w:r>
      <w:r w:rsidR="00C4440A">
        <w:rPr>
          <w:rFonts w:ascii="Arial" w:eastAsiaTheme="minorEastAsia" w:hAnsi="Arial" w:cs="Arial"/>
          <w:color w:val="000000"/>
          <w:sz w:val="24"/>
          <w:szCs w:val="24"/>
        </w:rPr>
        <w:t xml:space="preserve"> </w:t>
      </w:r>
      <w:r w:rsidR="00C4440A" w:rsidRPr="00C4440A">
        <w:rPr>
          <w:rFonts w:ascii="Arial" w:eastAsiaTheme="minorEastAsia" w:hAnsi="Arial" w:cs="Arial"/>
          <w:color w:val="000000"/>
          <w:sz w:val="24"/>
          <w:szCs w:val="24"/>
        </w:rPr>
        <w:t>completeness and accuracy of financial transactions undertaken by COMESA Competition Commission on the utilization of the merger fees accruing to the Commission, review of implementation of Council Decisions</w:t>
      </w:r>
      <w:r w:rsidR="00C4440A">
        <w:rPr>
          <w:rFonts w:ascii="Arial" w:eastAsiaTheme="minorEastAsia" w:hAnsi="Arial" w:cs="Arial"/>
          <w:color w:val="000000"/>
          <w:sz w:val="24"/>
          <w:szCs w:val="24"/>
        </w:rPr>
        <w:t xml:space="preserve"> and Board Decisions</w:t>
      </w:r>
      <w:r w:rsidR="00C4440A" w:rsidRPr="00C4440A">
        <w:rPr>
          <w:rFonts w:ascii="Arial" w:eastAsiaTheme="minorEastAsia" w:hAnsi="Arial" w:cs="Arial"/>
          <w:color w:val="000000"/>
          <w:sz w:val="24"/>
          <w:szCs w:val="24"/>
        </w:rPr>
        <w:t>,</w:t>
      </w:r>
      <w:r w:rsidR="00C4440A">
        <w:rPr>
          <w:rFonts w:ascii="Arial" w:eastAsiaTheme="minorEastAsia" w:hAnsi="Arial" w:cs="Arial"/>
          <w:color w:val="000000"/>
          <w:sz w:val="24"/>
          <w:szCs w:val="24"/>
        </w:rPr>
        <w:t xml:space="preserve"> p</w:t>
      </w:r>
      <w:r w:rsidR="00C4440A" w:rsidRPr="00C4440A">
        <w:rPr>
          <w:rFonts w:ascii="Arial" w:eastAsiaTheme="minorEastAsia" w:hAnsi="Arial" w:cs="Arial"/>
          <w:color w:val="000000"/>
          <w:sz w:val="24"/>
          <w:szCs w:val="24"/>
        </w:rPr>
        <w:t>erformance</w:t>
      </w:r>
      <w:r w:rsidR="00C4440A">
        <w:rPr>
          <w:rFonts w:ascii="Arial" w:eastAsiaTheme="minorEastAsia" w:hAnsi="Arial" w:cs="Arial"/>
          <w:color w:val="000000"/>
          <w:sz w:val="24"/>
          <w:szCs w:val="24"/>
        </w:rPr>
        <w:t xml:space="preserve"> review</w:t>
      </w:r>
      <w:r w:rsidR="00C4440A" w:rsidRPr="00C4440A">
        <w:rPr>
          <w:rFonts w:ascii="Arial" w:eastAsiaTheme="minorEastAsia" w:hAnsi="Arial" w:cs="Arial"/>
          <w:color w:val="000000"/>
          <w:sz w:val="24"/>
          <w:szCs w:val="24"/>
        </w:rPr>
        <w:t xml:space="preserve"> of the approved 201</w:t>
      </w:r>
      <w:r w:rsidR="00935165">
        <w:rPr>
          <w:rFonts w:ascii="Arial" w:eastAsiaTheme="minorEastAsia" w:hAnsi="Arial" w:cs="Arial"/>
          <w:color w:val="000000"/>
          <w:sz w:val="24"/>
          <w:szCs w:val="24"/>
        </w:rPr>
        <w:t>8</w:t>
      </w:r>
      <w:r w:rsidR="00C4440A" w:rsidRPr="00C4440A">
        <w:rPr>
          <w:rFonts w:ascii="Arial" w:eastAsiaTheme="minorEastAsia" w:hAnsi="Arial" w:cs="Arial"/>
          <w:color w:val="000000"/>
          <w:sz w:val="24"/>
          <w:szCs w:val="24"/>
        </w:rPr>
        <w:t xml:space="preserve"> work </w:t>
      </w:r>
      <w:r w:rsidR="00363521" w:rsidRPr="00C4440A">
        <w:rPr>
          <w:rFonts w:ascii="Arial" w:eastAsiaTheme="minorEastAsia" w:hAnsi="Arial" w:cs="Arial"/>
          <w:color w:val="000000"/>
          <w:sz w:val="24"/>
          <w:szCs w:val="24"/>
        </w:rPr>
        <w:t>plan</w:t>
      </w:r>
      <w:r w:rsidR="00363521">
        <w:rPr>
          <w:rFonts w:ascii="Arial" w:eastAsiaTheme="minorEastAsia" w:hAnsi="Arial" w:cs="Arial"/>
          <w:color w:val="000000"/>
          <w:sz w:val="24"/>
          <w:szCs w:val="24"/>
        </w:rPr>
        <w:t>, and</w:t>
      </w:r>
      <w:r w:rsidR="005107E2">
        <w:rPr>
          <w:rFonts w:ascii="Arial" w:eastAsiaTheme="minorEastAsia" w:hAnsi="Arial" w:cs="Arial"/>
          <w:color w:val="000000"/>
          <w:sz w:val="24"/>
          <w:szCs w:val="24"/>
        </w:rPr>
        <w:t xml:space="preserve"> </w:t>
      </w:r>
      <w:r w:rsidR="00C4440A" w:rsidRPr="00C4440A">
        <w:rPr>
          <w:rFonts w:ascii="Arial" w:eastAsiaTheme="minorEastAsia" w:hAnsi="Arial" w:cs="Arial"/>
          <w:color w:val="000000"/>
          <w:sz w:val="24"/>
          <w:szCs w:val="24"/>
        </w:rPr>
        <w:t xml:space="preserve">review of the efficiency with which resources </w:t>
      </w:r>
      <w:r w:rsidR="00F6737A">
        <w:rPr>
          <w:rFonts w:ascii="Arial" w:eastAsiaTheme="minorEastAsia" w:hAnsi="Arial" w:cs="Arial"/>
          <w:color w:val="000000"/>
          <w:sz w:val="24"/>
          <w:szCs w:val="24"/>
        </w:rPr>
        <w:t xml:space="preserve">were </w:t>
      </w:r>
      <w:r w:rsidR="00F6737A" w:rsidRPr="00C4440A">
        <w:rPr>
          <w:rFonts w:ascii="Arial" w:eastAsiaTheme="minorEastAsia" w:hAnsi="Arial" w:cs="Arial"/>
          <w:color w:val="000000"/>
          <w:sz w:val="24"/>
          <w:szCs w:val="24"/>
        </w:rPr>
        <w:t>utilized</w:t>
      </w:r>
      <w:r w:rsidR="00C4440A" w:rsidRPr="00C4440A">
        <w:rPr>
          <w:rFonts w:ascii="Arial" w:eastAsiaTheme="minorEastAsia" w:hAnsi="Arial" w:cs="Arial"/>
          <w:color w:val="000000"/>
          <w:sz w:val="24"/>
          <w:szCs w:val="24"/>
        </w:rPr>
        <w:t xml:space="preserve"> </w:t>
      </w:r>
      <w:r w:rsidR="005107E2">
        <w:rPr>
          <w:rFonts w:ascii="Arial" w:eastAsiaTheme="minorEastAsia" w:hAnsi="Arial" w:cs="Arial"/>
          <w:color w:val="000000"/>
          <w:sz w:val="24"/>
          <w:szCs w:val="24"/>
        </w:rPr>
        <w:t xml:space="preserve">for the period </w:t>
      </w:r>
      <w:r w:rsidR="00935165">
        <w:rPr>
          <w:rFonts w:ascii="Arial" w:eastAsiaTheme="minorEastAsia" w:hAnsi="Arial" w:cs="Arial"/>
          <w:color w:val="000000"/>
          <w:sz w:val="24"/>
          <w:szCs w:val="24"/>
        </w:rPr>
        <w:t>August 2018 to June 2019</w:t>
      </w:r>
      <w:r w:rsidR="00C4440A" w:rsidRPr="00C4440A">
        <w:rPr>
          <w:rFonts w:ascii="Arial" w:eastAsiaTheme="minorEastAsia" w:hAnsi="Arial" w:cs="Arial"/>
          <w:color w:val="000000"/>
          <w:sz w:val="24"/>
          <w:szCs w:val="24"/>
        </w:rPr>
        <w:t>.</w:t>
      </w:r>
    </w:p>
    <w:p w14:paraId="5DE659D8" w14:textId="77777777" w:rsidR="00C4440A" w:rsidRDefault="00C4440A" w:rsidP="00A208FE">
      <w:pPr>
        <w:spacing w:after="0" w:line="240" w:lineRule="auto"/>
        <w:jc w:val="both"/>
        <w:rPr>
          <w:rFonts w:ascii="Arial" w:eastAsiaTheme="minorEastAsia" w:hAnsi="Arial" w:cs="Arial"/>
          <w:color w:val="000000"/>
          <w:sz w:val="24"/>
          <w:szCs w:val="24"/>
        </w:rPr>
      </w:pPr>
    </w:p>
    <w:p w14:paraId="5DE659D9" w14:textId="254E8280" w:rsidR="00B57999" w:rsidRPr="00AD5636" w:rsidRDefault="00A9071A" w:rsidP="00B57999">
      <w:pPr>
        <w:pStyle w:val="Heading"/>
        <w:rPr>
          <w:rFonts w:cs="Arial"/>
          <w:szCs w:val="24"/>
        </w:rPr>
      </w:pPr>
      <w:r>
        <w:rPr>
          <w:rFonts w:cs="Arial"/>
          <w:szCs w:val="24"/>
        </w:rPr>
        <w:t>III</w:t>
      </w:r>
      <w:r>
        <w:rPr>
          <w:rFonts w:cs="Arial"/>
          <w:szCs w:val="24"/>
        </w:rPr>
        <w:tab/>
      </w:r>
      <w:r w:rsidR="00B57999" w:rsidRPr="00AD5636">
        <w:rPr>
          <w:rFonts w:cs="Arial"/>
          <w:szCs w:val="24"/>
        </w:rPr>
        <w:t>O</w:t>
      </w:r>
      <w:r w:rsidR="00B57999">
        <w:rPr>
          <w:rFonts w:cs="Arial"/>
          <w:szCs w:val="24"/>
        </w:rPr>
        <w:t>BJECTIVES AND RESULTS</w:t>
      </w:r>
    </w:p>
    <w:p w14:paraId="5DE659DA" w14:textId="77777777" w:rsidR="0062444C" w:rsidRDefault="0062444C" w:rsidP="00B57999">
      <w:pPr>
        <w:rPr>
          <w:rFonts w:ascii="Arial" w:eastAsia="Calibri" w:hAnsi="Arial" w:cs="Arial"/>
          <w:sz w:val="24"/>
          <w:szCs w:val="24"/>
          <w:lang w:val="en-GB"/>
        </w:rPr>
      </w:pPr>
    </w:p>
    <w:p w14:paraId="5DE659DB" w14:textId="7126E7D7" w:rsidR="00B57999" w:rsidRDefault="00A9071A" w:rsidP="004E29DD">
      <w:pPr>
        <w:jc w:val="both"/>
        <w:rPr>
          <w:rFonts w:ascii="Arial" w:eastAsia="Calibri" w:hAnsi="Arial" w:cs="Arial"/>
          <w:sz w:val="24"/>
          <w:szCs w:val="24"/>
          <w:lang w:val="en-GB"/>
        </w:rPr>
      </w:pPr>
      <w:r>
        <w:rPr>
          <w:rFonts w:ascii="Arial" w:eastAsia="Calibri" w:hAnsi="Arial" w:cs="Arial"/>
          <w:sz w:val="24"/>
          <w:szCs w:val="24"/>
          <w:lang w:val="en-GB"/>
        </w:rPr>
        <w:t>4</w:t>
      </w:r>
      <w:r>
        <w:rPr>
          <w:rFonts w:ascii="Arial" w:eastAsia="Calibri" w:hAnsi="Arial" w:cs="Arial"/>
          <w:sz w:val="24"/>
          <w:szCs w:val="24"/>
          <w:lang w:val="en-GB"/>
        </w:rPr>
        <w:tab/>
      </w:r>
      <w:r w:rsidR="00B57999" w:rsidRPr="00017F95">
        <w:rPr>
          <w:rFonts w:ascii="Arial" w:eastAsia="Calibri" w:hAnsi="Arial" w:cs="Arial"/>
          <w:sz w:val="24"/>
          <w:szCs w:val="24"/>
          <w:lang w:val="en-GB"/>
        </w:rPr>
        <w:t>The audit evalua</w:t>
      </w:r>
      <w:r w:rsidR="00A01653">
        <w:rPr>
          <w:rFonts w:ascii="Arial" w:eastAsia="Calibri" w:hAnsi="Arial" w:cs="Arial"/>
          <w:sz w:val="24"/>
          <w:szCs w:val="24"/>
          <w:lang w:val="en-GB"/>
        </w:rPr>
        <w:t xml:space="preserve">ted the extent to which the </w:t>
      </w:r>
      <w:r w:rsidR="0062444C">
        <w:rPr>
          <w:rFonts w:ascii="Arial" w:eastAsia="Calibri" w:hAnsi="Arial" w:cs="Arial"/>
          <w:sz w:val="24"/>
          <w:szCs w:val="24"/>
          <w:lang w:val="en-GB"/>
        </w:rPr>
        <w:t>J</w:t>
      </w:r>
      <w:r w:rsidR="004E29DD">
        <w:rPr>
          <w:rFonts w:ascii="Arial" w:eastAsia="Calibri" w:hAnsi="Arial" w:cs="Arial"/>
          <w:sz w:val="24"/>
          <w:szCs w:val="24"/>
          <w:lang w:val="en-GB"/>
        </w:rPr>
        <w:t xml:space="preserve">uly 2017 to July 2018 COMESA Competition </w:t>
      </w:r>
      <w:r w:rsidR="00F6737A">
        <w:rPr>
          <w:rFonts w:ascii="Arial" w:eastAsia="Calibri" w:hAnsi="Arial" w:cs="Arial"/>
          <w:sz w:val="24"/>
          <w:szCs w:val="24"/>
          <w:lang w:val="en-GB"/>
        </w:rPr>
        <w:t>Commission (</w:t>
      </w:r>
      <w:r w:rsidR="004E29DD">
        <w:rPr>
          <w:rFonts w:ascii="Arial" w:eastAsia="Calibri" w:hAnsi="Arial" w:cs="Arial"/>
          <w:sz w:val="24"/>
          <w:szCs w:val="24"/>
          <w:lang w:val="en-GB"/>
        </w:rPr>
        <w:t>CCC)</w:t>
      </w:r>
      <w:r w:rsidR="0062444C">
        <w:rPr>
          <w:rFonts w:ascii="Arial" w:eastAsia="Calibri" w:hAnsi="Arial" w:cs="Arial"/>
          <w:sz w:val="24"/>
          <w:szCs w:val="24"/>
          <w:lang w:val="en-GB"/>
        </w:rPr>
        <w:t xml:space="preserve"> </w:t>
      </w:r>
      <w:r w:rsidR="00B57999" w:rsidRPr="00017F95">
        <w:rPr>
          <w:rFonts w:ascii="Arial" w:eastAsia="Calibri" w:hAnsi="Arial" w:cs="Arial"/>
          <w:sz w:val="24"/>
          <w:szCs w:val="24"/>
          <w:lang w:val="en-GB"/>
        </w:rPr>
        <w:t xml:space="preserve">activities contributed towards meeting the </w:t>
      </w:r>
      <w:r w:rsidR="004E29DD">
        <w:rPr>
          <w:rFonts w:ascii="Arial" w:eastAsia="Calibri" w:hAnsi="Arial" w:cs="Arial"/>
          <w:sz w:val="24"/>
          <w:szCs w:val="24"/>
          <w:lang w:val="en-GB"/>
        </w:rPr>
        <w:t xml:space="preserve">Commission’s </w:t>
      </w:r>
      <w:r w:rsidR="00FD6FC7" w:rsidRPr="00FD6FC7">
        <w:rPr>
          <w:rFonts w:ascii="Arial" w:eastAsia="Calibri" w:hAnsi="Arial" w:cs="Arial"/>
          <w:sz w:val="24"/>
          <w:szCs w:val="24"/>
          <w:lang w:val="en-GB"/>
        </w:rPr>
        <w:t xml:space="preserve">financial management objectives that include: </w:t>
      </w:r>
    </w:p>
    <w:p w14:paraId="5DE659DC" w14:textId="77777777" w:rsidR="00FD6FC7" w:rsidRDefault="00FD6FC7" w:rsidP="004E29DD">
      <w:pPr>
        <w:jc w:val="both"/>
        <w:rPr>
          <w:rFonts w:ascii="Arial" w:eastAsia="Calibri" w:hAnsi="Arial" w:cs="Arial"/>
          <w:sz w:val="24"/>
          <w:szCs w:val="24"/>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00"/>
        <w:gridCol w:w="6390"/>
      </w:tblGrid>
      <w:tr w:rsidR="00B57999" w:rsidRPr="00017F95" w14:paraId="5DE659E0" w14:textId="77777777" w:rsidTr="006A4E23">
        <w:tc>
          <w:tcPr>
            <w:tcW w:w="1998" w:type="dxa"/>
            <w:shd w:val="clear" w:color="auto" w:fill="auto"/>
          </w:tcPr>
          <w:p w14:paraId="5DE659DD" w14:textId="77777777" w:rsidR="00B57999" w:rsidRPr="00017F95" w:rsidRDefault="00B2404A" w:rsidP="006A4E23">
            <w:pPr>
              <w:rPr>
                <w:rFonts w:ascii="Arial" w:hAnsi="Arial"/>
                <w:b/>
                <w:sz w:val="24"/>
                <w:szCs w:val="24"/>
              </w:rPr>
            </w:pPr>
            <w:r>
              <w:rPr>
                <w:rFonts w:ascii="Arial" w:hAnsi="Arial"/>
                <w:b/>
                <w:sz w:val="24"/>
                <w:szCs w:val="24"/>
              </w:rPr>
              <w:t>Financial Management Objectives</w:t>
            </w:r>
          </w:p>
        </w:tc>
        <w:tc>
          <w:tcPr>
            <w:tcW w:w="1800" w:type="dxa"/>
            <w:shd w:val="clear" w:color="auto" w:fill="auto"/>
          </w:tcPr>
          <w:p w14:paraId="5DE659DE" w14:textId="77777777" w:rsidR="00B57999" w:rsidRPr="00017F95" w:rsidRDefault="00B57999" w:rsidP="006A4E23">
            <w:pPr>
              <w:rPr>
                <w:rFonts w:ascii="Arial" w:hAnsi="Arial"/>
                <w:b/>
                <w:sz w:val="24"/>
                <w:szCs w:val="24"/>
              </w:rPr>
            </w:pPr>
            <w:r w:rsidRPr="00017F95">
              <w:rPr>
                <w:rFonts w:ascii="Arial" w:hAnsi="Arial"/>
                <w:b/>
                <w:sz w:val="24"/>
                <w:szCs w:val="24"/>
              </w:rPr>
              <w:t>Control assurance</w:t>
            </w:r>
          </w:p>
        </w:tc>
        <w:tc>
          <w:tcPr>
            <w:tcW w:w="6390" w:type="dxa"/>
          </w:tcPr>
          <w:p w14:paraId="5DE659DF" w14:textId="77777777" w:rsidR="00B57999" w:rsidRPr="00017F95" w:rsidRDefault="00B57999" w:rsidP="006A4E23">
            <w:pPr>
              <w:rPr>
                <w:rFonts w:ascii="Arial" w:hAnsi="Arial"/>
                <w:b/>
                <w:sz w:val="24"/>
                <w:szCs w:val="24"/>
              </w:rPr>
            </w:pPr>
            <w:r w:rsidRPr="00017F95">
              <w:rPr>
                <w:rFonts w:ascii="Arial" w:hAnsi="Arial"/>
                <w:b/>
                <w:sz w:val="24"/>
                <w:szCs w:val="24"/>
              </w:rPr>
              <w:t>Specific control weaknesses</w:t>
            </w:r>
          </w:p>
        </w:tc>
      </w:tr>
      <w:tr w:rsidR="00B57999" w:rsidRPr="003128A7" w14:paraId="5DE65A14" w14:textId="77777777" w:rsidTr="006A4E23">
        <w:tc>
          <w:tcPr>
            <w:tcW w:w="1998" w:type="dxa"/>
            <w:shd w:val="clear" w:color="auto" w:fill="auto"/>
          </w:tcPr>
          <w:p w14:paraId="5DE659E1" w14:textId="77777777" w:rsidR="00B57999" w:rsidRPr="003128A7" w:rsidRDefault="00B2404A" w:rsidP="006A4E23">
            <w:pPr>
              <w:pStyle w:val="Default"/>
              <w:spacing w:after="20"/>
              <w:jc w:val="both"/>
              <w:rPr>
                <w:rFonts w:cs="Arial"/>
                <w:sz w:val="22"/>
                <w:szCs w:val="22"/>
              </w:rPr>
            </w:pPr>
            <w:r w:rsidRPr="003128A7">
              <w:rPr>
                <w:rFonts w:cs="Arial"/>
                <w:sz w:val="22"/>
                <w:szCs w:val="22"/>
              </w:rPr>
              <w:t>Adequate internal controls</w:t>
            </w:r>
          </w:p>
        </w:tc>
        <w:tc>
          <w:tcPr>
            <w:tcW w:w="1800" w:type="dxa"/>
            <w:shd w:val="clear" w:color="auto" w:fill="auto"/>
          </w:tcPr>
          <w:p w14:paraId="5DE659E2" w14:textId="583797AF" w:rsidR="00DC73A5" w:rsidRPr="003128A7" w:rsidRDefault="00235DF3" w:rsidP="007B6F36">
            <w:pPr>
              <w:spacing w:line="240" w:lineRule="auto"/>
              <w:rPr>
                <w:rFonts w:ascii="Arial" w:hAnsi="Arial" w:cs="Arial"/>
              </w:rPr>
            </w:pPr>
            <w:r>
              <w:rPr>
                <w:rFonts w:ascii="Arial" w:hAnsi="Arial" w:cs="Arial"/>
              </w:rPr>
              <w:t>Significant</w:t>
            </w:r>
            <w:r w:rsidRPr="003128A7">
              <w:rPr>
                <w:rFonts w:ascii="Arial" w:hAnsi="Arial" w:cs="Arial"/>
              </w:rPr>
              <w:t xml:space="preserve"> </w:t>
            </w:r>
            <w:r w:rsidR="00CD60D3" w:rsidRPr="003128A7">
              <w:rPr>
                <w:rFonts w:ascii="Arial" w:hAnsi="Arial" w:cs="Arial"/>
              </w:rPr>
              <w:t>Assurance</w:t>
            </w:r>
          </w:p>
          <w:p w14:paraId="5DE659E3" w14:textId="77777777" w:rsidR="00CD60D3" w:rsidRPr="003128A7" w:rsidRDefault="00CD60D3" w:rsidP="007B6F36">
            <w:pPr>
              <w:spacing w:line="240" w:lineRule="auto"/>
              <w:rPr>
                <w:rFonts w:ascii="Arial" w:hAnsi="Arial" w:cs="Arial"/>
              </w:rPr>
            </w:pPr>
          </w:p>
          <w:p w14:paraId="5DE659E4" w14:textId="77777777" w:rsidR="0060536B" w:rsidRPr="003128A7" w:rsidRDefault="0060536B" w:rsidP="006A4E23">
            <w:pPr>
              <w:rPr>
                <w:rFonts w:ascii="Arial" w:hAnsi="Arial" w:cs="Arial"/>
              </w:rPr>
            </w:pPr>
          </w:p>
        </w:tc>
        <w:tc>
          <w:tcPr>
            <w:tcW w:w="6390" w:type="dxa"/>
          </w:tcPr>
          <w:p w14:paraId="5DE659E5" w14:textId="69705B9B" w:rsidR="00B2404A" w:rsidRPr="003128A7" w:rsidRDefault="008F1DE5" w:rsidP="008F1DE5">
            <w:pPr>
              <w:spacing w:line="240" w:lineRule="auto"/>
              <w:jc w:val="both"/>
              <w:rPr>
                <w:rFonts w:ascii="Arial" w:hAnsi="Arial" w:cs="Arial"/>
              </w:rPr>
            </w:pPr>
            <w:r w:rsidRPr="003128A7">
              <w:rPr>
                <w:rFonts w:ascii="Arial" w:hAnsi="Arial" w:cs="Arial"/>
              </w:rPr>
              <w:t xml:space="preserve">Changes to bank </w:t>
            </w:r>
            <w:r w:rsidR="00235DF3">
              <w:rPr>
                <w:rFonts w:ascii="Arial" w:hAnsi="Arial" w:cs="Arial"/>
              </w:rPr>
              <w:t xml:space="preserve">accounts </w:t>
            </w:r>
            <w:r w:rsidRPr="003128A7">
              <w:rPr>
                <w:rFonts w:ascii="Arial" w:hAnsi="Arial" w:cs="Arial"/>
              </w:rPr>
              <w:t>not provided through the office of the Secretary General</w:t>
            </w:r>
            <w:r w:rsidR="005B404B">
              <w:rPr>
                <w:rFonts w:ascii="Arial" w:hAnsi="Arial" w:cs="Arial"/>
              </w:rPr>
              <w:t>.</w:t>
            </w:r>
            <w:r w:rsidRPr="003128A7">
              <w:rPr>
                <w:rFonts w:ascii="Arial" w:hAnsi="Arial" w:cs="Arial"/>
              </w:rPr>
              <w:t xml:space="preserve"> </w:t>
            </w:r>
          </w:p>
          <w:p w14:paraId="5DE659E7" w14:textId="4EE265FF" w:rsidR="007B6F36" w:rsidRPr="003128A7" w:rsidRDefault="00D71A8B" w:rsidP="007B6F36">
            <w:pPr>
              <w:spacing w:after="0" w:line="240" w:lineRule="auto"/>
              <w:jc w:val="both"/>
              <w:rPr>
                <w:rFonts w:ascii="Arial" w:hAnsi="Arial" w:cs="Arial"/>
              </w:rPr>
            </w:pPr>
            <w:r>
              <w:rPr>
                <w:rFonts w:ascii="Arial" w:hAnsi="Arial" w:cs="Arial"/>
              </w:rPr>
              <w:t xml:space="preserve">User Designed Applications </w:t>
            </w:r>
            <w:r w:rsidR="00B26AA2">
              <w:rPr>
                <w:rFonts w:ascii="Arial" w:hAnsi="Arial" w:cs="Arial"/>
              </w:rPr>
              <w:t>not</w:t>
            </w:r>
            <w:r w:rsidR="00813F72">
              <w:rPr>
                <w:rFonts w:ascii="Arial" w:hAnsi="Arial" w:cs="Arial"/>
              </w:rPr>
              <w:t xml:space="preserve"> protected and subjected to independent </w:t>
            </w:r>
            <w:r w:rsidR="00D06464">
              <w:rPr>
                <w:rFonts w:ascii="Arial" w:hAnsi="Arial" w:cs="Arial"/>
              </w:rPr>
              <w:t>review</w:t>
            </w:r>
            <w:r w:rsidR="00235DF3">
              <w:rPr>
                <w:rFonts w:ascii="Arial" w:hAnsi="Arial" w:cs="Arial"/>
              </w:rPr>
              <w:t>s</w:t>
            </w:r>
            <w:r w:rsidR="00D06464">
              <w:rPr>
                <w:rFonts w:ascii="Arial" w:hAnsi="Arial" w:cs="Arial"/>
              </w:rPr>
              <w:t>.</w:t>
            </w:r>
          </w:p>
          <w:p w14:paraId="53BCDE4C" w14:textId="77777777" w:rsidR="00235DF3" w:rsidRDefault="00235DF3" w:rsidP="00847D8A">
            <w:pPr>
              <w:spacing w:after="0" w:line="240" w:lineRule="auto"/>
              <w:jc w:val="both"/>
              <w:rPr>
                <w:rFonts w:ascii="Arial" w:hAnsi="Arial" w:cs="Arial"/>
              </w:rPr>
            </w:pPr>
          </w:p>
          <w:p w14:paraId="1AC26312" w14:textId="28E4271A" w:rsidR="00847D8A" w:rsidRPr="003128A7" w:rsidRDefault="00847D8A" w:rsidP="00847D8A">
            <w:pPr>
              <w:spacing w:after="0" w:line="240" w:lineRule="auto"/>
              <w:jc w:val="both"/>
              <w:rPr>
                <w:rFonts w:ascii="Arial" w:hAnsi="Arial" w:cs="Arial"/>
              </w:rPr>
            </w:pPr>
            <w:r w:rsidRPr="003128A7">
              <w:rPr>
                <w:rFonts w:ascii="Arial" w:hAnsi="Arial" w:cs="Arial"/>
              </w:rPr>
              <w:t xml:space="preserve">Payment of VAT on purchases </w:t>
            </w:r>
          </w:p>
          <w:p w14:paraId="094F7B56" w14:textId="77777777" w:rsidR="00847D8A" w:rsidRDefault="00847D8A" w:rsidP="007B6F36">
            <w:pPr>
              <w:spacing w:after="0" w:line="240" w:lineRule="auto"/>
              <w:jc w:val="both"/>
              <w:rPr>
                <w:rFonts w:ascii="Arial" w:hAnsi="Arial" w:cs="Arial"/>
              </w:rPr>
            </w:pPr>
          </w:p>
          <w:p w14:paraId="1B03A792" w14:textId="0FA8D8E3" w:rsidR="00847D8A" w:rsidRDefault="00F926FB" w:rsidP="007B6F36">
            <w:pPr>
              <w:spacing w:after="0" w:line="240" w:lineRule="auto"/>
              <w:jc w:val="both"/>
              <w:rPr>
                <w:rFonts w:ascii="Arial" w:hAnsi="Arial" w:cs="Arial"/>
              </w:rPr>
            </w:pPr>
            <w:r>
              <w:rPr>
                <w:rFonts w:ascii="Arial" w:hAnsi="Arial" w:cs="Arial"/>
              </w:rPr>
              <w:t>Non-reconciliation of</w:t>
            </w:r>
            <w:r w:rsidR="004808B4">
              <w:rPr>
                <w:rFonts w:ascii="Arial" w:hAnsi="Arial" w:cs="Arial"/>
              </w:rPr>
              <w:t xml:space="preserve"> airline creditors statements before payment.</w:t>
            </w:r>
          </w:p>
          <w:p w14:paraId="1C74FE3C" w14:textId="77777777" w:rsidR="00847D8A" w:rsidRDefault="00847D8A" w:rsidP="007B6F36">
            <w:pPr>
              <w:spacing w:after="0" w:line="240" w:lineRule="auto"/>
              <w:jc w:val="both"/>
              <w:rPr>
                <w:rFonts w:ascii="Arial" w:hAnsi="Arial" w:cs="Arial"/>
              </w:rPr>
            </w:pPr>
          </w:p>
          <w:p w14:paraId="4BB5E995" w14:textId="5B9536AF" w:rsidR="00882910" w:rsidRDefault="005F6473" w:rsidP="007B6F36">
            <w:pPr>
              <w:spacing w:after="0" w:line="240" w:lineRule="auto"/>
              <w:jc w:val="both"/>
              <w:rPr>
                <w:rFonts w:ascii="Arial" w:hAnsi="Arial" w:cs="Arial"/>
              </w:rPr>
            </w:pPr>
            <w:r>
              <w:rPr>
                <w:rFonts w:ascii="Arial" w:hAnsi="Arial" w:cs="Arial"/>
              </w:rPr>
              <w:t xml:space="preserve">Non recording of </w:t>
            </w:r>
            <w:r w:rsidR="00235DF3">
              <w:rPr>
                <w:rFonts w:ascii="Arial" w:hAnsi="Arial" w:cs="Arial"/>
              </w:rPr>
              <w:t xml:space="preserve">some purchases </w:t>
            </w:r>
            <w:r w:rsidR="00882910">
              <w:rPr>
                <w:rFonts w:ascii="Arial" w:hAnsi="Arial" w:cs="Arial"/>
              </w:rPr>
              <w:t>in the Goods Received Note.</w:t>
            </w:r>
          </w:p>
          <w:p w14:paraId="22AC1B55" w14:textId="77777777" w:rsidR="00CF5072" w:rsidRDefault="00CF5072" w:rsidP="007B6F36">
            <w:pPr>
              <w:spacing w:after="0" w:line="240" w:lineRule="auto"/>
              <w:jc w:val="both"/>
              <w:rPr>
                <w:rFonts w:ascii="Arial" w:hAnsi="Arial" w:cs="Arial"/>
              </w:rPr>
            </w:pPr>
          </w:p>
          <w:p w14:paraId="030909FA" w14:textId="065FB696" w:rsidR="00882910" w:rsidRDefault="00235DF3" w:rsidP="007B6F36">
            <w:pPr>
              <w:spacing w:after="0" w:line="240" w:lineRule="auto"/>
              <w:jc w:val="both"/>
              <w:rPr>
                <w:rFonts w:ascii="Arial" w:hAnsi="Arial" w:cs="Arial"/>
              </w:rPr>
            </w:pPr>
            <w:r>
              <w:rPr>
                <w:rFonts w:ascii="Arial" w:hAnsi="Arial" w:cs="Arial"/>
              </w:rPr>
              <w:lastRenderedPageBreak/>
              <w:t xml:space="preserve">Engagement of a </w:t>
            </w:r>
            <w:r w:rsidR="00234DF5">
              <w:rPr>
                <w:rFonts w:ascii="Arial" w:hAnsi="Arial" w:cs="Arial"/>
              </w:rPr>
              <w:t xml:space="preserve">Consultant after </w:t>
            </w:r>
            <w:r w:rsidR="00426D27">
              <w:rPr>
                <w:rFonts w:ascii="Arial" w:hAnsi="Arial" w:cs="Arial"/>
              </w:rPr>
              <w:t>contract</w:t>
            </w:r>
            <w:r>
              <w:rPr>
                <w:rFonts w:ascii="Arial" w:hAnsi="Arial" w:cs="Arial"/>
              </w:rPr>
              <w:t xml:space="preserve"> expiry</w:t>
            </w:r>
            <w:r w:rsidR="00426D27">
              <w:rPr>
                <w:rFonts w:ascii="Arial" w:hAnsi="Arial" w:cs="Arial"/>
              </w:rPr>
              <w:t>.</w:t>
            </w:r>
          </w:p>
          <w:p w14:paraId="311D1C56" w14:textId="6CB856D7" w:rsidR="00426D27" w:rsidRDefault="00A50F8B" w:rsidP="007B6F36">
            <w:pPr>
              <w:spacing w:after="0" w:line="240" w:lineRule="auto"/>
              <w:jc w:val="both"/>
              <w:rPr>
                <w:rFonts w:ascii="Arial" w:hAnsi="Arial" w:cs="Arial"/>
              </w:rPr>
            </w:pPr>
            <w:r>
              <w:rPr>
                <w:rFonts w:ascii="Arial" w:hAnsi="Arial" w:cs="Arial"/>
              </w:rPr>
              <w:t>Non follow up actions</w:t>
            </w:r>
            <w:r w:rsidR="00434F0E">
              <w:rPr>
                <w:rFonts w:ascii="Arial" w:hAnsi="Arial" w:cs="Arial"/>
              </w:rPr>
              <w:t xml:space="preserve"> </w:t>
            </w:r>
            <w:r w:rsidR="00235DF3">
              <w:rPr>
                <w:rFonts w:ascii="Arial" w:hAnsi="Arial" w:cs="Arial"/>
              </w:rPr>
              <w:t xml:space="preserve">arising </w:t>
            </w:r>
            <w:r w:rsidR="00434F0E">
              <w:rPr>
                <w:rFonts w:ascii="Arial" w:hAnsi="Arial" w:cs="Arial"/>
              </w:rPr>
              <w:t xml:space="preserve">from previous year </w:t>
            </w:r>
            <w:r w:rsidR="00235DF3">
              <w:rPr>
                <w:rFonts w:ascii="Arial" w:hAnsi="Arial" w:cs="Arial"/>
              </w:rPr>
              <w:t>missions</w:t>
            </w:r>
          </w:p>
          <w:p w14:paraId="30711ACE" w14:textId="7E1E20DB" w:rsidR="00765C57" w:rsidRDefault="00765C57" w:rsidP="007B6F36">
            <w:pPr>
              <w:spacing w:after="0" w:line="240" w:lineRule="auto"/>
              <w:jc w:val="both"/>
              <w:rPr>
                <w:rFonts w:ascii="Arial" w:hAnsi="Arial" w:cs="Arial"/>
              </w:rPr>
            </w:pPr>
          </w:p>
          <w:p w14:paraId="64DF7176" w14:textId="1FBA2BFD" w:rsidR="00765C57" w:rsidRDefault="00765C57" w:rsidP="007B6F36">
            <w:pPr>
              <w:spacing w:after="0" w:line="240" w:lineRule="auto"/>
              <w:jc w:val="both"/>
              <w:rPr>
                <w:rFonts w:ascii="Arial" w:hAnsi="Arial" w:cs="Arial"/>
              </w:rPr>
            </w:pPr>
            <w:r>
              <w:rPr>
                <w:rFonts w:ascii="Arial" w:hAnsi="Arial" w:cs="Arial"/>
              </w:rPr>
              <w:t>Delays in banking of unused imprest.</w:t>
            </w:r>
          </w:p>
          <w:p w14:paraId="118FEEE4" w14:textId="59CC69BB" w:rsidR="00434F0E" w:rsidRDefault="00434F0E" w:rsidP="007B6F36">
            <w:pPr>
              <w:spacing w:after="0" w:line="240" w:lineRule="auto"/>
              <w:jc w:val="both"/>
              <w:rPr>
                <w:rFonts w:ascii="Arial" w:hAnsi="Arial" w:cs="Arial"/>
              </w:rPr>
            </w:pPr>
          </w:p>
          <w:p w14:paraId="125DEACB" w14:textId="76E878ED" w:rsidR="00384433" w:rsidRDefault="00F926FB" w:rsidP="00384433">
            <w:pPr>
              <w:spacing w:line="240" w:lineRule="auto"/>
              <w:jc w:val="both"/>
              <w:rPr>
                <w:rFonts w:ascii="Arial" w:hAnsi="Arial" w:cs="Arial"/>
              </w:rPr>
            </w:pPr>
            <w:r>
              <w:rPr>
                <w:rFonts w:ascii="Arial" w:hAnsi="Arial" w:cs="Arial"/>
              </w:rPr>
              <w:t xml:space="preserve">Non-certification of </w:t>
            </w:r>
            <w:r w:rsidR="00235DF3">
              <w:rPr>
                <w:rFonts w:ascii="Arial" w:hAnsi="Arial" w:cs="Arial"/>
              </w:rPr>
              <w:t xml:space="preserve">some </w:t>
            </w:r>
            <w:r>
              <w:rPr>
                <w:rFonts w:ascii="Arial" w:hAnsi="Arial" w:cs="Arial"/>
              </w:rPr>
              <w:t>DSA</w:t>
            </w:r>
            <w:r w:rsidR="00384433">
              <w:rPr>
                <w:rFonts w:ascii="Arial" w:hAnsi="Arial" w:cs="Arial"/>
              </w:rPr>
              <w:t xml:space="preserve"> retirement forms.</w:t>
            </w:r>
          </w:p>
          <w:p w14:paraId="10BFDB1E" w14:textId="798687CA" w:rsidR="00384433" w:rsidRDefault="002B6F70" w:rsidP="007B6F36">
            <w:pPr>
              <w:spacing w:after="0" w:line="240" w:lineRule="auto"/>
              <w:jc w:val="both"/>
              <w:rPr>
                <w:rFonts w:ascii="Arial" w:hAnsi="Arial" w:cs="Arial"/>
              </w:rPr>
            </w:pPr>
            <w:r>
              <w:rPr>
                <w:rFonts w:ascii="Arial" w:hAnsi="Arial" w:cs="Arial"/>
              </w:rPr>
              <w:t>Unauthorized missions.</w:t>
            </w:r>
          </w:p>
          <w:p w14:paraId="3459F130" w14:textId="77777777" w:rsidR="002B6F70" w:rsidRDefault="002B6F70" w:rsidP="007B6F36">
            <w:pPr>
              <w:spacing w:after="0" w:line="240" w:lineRule="auto"/>
              <w:jc w:val="both"/>
              <w:rPr>
                <w:rFonts w:ascii="Arial" w:hAnsi="Arial" w:cs="Arial"/>
              </w:rPr>
            </w:pPr>
          </w:p>
          <w:p w14:paraId="24A39188" w14:textId="66398F1C" w:rsidR="00A17FE5" w:rsidRDefault="009E6BD1" w:rsidP="00426103">
            <w:pPr>
              <w:spacing w:after="0" w:line="240" w:lineRule="auto"/>
              <w:jc w:val="both"/>
              <w:rPr>
                <w:rFonts w:ascii="Arial" w:hAnsi="Arial" w:cs="Arial"/>
              </w:rPr>
            </w:pPr>
            <w:r>
              <w:rPr>
                <w:rFonts w:ascii="Arial" w:hAnsi="Arial" w:cs="Arial"/>
              </w:rPr>
              <w:t>Low budget absorption</w:t>
            </w:r>
            <w:r w:rsidR="00961281">
              <w:rPr>
                <w:rFonts w:ascii="Arial" w:hAnsi="Arial" w:cs="Arial"/>
              </w:rPr>
              <w:t>.</w:t>
            </w:r>
          </w:p>
          <w:p w14:paraId="2EBA369F" w14:textId="38CE32CD" w:rsidR="00BB0EFA" w:rsidRDefault="00BB0EFA" w:rsidP="00426103">
            <w:pPr>
              <w:spacing w:after="0" w:line="240" w:lineRule="auto"/>
              <w:jc w:val="both"/>
              <w:rPr>
                <w:rFonts w:ascii="Arial" w:hAnsi="Arial" w:cs="Arial"/>
              </w:rPr>
            </w:pPr>
          </w:p>
          <w:p w14:paraId="70682719" w14:textId="2F144799" w:rsidR="00961281" w:rsidRDefault="00BB0EFA" w:rsidP="00EA0440">
            <w:pPr>
              <w:spacing w:after="0" w:line="240" w:lineRule="auto"/>
              <w:jc w:val="both"/>
              <w:rPr>
                <w:rFonts w:ascii="Arial" w:hAnsi="Arial" w:cs="Arial"/>
              </w:rPr>
            </w:pPr>
            <w:r>
              <w:rPr>
                <w:rFonts w:ascii="Arial" w:hAnsi="Arial" w:cs="Arial"/>
              </w:rPr>
              <w:t>Non-collection</w:t>
            </w:r>
            <w:r w:rsidR="00EA0440">
              <w:rPr>
                <w:rFonts w:ascii="Arial" w:hAnsi="Arial" w:cs="Arial"/>
              </w:rPr>
              <w:t xml:space="preserve"> </w:t>
            </w:r>
            <w:r w:rsidR="003D4BD2">
              <w:rPr>
                <w:rFonts w:ascii="Arial" w:hAnsi="Arial" w:cs="Arial"/>
              </w:rPr>
              <w:t xml:space="preserve">of </w:t>
            </w:r>
            <w:r w:rsidRPr="00BB0EFA">
              <w:rPr>
                <w:rFonts w:ascii="Arial" w:hAnsi="Arial" w:cs="Arial"/>
              </w:rPr>
              <w:t xml:space="preserve">CVTFS </w:t>
            </w:r>
            <w:r w:rsidR="00235DF3">
              <w:rPr>
                <w:rFonts w:ascii="Arial" w:hAnsi="Arial" w:cs="Arial"/>
              </w:rPr>
              <w:t xml:space="preserve">debt. </w:t>
            </w:r>
          </w:p>
          <w:p w14:paraId="100A58B3" w14:textId="77777777" w:rsidR="00235DF3" w:rsidRDefault="00235DF3" w:rsidP="00EA0440">
            <w:pPr>
              <w:spacing w:after="0" w:line="240" w:lineRule="auto"/>
              <w:jc w:val="both"/>
              <w:rPr>
                <w:rFonts w:ascii="Arial" w:hAnsi="Arial" w:cs="Arial"/>
              </w:rPr>
            </w:pPr>
          </w:p>
          <w:p w14:paraId="6B693983" w14:textId="75A7A313" w:rsidR="00961281" w:rsidRDefault="00961281" w:rsidP="00961281">
            <w:pPr>
              <w:jc w:val="both"/>
              <w:rPr>
                <w:rFonts w:ascii="Arial" w:hAnsi="Arial" w:cs="Arial"/>
              </w:rPr>
            </w:pPr>
            <w:r>
              <w:rPr>
                <w:rFonts w:ascii="Arial" w:hAnsi="Arial" w:cs="Arial"/>
              </w:rPr>
              <w:t xml:space="preserve">Long outstanding unused </w:t>
            </w:r>
            <w:r w:rsidR="00BD69AE">
              <w:rPr>
                <w:rFonts w:ascii="Arial" w:hAnsi="Arial" w:cs="Arial"/>
              </w:rPr>
              <w:t>air tickets</w:t>
            </w:r>
            <w:r>
              <w:rPr>
                <w:rFonts w:ascii="Arial" w:hAnsi="Arial" w:cs="Arial"/>
              </w:rPr>
              <w:t>.</w:t>
            </w:r>
          </w:p>
          <w:p w14:paraId="42511DE5" w14:textId="2869B533" w:rsidR="00235DF3" w:rsidRDefault="00235DF3" w:rsidP="00961281">
            <w:pPr>
              <w:jc w:val="both"/>
              <w:rPr>
                <w:rFonts w:ascii="Arial" w:hAnsi="Arial" w:cs="Arial"/>
              </w:rPr>
            </w:pPr>
            <w:r>
              <w:rPr>
                <w:rFonts w:ascii="Arial" w:hAnsi="Arial" w:cs="Arial"/>
              </w:rPr>
              <w:t>Over payment of a translator</w:t>
            </w:r>
          </w:p>
          <w:p w14:paraId="5DE65A13" w14:textId="03746DC3" w:rsidR="009E6BD1" w:rsidRPr="003128A7" w:rsidRDefault="009E6BD1" w:rsidP="00961281">
            <w:pPr>
              <w:spacing w:after="0" w:line="240" w:lineRule="auto"/>
              <w:jc w:val="both"/>
              <w:rPr>
                <w:rFonts w:ascii="Arial" w:hAnsi="Arial" w:cs="Arial"/>
              </w:rPr>
            </w:pPr>
          </w:p>
        </w:tc>
      </w:tr>
      <w:tr w:rsidR="009833DD" w:rsidRPr="003128A7" w14:paraId="5DE65A26" w14:textId="77777777" w:rsidTr="006A4E23">
        <w:tc>
          <w:tcPr>
            <w:tcW w:w="1998" w:type="dxa"/>
            <w:shd w:val="clear" w:color="auto" w:fill="auto"/>
          </w:tcPr>
          <w:p w14:paraId="5DE65A15" w14:textId="77777777" w:rsidR="009833DD" w:rsidRPr="003128A7" w:rsidRDefault="00B2404A" w:rsidP="006A4E23">
            <w:pPr>
              <w:rPr>
                <w:rFonts w:ascii="Arial" w:hAnsi="Arial" w:cs="Arial"/>
              </w:rPr>
            </w:pPr>
            <w:r w:rsidRPr="003128A7">
              <w:rPr>
                <w:rFonts w:ascii="Arial" w:hAnsi="Arial" w:cs="Arial"/>
              </w:rPr>
              <w:lastRenderedPageBreak/>
              <w:t>Complete and accurate financial reporting</w:t>
            </w:r>
          </w:p>
        </w:tc>
        <w:tc>
          <w:tcPr>
            <w:tcW w:w="1800" w:type="dxa"/>
            <w:shd w:val="clear" w:color="auto" w:fill="auto"/>
          </w:tcPr>
          <w:p w14:paraId="5DE65A16" w14:textId="77777777" w:rsidR="0060536B" w:rsidRPr="003128A7" w:rsidRDefault="005107E2" w:rsidP="0060536B">
            <w:pPr>
              <w:spacing w:line="240" w:lineRule="auto"/>
              <w:rPr>
                <w:rFonts w:ascii="Arial" w:hAnsi="Arial" w:cs="Arial"/>
              </w:rPr>
            </w:pPr>
            <w:r>
              <w:rPr>
                <w:rFonts w:ascii="Arial" w:hAnsi="Arial" w:cs="Arial"/>
              </w:rPr>
              <w:t>Limited</w:t>
            </w:r>
            <w:r w:rsidR="0060536B" w:rsidRPr="003128A7">
              <w:rPr>
                <w:rFonts w:ascii="Arial" w:hAnsi="Arial" w:cs="Arial"/>
              </w:rPr>
              <w:t xml:space="preserve"> Assurance</w:t>
            </w:r>
          </w:p>
          <w:p w14:paraId="5DE65A17" w14:textId="77777777" w:rsidR="009833DD" w:rsidRPr="003128A7" w:rsidRDefault="009833DD" w:rsidP="006A4E23">
            <w:pPr>
              <w:rPr>
                <w:rFonts w:ascii="Arial" w:hAnsi="Arial" w:cs="Arial"/>
              </w:rPr>
            </w:pPr>
          </w:p>
          <w:p w14:paraId="5DE65A18" w14:textId="77777777" w:rsidR="0060536B" w:rsidRPr="003128A7" w:rsidRDefault="0060536B" w:rsidP="006A4E23">
            <w:pPr>
              <w:rPr>
                <w:rFonts w:ascii="Arial" w:hAnsi="Arial" w:cs="Arial"/>
              </w:rPr>
            </w:pPr>
          </w:p>
        </w:tc>
        <w:tc>
          <w:tcPr>
            <w:tcW w:w="6390" w:type="dxa"/>
          </w:tcPr>
          <w:p w14:paraId="5DE65A19" w14:textId="2B70B3C6" w:rsidR="00426103" w:rsidRPr="003128A7" w:rsidRDefault="005D04B5" w:rsidP="00426103">
            <w:pPr>
              <w:jc w:val="both"/>
              <w:rPr>
                <w:rFonts w:ascii="Arial" w:hAnsi="Arial" w:cs="Arial"/>
              </w:rPr>
            </w:pPr>
            <w:r>
              <w:rPr>
                <w:rFonts w:ascii="Arial" w:hAnsi="Arial" w:cs="Arial"/>
              </w:rPr>
              <w:t>Creditors posted</w:t>
            </w:r>
            <w:r w:rsidR="003F0BE7">
              <w:rPr>
                <w:rFonts w:ascii="Arial" w:hAnsi="Arial" w:cs="Arial"/>
              </w:rPr>
              <w:t xml:space="preserve"> to </w:t>
            </w:r>
            <w:r w:rsidR="003D4BD2">
              <w:rPr>
                <w:rFonts w:ascii="Arial" w:hAnsi="Arial" w:cs="Arial"/>
              </w:rPr>
              <w:t xml:space="preserve">a </w:t>
            </w:r>
            <w:r w:rsidR="003F0BE7">
              <w:rPr>
                <w:rFonts w:ascii="Arial" w:hAnsi="Arial" w:cs="Arial"/>
              </w:rPr>
              <w:t>Suspense account</w:t>
            </w:r>
            <w:r w:rsidR="00847D8A">
              <w:rPr>
                <w:rFonts w:ascii="Arial" w:hAnsi="Arial" w:cs="Arial"/>
              </w:rPr>
              <w:t>.</w:t>
            </w:r>
          </w:p>
          <w:p w14:paraId="5DE65A23" w14:textId="1B9AA673" w:rsidR="00A17FE5" w:rsidRDefault="00A17FE5" w:rsidP="009A5A83">
            <w:pPr>
              <w:jc w:val="both"/>
              <w:rPr>
                <w:rFonts w:ascii="Arial" w:hAnsi="Arial" w:cs="Arial"/>
              </w:rPr>
            </w:pPr>
            <w:r>
              <w:rPr>
                <w:rFonts w:ascii="Arial" w:hAnsi="Arial" w:cs="Arial"/>
              </w:rPr>
              <w:t xml:space="preserve">Non - </w:t>
            </w:r>
            <w:r w:rsidRPr="00A17FE5">
              <w:rPr>
                <w:rFonts w:ascii="Arial" w:hAnsi="Arial" w:cs="Arial"/>
              </w:rPr>
              <w:t xml:space="preserve">disclosure in </w:t>
            </w:r>
            <w:r>
              <w:rPr>
                <w:rFonts w:ascii="Arial" w:hAnsi="Arial" w:cs="Arial"/>
              </w:rPr>
              <w:t>the Commission</w:t>
            </w:r>
            <w:r w:rsidRPr="00A17FE5">
              <w:rPr>
                <w:rFonts w:ascii="Arial" w:hAnsi="Arial" w:cs="Arial"/>
              </w:rPr>
              <w:t xml:space="preserve"> financial statements</w:t>
            </w:r>
            <w:r>
              <w:rPr>
                <w:rFonts w:ascii="Arial" w:hAnsi="Arial" w:cs="Arial"/>
              </w:rPr>
              <w:t xml:space="preserve"> for </w:t>
            </w:r>
            <w:r w:rsidR="007A34C9">
              <w:rPr>
                <w:rFonts w:ascii="Arial" w:hAnsi="Arial" w:cs="Arial"/>
              </w:rPr>
              <w:t>contingent liabilities.</w:t>
            </w:r>
            <w:r w:rsidR="007A34C9" w:rsidRPr="00A17FE5" w:rsidDel="007A34C9">
              <w:rPr>
                <w:rFonts w:ascii="Arial" w:hAnsi="Arial" w:cs="Arial"/>
              </w:rPr>
              <w:t xml:space="preserve"> </w:t>
            </w:r>
          </w:p>
          <w:p w14:paraId="6502E1C4" w14:textId="77777777" w:rsidR="00A17FE5" w:rsidRDefault="00CE27CD" w:rsidP="007A34C9">
            <w:pPr>
              <w:jc w:val="both"/>
              <w:rPr>
                <w:rFonts w:ascii="Arial" w:hAnsi="Arial" w:cs="Arial"/>
              </w:rPr>
            </w:pPr>
            <w:r>
              <w:rPr>
                <w:rFonts w:ascii="Arial" w:hAnsi="Arial" w:cs="Arial"/>
              </w:rPr>
              <w:t>Partial</w:t>
            </w:r>
            <w:r w:rsidR="000F0DC5">
              <w:rPr>
                <w:rFonts w:ascii="Arial" w:hAnsi="Arial" w:cs="Arial"/>
              </w:rPr>
              <w:t xml:space="preserve"> or non-compliance with the following standards:</w:t>
            </w:r>
          </w:p>
          <w:p w14:paraId="5DE26AA4" w14:textId="1AD74C23" w:rsidR="000F0DC5" w:rsidRDefault="00E0009E" w:rsidP="00E0009E">
            <w:pPr>
              <w:pStyle w:val="ListParagraph"/>
              <w:numPr>
                <w:ilvl w:val="0"/>
                <w:numId w:val="7"/>
              </w:numPr>
              <w:jc w:val="both"/>
              <w:rPr>
                <w:rFonts w:ascii="Arial" w:hAnsi="Arial" w:cs="Arial"/>
              </w:rPr>
            </w:pPr>
            <w:r w:rsidRPr="00E0009E">
              <w:rPr>
                <w:rFonts w:ascii="Arial" w:hAnsi="Arial" w:cs="Arial"/>
              </w:rPr>
              <w:t xml:space="preserve">IAS </w:t>
            </w:r>
            <w:r w:rsidR="00EE1445" w:rsidRPr="00E0009E">
              <w:rPr>
                <w:rFonts w:ascii="Arial" w:hAnsi="Arial" w:cs="Arial"/>
              </w:rPr>
              <w:t>18</w:t>
            </w:r>
            <w:r w:rsidR="00EE1445">
              <w:rPr>
                <w:rFonts w:ascii="Arial" w:hAnsi="Arial" w:cs="Arial"/>
              </w:rPr>
              <w:t xml:space="preserve"> Revenue</w:t>
            </w:r>
            <w:r w:rsidR="00EE1445" w:rsidRPr="00EE1445">
              <w:rPr>
                <w:rFonts w:ascii="Arial" w:hAnsi="Arial" w:cs="Arial"/>
              </w:rPr>
              <w:t xml:space="preserve"> recognition </w:t>
            </w:r>
          </w:p>
          <w:p w14:paraId="70FF895B" w14:textId="44901110" w:rsidR="00FA4188" w:rsidRDefault="00846A08" w:rsidP="00846A08">
            <w:pPr>
              <w:pStyle w:val="ListParagraph"/>
              <w:numPr>
                <w:ilvl w:val="0"/>
                <w:numId w:val="7"/>
              </w:numPr>
              <w:jc w:val="both"/>
              <w:rPr>
                <w:rFonts w:ascii="Arial" w:hAnsi="Arial" w:cs="Arial"/>
              </w:rPr>
            </w:pPr>
            <w:r w:rsidRPr="00846A08">
              <w:rPr>
                <w:rFonts w:ascii="Arial" w:hAnsi="Arial" w:cs="Arial"/>
              </w:rPr>
              <w:t>IAS 16</w:t>
            </w:r>
            <w:r>
              <w:rPr>
                <w:rFonts w:ascii="Arial" w:hAnsi="Arial" w:cs="Arial"/>
              </w:rPr>
              <w:t xml:space="preserve"> </w:t>
            </w:r>
            <w:r w:rsidRPr="00846A08">
              <w:rPr>
                <w:rFonts w:ascii="Arial" w:hAnsi="Arial" w:cs="Arial"/>
              </w:rPr>
              <w:t>Property, Plant and Equipment</w:t>
            </w:r>
            <w:r>
              <w:rPr>
                <w:rFonts w:ascii="Arial" w:hAnsi="Arial" w:cs="Arial"/>
              </w:rPr>
              <w:t xml:space="preserve"> </w:t>
            </w:r>
          </w:p>
          <w:p w14:paraId="54225309" w14:textId="46ED0C2D" w:rsidR="00254B87" w:rsidRDefault="00254B87" w:rsidP="00254B87">
            <w:pPr>
              <w:pStyle w:val="ListParagraph"/>
              <w:numPr>
                <w:ilvl w:val="0"/>
                <w:numId w:val="7"/>
              </w:numPr>
              <w:jc w:val="both"/>
              <w:rPr>
                <w:rFonts w:ascii="Arial" w:hAnsi="Arial" w:cs="Arial"/>
              </w:rPr>
            </w:pPr>
            <w:r w:rsidRPr="00254B87">
              <w:rPr>
                <w:rFonts w:ascii="Arial" w:hAnsi="Arial" w:cs="Arial"/>
              </w:rPr>
              <w:t>IFRS 9/IAS 32</w:t>
            </w:r>
            <w:r>
              <w:rPr>
                <w:rFonts w:ascii="Arial" w:hAnsi="Arial" w:cs="Arial"/>
              </w:rPr>
              <w:t xml:space="preserve"> </w:t>
            </w:r>
            <w:r w:rsidRPr="00254B87">
              <w:rPr>
                <w:rFonts w:ascii="Arial" w:hAnsi="Arial" w:cs="Arial"/>
              </w:rPr>
              <w:t>Financial Instruments</w:t>
            </w:r>
            <w:r>
              <w:rPr>
                <w:rFonts w:ascii="Arial" w:hAnsi="Arial" w:cs="Arial"/>
              </w:rPr>
              <w:t xml:space="preserve"> </w:t>
            </w:r>
          </w:p>
          <w:p w14:paraId="260B461E" w14:textId="0F498360" w:rsidR="005C4CFE" w:rsidRDefault="00AE122A" w:rsidP="00AE122A">
            <w:pPr>
              <w:pStyle w:val="ListParagraph"/>
              <w:numPr>
                <w:ilvl w:val="0"/>
                <w:numId w:val="7"/>
              </w:numPr>
              <w:jc w:val="both"/>
              <w:rPr>
                <w:rFonts w:ascii="Arial" w:hAnsi="Arial" w:cs="Arial"/>
              </w:rPr>
            </w:pPr>
            <w:r w:rsidRPr="00AE122A">
              <w:rPr>
                <w:rFonts w:ascii="Arial" w:hAnsi="Arial" w:cs="Arial"/>
              </w:rPr>
              <w:t>IAS 19</w:t>
            </w:r>
            <w:r>
              <w:rPr>
                <w:rFonts w:ascii="Arial" w:hAnsi="Arial" w:cs="Arial"/>
              </w:rPr>
              <w:t xml:space="preserve"> </w:t>
            </w:r>
            <w:r w:rsidRPr="00AE122A">
              <w:rPr>
                <w:rFonts w:ascii="Arial" w:hAnsi="Arial" w:cs="Arial"/>
              </w:rPr>
              <w:t>Employment Benefits</w:t>
            </w:r>
          </w:p>
          <w:p w14:paraId="05FA7A18" w14:textId="327C2F73" w:rsidR="003B7793" w:rsidRDefault="00596AEA" w:rsidP="00596AEA">
            <w:pPr>
              <w:pStyle w:val="ListParagraph"/>
              <w:numPr>
                <w:ilvl w:val="0"/>
                <w:numId w:val="7"/>
              </w:numPr>
              <w:jc w:val="both"/>
              <w:rPr>
                <w:rFonts w:ascii="Arial" w:hAnsi="Arial" w:cs="Arial"/>
              </w:rPr>
            </w:pPr>
            <w:r w:rsidRPr="00596AEA">
              <w:rPr>
                <w:rFonts w:ascii="Arial" w:hAnsi="Arial" w:cs="Arial"/>
              </w:rPr>
              <w:t>IAS 10</w:t>
            </w:r>
            <w:r>
              <w:rPr>
                <w:rFonts w:ascii="Arial" w:hAnsi="Arial" w:cs="Arial"/>
              </w:rPr>
              <w:t xml:space="preserve"> </w:t>
            </w:r>
            <w:r w:rsidRPr="00596AEA">
              <w:rPr>
                <w:rFonts w:ascii="Arial" w:hAnsi="Arial" w:cs="Arial"/>
              </w:rPr>
              <w:t>Events after the B</w:t>
            </w:r>
            <w:r>
              <w:rPr>
                <w:rFonts w:ascii="Arial" w:hAnsi="Arial" w:cs="Arial"/>
              </w:rPr>
              <w:t xml:space="preserve">alance </w:t>
            </w:r>
            <w:r w:rsidRPr="00596AEA">
              <w:rPr>
                <w:rFonts w:ascii="Arial" w:hAnsi="Arial" w:cs="Arial"/>
              </w:rPr>
              <w:t>S</w:t>
            </w:r>
            <w:r>
              <w:rPr>
                <w:rFonts w:ascii="Arial" w:hAnsi="Arial" w:cs="Arial"/>
              </w:rPr>
              <w:t xml:space="preserve">heet date </w:t>
            </w:r>
          </w:p>
          <w:p w14:paraId="5E4D159B" w14:textId="220A044E" w:rsidR="00356230" w:rsidRDefault="00A017B7" w:rsidP="00A017B7">
            <w:pPr>
              <w:pStyle w:val="ListParagraph"/>
              <w:numPr>
                <w:ilvl w:val="0"/>
                <w:numId w:val="7"/>
              </w:numPr>
              <w:jc w:val="both"/>
              <w:rPr>
                <w:rFonts w:ascii="Arial" w:hAnsi="Arial" w:cs="Arial"/>
              </w:rPr>
            </w:pPr>
            <w:r w:rsidRPr="00A017B7">
              <w:rPr>
                <w:rFonts w:ascii="Arial" w:hAnsi="Arial" w:cs="Arial"/>
              </w:rPr>
              <w:t>IAS 8</w:t>
            </w:r>
            <w:r>
              <w:rPr>
                <w:rFonts w:ascii="Arial" w:hAnsi="Arial" w:cs="Arial"/>
              </w:rPr>
              <w:t xml:space="preserve"> </w:t>
            </w:r>
            <w:r w:rsidRPr="00A017B7">
              <w:rPr>
                <w:rFonts w:ascii="Arial" w:hAnsi="Arial" w:cs="Arial"/>
              </w:rPr>
              <w:t>Accounting policies</w:t>
            </w:r>
            <w:r>
              <w:rPr>
                <w:rFonts w:ascii="Arial" w:hAnsi="Arial" w:cs="Arial"/>
              </w:rPr>
              <w:t xml:space="preserve"> </w:t>
            </w:r>
          </w:p>
          <w:p w14:paraId="0EE4745C" w14:textId="6860DD1B" w:rsidR="006314D2" w:rsidRDefault="00A56B0B" w:rsidP="00A56B0B">
            <w:pPr>
              <w:pStyle w:val="ListParagraph"/>
              <w:numPr>
                <w:ilvl w:val="0"/>
                <w:numId w:val="7"/>
              </w:numPr>
              <w:jc w:val="both"/>
              <w:rPr>
                <w:rFonts w:ascii="Arial" w:hAnsi="Arial" w:cs="Arial"/>
              </w:rPr>
            </w:pPr>
            <w:r w:rsidRPr="00A56B0B">
              <w:rPr>
                <w:rFonts w:ascii="Arial" w:hAnsi="Arial" w:cs="Arial"/>
              </w:rPr>
              <w:t>IAS 7</w:t>
            </w:r>
            <w:r>
              <w:rPr>
                <w:rFonts w:ascii="Arial" w:hAnsi="Arial" w:cs="Arial"/>
              </w:rPr>
              <w:t xml:space="preserve"> </w:t>
            </w:r>
            <w:r w:rsidRPr="00A56B0B">
              <w:rPr>
                <w:rFonts w:ascii="Arial" w:hAnsi="Arial" w:cs="Arial"/>
              </w:rPr>
              <w:t>Statement of cash flows</w:t>
            </w:r>
            <w:r>
              <w:rPr>
                <w:rFonts w:ascii="Arial" w:hAnsi="Arial" w:cs="Arial"/>
              </w:rPr>
              <w:t xml:space="preserve"> </w:t>
            </w:r>
          </w:p>
          <w:p w14:paraId="57645842" w14:textId="1DAD8A39" w:rsidR="00763F57" w:rsidRDefault="00D85B26" w:rsidP="00D85B26">
            <w:pPr>
              <w:pStyle w:val="ListParagraph"/>
              <w:numPr>
                <w:ilvl w:val="0"/>
                <w:numId w:val="7"/>
              </w:numPr>
              <w:jc w:val="both"/>
              <w:rPr>
                <w:rFonts w:ascii="Arial" w:hAnsi="Arial" w:cs="Arial"/>
              </w:rPr>
            </w:pPr>
            <w:r w:rsidRPr="00D85B26">
              <w:rPr>
                <w:rFonts w:ascii="Arial" w:hAnsi="Arial" w:cs="Arial"/>
              </w:rPr>
              <w:t>IAS 37</w:t>
            </w:r>
            <w:r>
              <w:rPr>
                <w:rFonts w:ascii="Arial" w:hAnsi="Arial" w:cs="Arial"/>
              </w:rPr>
              <w:t xml:space="preserve"> </w:t>
            </w:r>
            <w:r w:rsidRPr="00D85B26">
              <w:rPr>
                <w:rFonts w:ascii="Arial" w:hAnsi="Arial" w:cs="Arial"/>
              </w:rPr>
              <w:t>Provisions</w:t>
            </w:r>
            <w:r>
              <w:rPr>
                <w:rFonts w:ascii="Arial" w:hAnsi="Arial" w:cs="Arial"/>
              </w:rPr>
              <w:t xml:space="preserve"> </w:t>
            </w:r>
          </w:p>
          <w:p w14:paraId="2BFDCE09" w14:textId="259C77A3" w:rsidR="00380EEB" w:rsidRDefault="00DD1C02" w:rsidP="00DD1C02">
            <w:pPr>
              <w:pStyle w:val="ListParagraph"/>
              <w:numPr>
                <w:ilvl w:val="0"/>
                <w:numId w:val="7"/>
              </w:numPr>
              <w:jc w:val="both"/>
              <w:rPr>
                <w:rFonts w:ascii="Arial" w:hAnsi="Arial" w:cs="Arial"/>
              </w:rPr>
            </w:pPr>
            <w:r w:rsidRPr="00DD1C02">
              <w:rPr>
                <w:rFonts w:ascii="Arial" w:hAnsi="Arial" w:cs="Arial"/>
              </w:rPr>
              <w:t>IAS 27Consolidated and Separate Financial Statements</w:t>
            </w:r>
            <w:r>
              <w:rPr>
                <w:rFonts w:ascii="Arial" w:hAnsi="Arial" w:cs="Arial"/>
              </w:rPr>
              <w:t xml:space="preserve"> </w:t>
            </w:r>
          </w:p>
          <w:p w14:paraId="30BC86F6" w14:textId="15612CCD" w:rsidR="007B4577" w:rsidRDefault="00CC64BA" w:rsidP="00CC64BA">
            <w:pPr>
              <w:pStyle w:val="ListParagraph"/>
              <w:numPr>
                <w:ilvl w:val="0"/>
                <w:numId w:val="7"/>
              </w:numPr>
              <w:jc w:val="both"/>
              <w:rPr>
                <w:rFonts w:ascii="Arial" w:hAnsi="Arial" w:cs="Arial"/>
              </w:rPr>
            </w:pPr>
            <w:r w:rsidRPr="00CC64BA">
              <w:rPr>
                <w:rFonts w:ascii="Arial" w:hAnsi="Arial" w:cs="Arial"/>
              </w:rPr>
              <w:t>IAS 24</w:t>
            </w:r>
            <w:r>
              <w:rPr>
                <w:rFonts w:ascii="Arial" w:hAnsi="Arial" w:cs="Arial"/>
              </w:rPr>
              <w:t xml:space="preserve"> </w:t>
            </w:r>
            <w:r w:rsidRPr="00CC64BA">
              <w:rPr>
                <w:rFonts w:ascii="Arial" w:hAnsi="Arial" w:cs="Arial"/>
              </w:rPr>
              <w:t>Related Party</w:t>
            </w:r>
            <w:r>
              <w:rPr>
                <w:rFonts w:ascii="Arial" w:hAnsi="Arial" w:cs="Arial"/>
              </w:rPr>
              <w:t xml:space="preserve"> </w:t>
            </w:r>
          </w:p>
          <w:p w14:paraId="5DE65A25" w14:textId="07C22854" w:rsidR="00285431" w:rsidRPr="001F7046" w:rsidRDefault="00724B8F" w:rsidP="001F7046">
            <w:pPr>
              <w:pStyle w:val="ListParagraph"/>
              <w:numPr>
                <w:ilvl w:val="0"/>
                <w:numId w:val="7"/>
              </w:numPr>
              <w:jc w:val="both"/>
              <w:rPr>
                <w:rFonts w:ascii="Arial" w:hAnsi="Arial" w:cs="Arial"/>
              </w:rPr>
            </w:pPr>
            <w:r w:rsidRPr="001F7046">
              <w:rPr>
                <w:rFonts w:ascii="Arial" w:hAnsi="Arial" w:cs="Arial"/>
              </w:rPr>
              <w:t xml:space="preserve">IAS 21 Foreign Currency Translation </w:t>
            </w:r>
          </w:p>
        </w:tc>
      </w:tr>
    </w:tbl>
    <w:p w14:paraId="5DE65A27" w14:textId="77777777" w:rsidR="00B57999" w:rsidRDefault="00B57999" w:rsidP="00B57999">
      <w:pPr>
        <w:rPr>
          <w:rFonts w:ascii="Arial" w:hAnsi="Arial" w:cs="Arial"/>
        </w:rPr>
      </w:pPr>
    </w:p>
    <w:p w14:paraId="5DE65A28" w14:textId="77777777" w:rsidR="00ED6BED" w:rsidRPr="003128A7" w:rsidRDefault="00ED6BED" w:rsidP="00B57999">
      <w:pPr>
        <w:rPr>
          <w:rFonts w:ascii="Arial" w:hAnsi="Arial" w:cs="Arial"/>
        </w:rPr>
      </w:pPr>
    </w:p>
    <w:p w14:paraId="5DE65A29" w14:textId="77777777" w:rsidR="00B57999" w:rsidRPr="0070280D" w:rsidRDefault="00B57999" w:rsidP="00B57999">
      <w:pPr>
        <w:rPr>
          <w:rFonts w:ascii="Arial" w:eastAsia="Calibri" w:hAnsi="Arial" w:cs="Arial"/>
          <w:lang w:val="en-GB"/>
        </w:rPr>
      </w:pPr>
      <w:r w:rsidRPr="0070280D">
        <w:rPr>
          <w:rFonts w:ascii="Arial" w:eastAsia="Calibri" w:hAnsi="Arial" w:cs="Arial"/>
          <w:b/>
          <w:lang w:val="en-GB"/>
        </w:rPr>
        <w:t>Detailed Observations, audit recommendations and management action plans</w:t>
      </w:r>
      <w:r w:rsidRPr="0070280D">
        <w:rPr>
          <w:rFonts w:ascii="Arial" w:eastAsia="Calibri" w:hAnsi="Arial" w:cs="Arial"/>
          <w:lang w:val="en-GB"/>
        </w:rPr>
        <w:t xml:space="preserve"> </w:t>
      </w:r>
    </w:p>
    <w:p w14:paraId="5DE65A2A" w14:textId="19DE002C" w:rsidR="00B57999" w:rsidRPr="0070280D" w:rsidRDefault="00A9071A" w:rsidP="00B57999">
      <w:pPr>
        <w:rPr>
          <w:rFonts w:ascii="Arial" w:eastAsia="Calibri" w:hAnsi="Arial" w:cs="Arial"/>
          <w:lang w:val="en-GB"/>
        </w:rPr>
      </w:pPr>
      <w:r>
        <w:rPr>
          <w:rFonts w:ascii="Arial" w:eastAsia="Calibri" w:hAnsi="Arial" w:cs="Arial"/>
          <w:lang w:val="en-GB"/>
        </w:rPr>
        <w:t>5</w:t>
      </w:r>
      <w:r>
        <w:rPr>
          <w:rFonts w:ascii="Arial" w:eastAsia="Calibri" w:hAnsi="Arial" w:cs="Arial"/>
          <w:lang w:val="en-GB"/>
        </w:rPr>
        <w:tab/>
      </w:r>
      <w:r w:rsidR="00B57999" w:rsidRPr="0070280D">
        <w:rPr>
          <w:rFonts w:ascii="Arial" w:eastAsia="Calibri" w:hAnsi="Arial" w:cs="Arial"/>
          <w:lang w:val="en-GB"/>
        </w:rPr>
        <w:t>These are contained in a separate report which is attached to this Executive Summary.</w:t>
      </w:r>
    </w:p>
    <w:p w14:paraId="5DE65A2B" w14:textId="77777777" w:rsidR="00B57999" w:rsidRPr="0070280D" w:rsidRDefault="00B57999" w:rsidP="00B57999">
      <w:pPr>
        <w:rPr>
          <w:rFonts w:ascii="Arial" w:eastAsia="Calibri" w:hAnsi="Arial" w:cs="Arial"/>
          <w:b/>
          <w:lang w:val="en-GB"/>
        </w:rPr>
      </w:pPr>
      <w:r w:rsidRPr="0070280D">
        <w:rPr>
          <w:rFonts w:ascii="Arial" w:eastAsia="Calibri" w:hAnsi="Arial" w:cs="Arial"/>
          <w:b/>
          <w:lang w:val="en-GB"/>
        </w:rPr>
        <w:t>Note:</w:t>
      </w:r>
    </w:p>
    <w:p w14:paraId="5DE65A2C" w14:textId="02EFC6C9" w:rsidR="00B57999" w:rsidRPr="00861E17" w:rsidRDefault="00A9071A" w:rsidP="00B57999">
      <w:pPr>
        <w:rPr>
          <w:rFonts w:ascii="Arial" w:eastAsia="Calibri" w:hAnsi="Arial" w:cs="Arial"/>
          <w:lang w:val="en-GB"/>
        </w:rPr>
      </w:pPr>
      <w:r>
        <w:rPr>
          <w:rFonts w:ascii="Arial" w:eastAsia="Calibri" w:hAnsi="Arial" w:cs="Arial"/>
          <w:lang w:val="en-GB"/>
        </w:rPr>
        <w:t>6</w:t>
      </w:r>
      <w:r>
        <w:rPr>
          <w:rFonts w:ascii="Arial" w:eastAsia="Calibri" w:hAnsi="Arial" w:cs="Arial"/>
          <w:lang w:val="en-GB"/>
        </w:rPr>
        <w:tab/>
      </w:r>
      <w:r w:rsidR="00B57999" w:rsidRPr="00861E17">
        <w:rPr>
          <w:rFonts w:ascii="Arial" w:eastAsia="Calibri" w:hAnsi="Arial" w:cs="Arial"/>
          <w:lang w:val="en-GB"/>
        </w:rPr>
        <w:t xml:space="preserve">Control assurance is the level of assurance provided at the end of each audit that the systems and controls are in place to ensure that strategic objectives are being met. </w:t>
      </w:r>
    </w:p>
    <w:p w14:paraId="5DE65A2D" w14:textId="6256194B" w:rsidR="00B57999" w:rsidRPr="00861E17" w:rsidRDefault="00A9071A" w:rsidP="00B57999">
      <w:pPr>
        <w:rPr>
          <w:rFonts w:ascii="Arial" w:eastAsia="Calibri" w:hAnsi="Arial" w:cs="Arial"/>
          <w:lang w:val="en-GB"/>
        </w:rPr>
      </w:pPr>
      <w:r>
        <w:rPr>
          <w:rFonts w:ascii="Arial" w:eastAsia="Calibri" w:hAnsi="Arial" w:cs="Arial"/>
          <w:b/>
          <w:lang w:val="en-GB"/>
        </w:rPr>
        <w:lastRenderedPageBreak/>
        <w:t>7</w:t>
      </w:r>
      <w:r>
        <w:rPr>
          <w:rFonts w:ascii="Arial" w:eastAsia="Calibri" w:hAnsi="Arial" w:cs="Arial"/>
          <w:b/>
          <w:lang w:val="en-GB"/>
        </w:rPr>
        <w:tab/>
      </w:r>
      <w:r w:rsidR="00B57999" w:rsidRPr="00861E17">
        <w:rPr>
          <w:rFonts w:ascii="Arial" w:eastAsia="Calibri" w:hAnsi="Arial" w:cs="Arial"/>
          <w:b/>
          <w:lang w:val="en-GB"/>
        </w:rPr>
        <w:t>Full assurance</w:t>
      </w:r>
      <w:r w:rsidR="00B57999" w:rsidRPr="00861E17">
        <w:rPr>
          <w:rFonts w:ascii="Arial" w:eastAsia="Calibri" w:hAnsi="Arial" w:cs="Arial"/>
          <w:lang w:val="en-GB"/>
        </w:rPr>
        <w:t xml:space="preserve"> denotes that the system of internal controls is designed to meet the organization objectives and controls are consistently applied in all the areas reviewed.</w:t>
      </w:r>
    </w:p>
    <w:p w14:paraId="5DE65A2E" w14:textId="7431EF30" w:rsidR="00B57999" w:rsidRPr="00861E17" w:rsidRDefault="00A9071A" w:rsidP="00B57999">
      <w:pPr>
        <w:rPr>
          <w:rFonts w:ascii="Arial" w:eastAsia="Calibri" w:hAnsi="Arial" w:cs="Arial"/>
          <w:lang w:val="en-GB"/>
        </w:rPr>
      </w:pPr>
      <w:r>
        <w:rPr>
          <w:rFonts w:ascii="Arial" w:eastAsia="Calibri" w:hAnsi="Arial" w:cs="Arial"/>
          <w:b/>
          <w:lang w:val="en-GB"/>
        </w:rPr>
        <w:t>8</w:t>
      </w:r>
      <w:r>
        <w:rPr>
          <w:rFonts w:ascii="Arial" w:eastAsia="Calibri" w:hAnsi="Arial" w:cs="Arial"/>
          <w:b/>
          <w:lang w:val="en-GB"/>
        </w:rPr>
        <w:tab/>
      </w:r>
      <w:r w:rsidR="00B57999" w:rsidRPr="00861E17">
        <w:rPr>
          <w:rFonts w:ascii="Arial" w:eastAsia="Calibri" w:hAnsi="Arial" w:cs="Arial"/>
          <w:b/>
          <w:lang w:val="en-GB"/>
        </w:rPr>
        <w:t>Significant assurance</w:t>
      </w:r>
      <w:r w:rsidR="00B57999" w:rsidRPr="00861E17">
        <w:rPr>
          <w:rFonts w:ascii="Arial" w:eastAsia="Calibri" w:hAnsi="Arial" w:cs="Arial"/>
          <w:lang w:val="en-GB"/>
        </w:rPr>
        <w:t xml:space="preserve"> denotes that there is a generally sound system of control </w:t>
      </w:r>
      <w:proofErr w:type="spellStart"/>
      <w:r w:rsidR="00B57999" w:rsidRPr="00861E17">
        <w:rPr>
          <w:rFonts w:ascii="Arial" w:eastAsia="Calibri" w:hAnsi="Arial" w:cs="Arial"/>
          <w:lang w:val="en-GB"/>
        </w:rPr>
        <w:t>s</w:t>
      </w:r>
      <w:proofErr w:type="spellEnd"/>
      <w:r w:rsidR="00B57999" w:rsidRPr="00861E17">
        <w:rPr>
          <w:rFonts w:ascii="Arial" w:eastAsia="Calibri" w:hAnsi="Arial" w:cs="Arial"/>
          <w:lang w:val="en-GB"/>
        </w:rPr>
        <w:t xml:space="preserve"> designed to meet organizational objectives. </w:t>
      </w:r>
      <w:r w:rsidR="00433612" w:rsidRPr="00861E17">
        <w:rPr>
          <w:rFonts w:ascii="Arial" w:eastAsia="Calibri" w:hAnsi="Arial" w:cs="Arial"/>
          <w:lang w:val="en-GB"/>
        </w:rPr>
        <w:t>However,</w:t>
      </w:r>
      <w:r w:rsidR="00B57999" w:rsidRPr="00861E17">
        <w:rPr>
          <w:rFonts w:ascii="Arial" w:eastAsia="Calibri" w:hAnsi="Arial" w:cs="Arial"/>
          <w:lang w:val="en-GB"/>
        </w:rPr>
        <w:t xml:space="preserve"> some weakness in the design or inconsistent application of controls put the achievement of </w:t>
      </w:r>
      <w:proofErr w:type="gramStart"/>
      <w:r w:rsidR="00B57999" w:rsidRPr="00861E17">
        <w:rPr>
          <w:rFonts w:ascii="Arial" w:eastAsia="Calibri" w:hAnsi="Arial" w:cs="Arial"/>
          <w:lang w:val="en-GB"/>
        </w:rPr>
        <w:t>particular objectives</w:t>
      </w:r>
      <w:proofErr w:type="gramEnd"/>
      <w:r w:rsidR="00B57999" w:rsidRPr="00861E17">
        <w:rPr>
          <w:rFonts w:ascii="Arial" w:eastAsia="Calibri" w:hAnsi="Arial" w:cs="Arial"/>
          <w:lang w:val="en-GB"/>
        </w:rPr>
        <w:t xml:space="preserve"> at risk.</w:t>
      </w:r>
    </w:p>
    <w:p w14:paraId="5DE65A2F" w14:textId="564FA89A" w:rsidR="00B57999" w:rsidRPr="00861E17" w:rsidRDefault="00A9071A" w:rsidP="00B57999">
      <w:pPr>
        <w:rPr>
          <w:rFonts w:ascii="Arial" w:eastAsia="Calibri" w:hAnsi="Arial" w:cs="Arial"/>
          <w:lang w:val="en-GB"/>
        </w:rPr>
      </w:pPr>
      <w:r>
        <w:rPr>
          <w:rFonts w:ascii="Arial" w:eastAsia="Calibri" w:hAnsi="Arial" w:cs="Arial"/>
          <w:b/>
          <w:lang w:val="en-GB"/>
        </w:rPr>
        <w:t>9</w:t>
      </w:r>
      <w:r>
        <w:rPr>
          <w:rFonts w:ascii="Arial" w:eastAsia="Calibri" w:hAnsi="Arial" w:cs="Arial"/>
          <w:b/>
          <w:lang w:val="en-GB"/>
        </w:rPr>
        <w:tab/>
      </w:r>
      <w:r w:rsidR="00B57999" w:rsidRPr="00861E17">
        <w:rPr>
          <w:rFonts w:ascii="Arial" w:eastAsia="Calibri" w:hAnsi="Arial" w:cs="Arial"/>
          <w:b/>
          <w:lang w:val="en-GB"/>
        </w:rPr>
        <w:t>Limited assurance</w:t>
      </w:r>
      <w:r w:rsidR="00B57999" w:rsidRPr="00861E17">
        <w:rPr>
          <w:rFonts w:ascii="Arial" w:eastAsia="Calibri" w:hAnsi="Arial" w:cs="Arial"/>
          <w:lang w:val="en-GB"/>
        </w:rPr>
        <w:t xml:space="preserve"> denotes weaknesses in the design or inconsistent application of controls put the achievement of organizational objectives at risk in the areas reviewed.</w:t>
      </w:r>
    </w:p>
    <w:p w14:paraId="5DE65A30" w14:textId="054DA351" w:rsidR="00B57999" w:rsidRPr="00861E17" w:rsidRDefault="00A9071A" w:rsidP="00B57999">
      <w:pPr>
        <w:rPr>
          <w:rFonts w:ascii="Arial" w:eastAsia="Calibri" w:hAnsi="Arial" w:cs="Arial"/>
          <w:lang w:val="en-GB"/>
        </w:rPr>
      </w:pPr>
      <w:r>
        <w:rPr>
          <w:rFonts w:ascii="Arial" w:eastAsia="Calibri" w:hAnsi="Arial" w:cs="Arial"/>
          <w:b/>
          <w:lang w:val="en-GB"/>
        </w:rPr>
        <w:t>10</w:t>
      </w:r>
      <w:r>
        <w:rPr>
          <w:rFonts w:ascii="Arial" w:eastAsia="Calibri" w:hAnsi="Arial" w:cs="Arial"/>
          <w:b/>
          <w:lang w:val="en-GB"/>
        </w:rPr>
        <w:tab/>
      </w:r>
      <w:r w:rsidR="00B57999" w:rsidRPr="00861E17">
        <w:rPr>
          <w:rFonts w:ascii="Arial" w:eastAsia="Calibri" w:hAnsi="Arial" w:cs="Arial"/>
          <w:b/>
          <w:lang w:val="en-GB"/>
        </w:rPr>
        <w:t>No assurance</w:t>
      </w:r>
      <w:r w:rsidR="00B57999" w:rsidRPr="00861E17">
        <w:rPr>
          <w:rFonts w:ascii="Arial" w:eastAsia="Calibri" w:hAnsi="Arial" w:cs="Arial"/>
          <w:lang w:val="en-GB"/>
        </w:rPr>
        <w:t xml:space="preserve"> denotes weaknesses in control or consistent noncompliance with key controls could result in failure to achieve organizational objectives in the areas reviewed.</w:t>
      </w:r>
    </w:p>
    <w:p w14:paraId="5DE65A31" w14:textId="77777777" w:rsidR="00B57999" w:rsidRPr="00861E17" w:rsidRDefault="00B57999" w:rsidP="00B57999">
      <w:pPr>
        <w:pStyle w:val="Heading"/>
        <w:rPr>
          <w:rFonts w:cs="Arial"/>
          <w:szCs w:val="24"/>
        </w:rPr>
      </w:pPr>
    </w:p>
    <w:p w14:paraId="5DE65A32" w14:textId="77777777" w:rsidR="00B57999" w:rsidRDefault="00B57999" w:rsidP="00B57999">
      <w:pPr>
        <w:pStyle w:val="Heading"/>
        <w:rPr>
          <w:rFonts w:cs="Arial"/>
          <w:szCs w:val="24"/>
        </w:rPr>
      </w:pPr>
    </w:p>
    <w:p w14:paraId="5DE65A33" w14:textId="77777777" w:rsidR="00B57999" w:rsidRDefault="00B57999" w:rsidP="00B57999">
      <w:pPr>
        <w:pStyle w:val="Heading"/>
        <w:rPr>
          <w:rFonts w:cs="Arial"/>
          <w:szCs w:val="24"/>
        </w:rPr>
      </w:pPr>
    </w:p>
    <w:p w14:paraId="5DE65A34" w14:textId="77777777" w:rsidR="00B57999" w:rsidRDefault="00B57999" w:rsidP="00B57999">
      <w:pPr>
        <w:pStyle w:val="Heading"/>
        <w:rPr>
          <w:rFonts w:cs="Arial"/>
          <w:szCs w:val="24"/>
        </w:rPr>
      </w:pPr>
    </w:p>
    <w:p w14:paraId="5DE65A35" w14:textId="77777777" w:rsidR="006A4E23" w:rsidRDefault="006A4E23"/>
    <w:sectPr w:rsidR="006A4E23" w:rsidSect="00D50B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26F5" w14:textId="77777777" w:rsidR="000B2C50" w:rsidRDefault="000B2C50" w:rsidP="007501B9">
      <w:pPr>
        <w:spacing w:after="0" w:line="240" w:lineRule="auto"/>
      </w:pPr>
      <w:r>
        <w:separator/>
      </w:r>
    </w:p>
  </w:endnote>
  <w:endnote w:type="continuationSeparator" w:id="0">
    <w:p w14:paraId="210DEC93" w14:textId="77777777" w:rsidR="000B2C50" w:rsidRDefault="000B2C50" w:rsidP="0075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640336"/>
      <w:docPartObj>
        <w:docPartGallery w:val="Page Numbers (Bottom of Page)"/>
        <w:docPartUnique/>
      </w:docPartObj>
    </w:sdtPr>
    <w:sdtEndPr>
      <w:rPr>
        <w:color w:val="7F7F7F" w:themeColor="background1" w:themeShade="7F"/>
        <w:spacing w:val="60"/>
      </w:rPr>
    </w:sdtEndPr>
    <w:sdtContent>
      <w:p w14:paraId="5DE65A3C" w14:textId="77777777" w:rsidR="006A4E23" w:rsidRDefault="006A4E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07E2">
          <w:rPr>
            <w:noProof/>
          </w:rPr>
          <w:t>2</w:t>
        </w:r>
        <w:r>
          <w:rPr>
            <w:noProof/>
          </w:rPr>
          <w:fldChar w:fldCharType="end"/>
        </w:r>
        <w:r>
          <w:t xml:space="preserve"> | </w:t>
        </w:r>
        <w:r>
          <w:rPr>
            <w:color w:val="7F7F7F" w:themeColor="background1" w:themeShade="7F"/>
            <w:spacing w:val="60"/>
          </w:rPr>
          <w:t>Page</w:t>
        </w:r>
      </w:p>
    </w:sdtContent>
  </w:sdt>
  <w:p w14:paraId="5DE65A3D" w14:textId="77777777" w:rsidR="006A4E23" w:rsidRDefault="006A4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E0F88" w14:textId="77777777" w:rsidR="000B2C50" w:rsidRDefault="000B2C50" w:rsidP="007501B9">
      <w:pPr>
        <w:spacing w:after="0" w:line="240" w:lineRule="auto"/>
      </w:pPr>
      <w:r>
        <w:separator/>
      </w:r>
    </w:p>
  </w:footnote>
  <w:footnote w:type="continuationSeparator" w:id="0">
    <w:p w14:paraId="631DC53B" w14:textId="77777777" w:rsidR="000B2C50" w:rsidRDefault="000B2C50" w:rsidP="0075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1B11" w14:textId="6E97DBF8" w:rsidR="00AB4271" w:rsidRPr="001748A0" w:rsidRDefault="00AB4271" w:rsidP="00AB4271">
    <w:pPr>
      <w:pStyle w:val="Header"/>
      <w:jc w:val="right"/>
      <w:rPr>
        <w:rFonts w:ascii="Arial" w:hAnsi="Arial" w:cs="Arial"/>
      </w:rPr>
    </w:pPr>
    <w:r w:rsidRPr="001748A0">
      <w:rPr>
        <w:rFonts w:ascii="Arial" w:hAnsi="Arial" w:cs="Arial"/>
      </w:rPr>
      <w:t>CS/ADM/</w:t>
    </w:r>
    <w:r w:rsidR="00001F9A">
      <w:rPr>
        <w:rFonts w:ascii="Arial" w:hAnsi="Arial" w:cs="Arial"/>
      </w:rPr>
      <w:t>SC/</w:t>
    </w:r>
    <w:r w:rsidRPr="001748A0">
      <w:rPr>
        <w:rFonts w:ascii="Arial" w:hAnsi="Arial" w:cs="Arial"/>
      </w:rPr>
      <w:t>X</w:t>
    </w:r>
    <w:r>
      <w:rPr>
        <w:rFonts w:ascii="Arial" w:hAnsi="Arial" w:cs="Arial"/>
      </w:rPr>
      <w:t>XII</w:t>
    </w:r>
    <w:r w:rsidRPr="001748A0">
      <w:rPr>
        <w:rFonts w:ascii="Arial" w:hAnsi="Arial" w:cs="Arial"/>
      </w:rPr>
      <w:t>/</w:t>
    </w:r>
    <w:r>
      <w:rPr>
        <w:rFonts w:ascii="Arial" w:hAnsi="Arial" w:cs="Arial"/>
      </w:rPr>
      <w:t>9.3</w:t>
    </w:r>
  </w:p>
  <w:p w14:paraId="5F1A3AEF" w14:textId="77777777" w:rsidR="00AB4271" w:rsidRPr="00D7061E" w:rsidRDefault="00AB4271" w:rsidP="00AB4271">
    <w:pPr>
      <w:pStyle w:val="Header"/>
      <w:jc w:val="right"/>
      <w:rPr>
        <w:rFonts w:ascii="Arial" w:hAnsi="Arial" w:cs="Arial"/>
        <w:lang w:val="fr-CA"/>
      </w:rPr>
    </w:pPr>
    <w:r w:rsidRPr="00D7061E">
      <w:rPr>
        <w:rFonts w:ascii="Arial" w:hAnsi="Arial" w:cs="Arial"/>
        <w:lang w:val="fr-CA"/>
      </w:rPr>
      <w:t xml:space="preserve">Page </w:t>
    </w:r>
    <w:r w:rsidRPr="00D7061E">
      <w:rPr>
        <w:rFonts w:ascii="Arial" w:hAnsi="Arial" w:cs="Arial"/>
      </w:rPr>
      <w:fldChar w:fldCharType="begin"/>
    </w:r>
    <w:r w:rsidRPr="00D7061E">
      <w:rPr>
        <w:rFonts w:ascii="Arial" w:hAnsi="Arial" w:cs="Arial"/>
        <w:lang w:val="fr-CA"/>
      </w:rPr>
      <w:instrText xml:space="preserve"> PAGE   \* MERGEFORMAT </w:instrText>
    </w:r>
    <w:r w:rsidRPr="00D7061E">
      <w:rPr>
        <w:rFonts w:ascii="Arial" w:hAnsi="Arial" w:cs="Arial"/>
      </w:rPr>
      <w:fldChar w:fldCharType="separate"/>
    </w:r>
    <w:r>
      <w:rPr>
        <w:rFonts w:ascii="Arial" w:hAnsi="Arial" w:cs="Arial"/>
      </w:rPr>
      <w:t>2</w:t>
    </w:r>
    <w:r w:rsidRPr="00D7061E">
      <w:rPr>
        <w:rFonts w:ascii="Arial" w:hAnsi="Arial" w:cs="Arial"/>
      </w:rPr>
      <w:fldChar w:fldCharType="end"/>
    </w:r>
  </w:p>
  <w:p w14:paraId="06172F65" w14:textId="77777777" w:rsidR="00AB4271" w:rsidRDefault="00AB4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026"/>
    <w:multiLevelType w:val="hybridMultilevel"/>
    <w:tmpl w:val="A45038AC"/>
    <w:lvl w:ilvl="0" w:tplc="E5A8F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235F"/>
    <w:multiLevelType w:val="hybridMultilevel"/>
    <w:tmpl w:val="58BA4D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C2A1FF8"/>
    <w:multiLevelType w:val="hybridMultilevel"/>
    <w:tmpl w:val="932C9AC6"/>
    <w:lvl w:ilvl="0" w:tplc="5B16EE2C">
      <w:start w:val="1"/>
      <w:numFmt w:val="decimal"/>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C3378"/>
    <w:multiLevelType w:val="hybridMultilevel"/>
    <w:tmpl w:val="C33EB2CE"/>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D7C83"/>
    <w:multiLevelType w:val="hybridMultilevel"/>
    <w:tmpl w:val="0424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5544C"/>
    <w:multiLevelType w:val="hybridMultilevel"/>
    <w:tmpl w:val="1304E44C"/>
    <w:lvl w:ilvl="0" w:tplc="D90AD720">
      <w:start w:val="1"/>
      <w:numFmt w:val="lowerRoman"/>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557FB"/>
    <w:multiLevelType w:val="hybridMultilevel"/>
    <w:tmpl w:val="5A806956"/>
    <w:lvl w:ilvl="0" w:tplc="25C8C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99"/>
    <w:rsid w:val="00001F9A"/>
    <w:rsid w:val="00005979"/>
    <w:rsid w:val="00015D96"/>
    <w:rsid w:val="000166D5"/>
    <w:rsid w:val="00036856"/>
    <w:rsid w:val="000446CE"/>
    <w:rsid w:val="00097382"/>
    <w:rsid w:val="000B2C50"/>
    <w:rsid w:val="000B7499"/>
    <w:rsid w:val="000D36ED"/>
    <w:rsid w:val="000E4414"/>
    <w:rsid w:val="000F0DC5"/>
    <w:rsid w:val="0012424F"/>
    <w:rsid w:val="00186F72"/>
    <w:rsid w:val="00187453"/>
    <w:rsid w:val="00196252"/>
    <w:rsid w:val="001B4913"/>
    <w:rsid w:val="001B5D9D"/>
    <w:rsid w:val="001D3701"/>
    <w:rsid w:val="001F7046"/>
    <w:rsid w:val="00214782"/>
    <w:rsid w:val="00230DA2"/>
    <w:rsid w:val="00234DF5"/>
    <w:rsid w:val="00235DF3"/>
    <w:rsid w:val="00236355"/>
    <w:rsid w:val="00254B87"/>
    <w:rsid w:val="002616CF"/>
    <w:rsid w:val="00266C62"/>
    <w:rsid w:val="00274CDD"/>
    <w:rsid w:val="00285431"/>
    <w:rsid w:val="00290704"/>
    <w:rsid w:val="00295E26"/>
    <w:rsid w:val="002A18B8"/>
    <w:rsid w:val="002B6F70"/>
    <w:rsid w:val="002C0950"/>
    <w:rsid w:val="002D6502"/>
    <w:rsid w:val="002F036C"/>
    <w:rsid w:val="002F361A"/>
    <w:rsid w:val="0030196D"/>
    <w:rsid w:val="003128A7"/>
    <w:rsid w:val="00316A5D"/>
    <w:rsid w:val="00316CCC"/>
    <w:rsid w:val="003225E8"/>
    <w:rsid w:val="00330E3A"/>
    <w:rsid w:val="003468F6"/>
    <w:rsid w:val="00356230"/>
    <w:rsid w:val="00360B5F"/>
    <w:rsid w:val="00363521"/>
    <w:rsid w:val="00377D3E"/>
    <w:rsid w:val="00380EEB"/>
    <w:rsid w:val="00384433"/>
    <w:rsid w:val="003B7793"/>
    <w:rsid w:val="003D4BD2"/>
    <w:rsid w:val="003E2A74"/>
    <w:rsid w:val="003F0BE7"/>
    <w:rsid w:val="003F5003"/>
    <w:rsid w:val="003F7956"/>
    <w:rsid w:val="00426103"/>
    <w:rsid w:val="00426D27"/>
    <w:rsid w:val="004308DD"/>
    <w:rsid w:val="00433612"/>
    <w:rsid w:val="00434F0E"/>
    <w:rsid w:val="00445C18"/>
    <w:rsid w:val="00450F97"/>
    <w:rsid w:val="00461232"/>
    <w:rsid w:val="00475C3D"/>
    <w:rsid w:val="004808B4"/>
    <w:rsid w:val="00484F40"/>
    <w:rsid w:val="004C6ADE"/>
    <w:rsid w:val="004E29DD"/>
    <w:rsid w:val="005107E2"/>
    <w:rsid w:val="005330E3"/>
    <w:rsid w:val="00553805"/>
    <w:rsid w:val="00585E64"/>
    <w:rsid w:val="00596AEA"/>
    <w:rsid w:val="005B404B"/>
    <w:rsid w:val="005C4CFE"/>
    <w:rsid w:val="005D04B5"/>
    <w:rsid w:val="005D2741"/>
    <w:rsid w:val="005D7998"/>
    <w:rsid w:val="005E0652"/>
    <w:rsid w:val="005E1502"/>
    <w:rsid w:val="005F0A17"/>
    <w:rsid w:val="005F6473"/>
    <w:rsid w:val="0060536B"/>
    <w:rsid w:val="0062444C"/>
    <w:rsid w:val="006314D2"/>
    <w:rsid w:val="00642815"/>
    <w:rsid w:val="00655AE5"/>
    <w:rsid w:val="006614A1"/>
    <w:rsid w:val="00661BC2"/>
    <w:rsid w:val="006651AE"/>
    <w:rsid w:val="006726D0"/>
    <w:rsid w:val="00685192"/>
    <w:rsid w:val="0069333A"/>
    <w:rsid w:val="00696361"/>
    <w:rsid w:val="006A4E23"/>
    <w:rsid w:val="006B1AF2"/>
    <w:rsid w:val="006C0B07"/>
    <w:rsid w:val="006F2075"/>
    <w:rsid w:val="00721EE1"/>
    <w:rsid w:val="00724B8F"/>
    <w:rsid w:val="00732B86"/>
    <w:rsid w:val="00746648"/>
    <w:rsid w:val="007501B9"/>
    <w:rsid w:val="00763F57"/>
    <w:rsid w:val="00765C57"/>
    <w:rsid w:val="0077616E"/>
    <w:rsid w:val="00780282"/>
    <w:rsid w:val="00795AFA"/>
    <w:rsid w:val="007A34C9"/>
    <w:rsid w:val="007B0F42"/>
    <w:rsid w:val="007B4577"/>
    <w:rsid w:val="007B6F36"/>
    <w:rsid w:val="007C777A"/>
    <w:rsid w:val="008028BA"/>
    <w:rsid w:val="008052AC"/>
    <w:rsid w:val="00813F72"/>
    <w:rsid w:val="00817F43"/>
    <w:rsid w:val="00822975"/>
    <w:rsid w:val="0082739E"/>
    <w:rsid w:val="0083110D"/>
    <w:rsid w:val="008428AE"/>
    <w:rsid w:val="00846A08"/>
    <w:rsid w:val="00847D8A"/>
    <w:rsid w:val="00861E17"/>
    <w:rsid w:val="00882910"/>
    <w:rsid w:val="008B1755"/>
    <w:rsid w:val="008D5884"/>
    <w:rsid w:val="008E0D25"/>
    <w:rsid w:val="008E4084"/>
    <w:rsid w:val="008F1DE5"/>
    <w:rsid w:val="008F2BCA"/>
    <w:rsid w:val="00924C4F"/>
    <w:rsid w:val="00935165"/>
    <w:rsid w:val="00952D5D"/>
    <w:rsid w:val="00954859"/>
    <w:rsid w:val="00954A72"/>
    <w:rsid w:val="00961281"/>
    <w:rsid w:val="009833DD"/>
    <w:rsid w:val="00990DC4"/>
    <w:rsid w:val="009924E4"/>
    <w:rsid w:val="009A2D7E"/>
    <w:rsid w:val="009A5A83"/>
    <w:rsid w:val="009B5656"/>
    <w:rsid w:val="009C1823"/>
    <w:rsid w:val="009C3E6B"/>
    <w:rsid w:val="009E4D65"/>
    <w:rsid w:val="009E6BD1"/>
    <w:rsid w:val="009F0E6A"/>
    <w:rsid w:val="009F41B7"/>
    <w:rsid w:val="00A01653"/>
    <w:rsid w:val="00A017B7"/>
    <w:rsid w:val="00A11EB7"/>
    <w:rsid w:val="00A17FE5"/>
    <w:rsid w:val="00A208FE"/>
    <w:rsid w:val="00A213B4"/>
    <w:rsid w:val="00A251A9"/>
    <w:rsid w:val="00A37F8A"/>
    <w:rsid w:val="00A40E9C"/>
    <w:rsid w:val="00A50F8B"/>
    <w:rsid w:val="00A56B0B"/>
    <w:rsid w:val="00A56DF5"/>
    <w:rsid w:val="00A67998"/>
    <w:rsid w:val="00A85CEA"/>
    <w:rsid w:val="00A9071A"/>
    <w:rsid w:val="00AA78EA"/>
    <w:rsid w:val="00AB2016"/>
    <w:rsid w:val="00AB4271"/>
    <w:rsid w:val="00AE122A"/>
    <w:rsid w:val="00AE79A4"/>
    <w:rsid w:val="00AF3D60"/>
    <w:rsid w:val="00B04D89"/>
    <w:rsid w:val="00B2404A"/>
    <w:rsid w:val="00B25572"/>
    <w:rsid w:val="00B26AA2"/>
    <w:rsid w:val="00B57999"/>
    <w:rsid w:val="00BB0EFA"/>
    <w:rsid w:val="00BD69AE"/>
    <w:rsid w:val="00BF1AB8"/>
    <w:rsid w:val="00C20BE0"/>
    <w:rsid w:val="00C24661"/>
    <w:rsid w:val="00C4440A"/>
    <w:rsid w:val="00C50EB6"/>
    <w:rsid w:val="00C562F6"/>
    <w:rsid w:val="00C65096"/>
    <w:rsid w:val="00C67A0F"/>
    <w:rsid w:val="00C83FA6"/>
    <w:rsid w:val="00C902C2"/>
    <w:rsid w:val="00CB65CB"/>
    <w:rsid w:val="00CC29F5"/>
    <w:rsid w:val="00CC427E"/>
    <w:rsid w:val="00CC64BA"/>
    <w:rsid w:val="00CD60D3"/>
    <w:rsid w:val="00CE27CD"/>
    <w:rsid w:val="00CF0A1F"/>
    <w:rsid w:val="00CF5072"/>
    <w:rsid w:val="00D05690"/>
    <w:rsid w:val="00D06464"/>
    <w:rsid w:val="00D07A8C"/>
    <w:rsid w:val="00D106E7"/>
    <w:rsid w:val="00D14B1D"/>
    <w:rsid w:val="00D16448"/>
    <w:rsid w:val="00D50BD8"/>
    <w:rsid w:val="00D64C0C"/>
    <w:rsid w:val="00D71A8B"/>
    <w:rsid w:val="00D831FF"/>
    <w:rsid w:val="00D85B26"/>
    <w:rsid w:val="00DB5220"/>
    <w:rsid w:val="00DB79A0"/>
    <w:rsid w:val="00DC22EE"/>
    <w:rsid w:val="00DC73A5"/>
    <w:rsid w:val="00DD1C02"/>
    <w:rsid w:val="00DF2C20"/>
    <w:rsid w:val="00E0009E"/>
    <w:rsid w:val="00E238C4"/>
    <w:rsid w:val="00E43213"/>
    <w:rsid w:val="00E53FC1"/>
    <w:rsid w:val="00E6098D"/>
    <w:rsid w:val="00E8264D"/>
    <w:rsid w:val="00EA0440"/>
    <w:rsid w:val="00EA305B"/>
    <w:rsid w:val="00EA71AF"/>
    <w:rsid w:val="00EB31BD"/>
    <w:rsid w:val="00EC17E0"/>
    <w:rsid w:val="00ED6BED"/>
    <w:rsid w:val="00EE1445"/>
    <w:rsid w:val="00F409C5"/>
    <w:rsid w:val="00F63DB8"/>
    <w:rsid w:val="00F6737A"/>
    <w:rsid w:val="00F768E4"/>
    <w:rsid w:val="00F87BDA"/>
    <w:rsid w:val="00F926FB"/>
    <w:rsid w:val="00FA3A5A"/>
    <w:rsid w:val="00FA4188"/>
    <w:rsid w:val="00FD3D50"/>
    <w:rsid w:val="00FD6F2B"/>
    <w:rsid w:val="00FD6FC7"/>
    <w:rsid w:val="00FE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59B6"/>
  <w15:chartTrackingRefBased/>
  <w15:docId w15:val="{40B29C2C-0224-42DC-AFE1-F9C6F8B2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999"/>
    <w:pPr>
      <w:spacing w:after="200" w:line="276" w:lineRule="auto"/>
    </w:pPr>
  </w:style>
  <w:style w:type="paragraph" w:styleId="Heading1">
    <w:name w:val="heading 1"/>
    <w:basedOn w:val="Normal"/>
    <w:next w:val="Normal"/>
    <w:link w:val="Heading1Char"/>
    <w:uiPriority w:val="9"/>
    <w:qFormat/>
    <w:rsid w:val="00B57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57999"/>
    <w:pPr>
      <w:autoSpaceDE w:val="0"/>
      <w:autoSpaceDN w:val="0"/>
      <w:adjustRightInd w:val="0"/>
      <w:spacing w:after="0" w:line="240" w:lineRule="auto"/>
    </w:pPr>
    <w:rPr>
      <w:rFonts w:ascii="Arial" w:eastAsia="Times New Roman" w:hAnsi="Arial" w:cs="Times New Roman"/>
      <w:sz w:val="24"/>
      <w:szCs w:val="24"/>
    </w:rPr>
  </w:style>
  <w:style w:type="paragraph" w:customStyle="1" w:styleId="Heading">
    <w:name w:val="Heading"/>
    <w:basedOn w:val="Heading1"/>
    <w:link w:val="HeadingChar"/>
    <w:qFormat/>
    <w:rsid w:val="00B57999"/>
    <w:pPr>
      <w:keepLines w:val="0"/>
      <w:spacing w:before="0" w:line="240" w:lineRule="auto"/>
    </w:pPr>
    <w:rPr>
      <w:rFonts w:ascii="Arial" w:eastAsia="Times New Roman" w:hAnsi="Arial" w:cs="Times New Roman"/>
      <w:b/>
      <w:sz w:val="24"/>
      <w:szCs w:val="20"/>
      <w:lang w:val="en-GB"/>
    </w:rPr>
  </w:style>
  <w:style w:type="character" w:customStyle="1" w:styleId="HeadingChar">
    <w:name w:val="Heading Char"/>
    <w:basedOn w:val="Heading1Char"/>
    <w:link w:val="Heading"/>
    <w:rsid w:val="00B57999"/>
    <w:rPr>
      <w:rFonts w:ascii="Arial" w:eastAsia="Times New Roman" w:hAnsi="Arial" w:cs="Times New Roman"/>
      <w:b/>
      <w:color w:val="2F5496" w:themeColor="accent1" w:themeShade="BF"/>
      <w:sz w:val="24"/>
      <w:szCs w:val="20"/>
      <w:lang w:val="en-GB"/>
    </w:rPr>
  </w:style>
  <w:style w:type="paragraph" w:styleId="NormalWeb">
    <w:name w:val="Normal (Web)"/>
    <w:basedOn w:val="Normal"/>
    <w:uiPriority w:val="99"/>
    <w:unhideWhenUsed/>
    <w:rsid w:val="00B5799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7999"/>
    <w:rPr>
      <w:rFonts w:asciiTheme="majorHAnsi" w:eastAsiaTheme="majorEastAsia" w:hAnsiTheme="majorHAnsi" w:cstheme="majorBidi"/>
      <w:color w:val="2F5496" w:themeColor="accent1" w:themeShade="BF"/>
      <w:sz w:val="32"/>
      <w:szCs w:val="32"/>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3F7956"/>
    <w:pPr>
      <w:ind w:left="720"/>
      <w:contextualSpacing/>
    </w:pPr>
  </w:style>
  <w:style w:type="paragraph" w:styleId="Header">
    <w:name w:val="header"/>
    <w:aliases w:val="ContentsHeader"/>
    <w:basedOn w:val="Normal"/>
    <w:link w:val="HeaderChar"/>
    <w:unhideWhenUsed/>
    <w:rsid w:val="007501B9"/>
    <w:pPr>
      <w:tabs>
        <w:tab w:val="center" w:pos="4680"/>
        <w:tab w:val="right" w:pos="9360"/>
      </w:tabs>
      <w:spacing w:after="0" w:line="240" w:lineRule="auto"/>
    </w:pPr>
  </w:style>
  <w:style w:type="character" w:customStyle="1" w:styleId="HeaderChar">
    <w:name w:val="Header Char"/>
    <w:aliases w:val="ContentsHeader Char"/>
    <w:basedOn w:val="DefaultParagraphFont"/>
    <w:link w:val="Header"/>
    <w:rsid w:val="007501B9"/>
  </w:style>
  <w:style w:type="paragraph" w:styleId="Footer">
    <w:name w:val="footer"/>
    <w:basedOn w:val="Normal"/>
    <w:link w:val="FooterChar"/>
    <w:uiPriority w:val="99"/>
    <w:unhideWhenUsed/>
    <w:rsid w:val="00750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B9"/>
  </w:style>
  <w:style w:type="paragraph" w:styleId="BalloonText">
    <w:name w:val="Balloon Text"/>
    <w:basedOn w:val="Normal"/>
    <w:link w:val="BalloonTextChar"/>
    <w:uiPriority w:val="99"/>
    <w:semiHidden/>
    <w:unhideWhenUsed/>
    <w:rsid w:val="0012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4F"/>
    <w:rPr>
      <w:rFonts w:ascii="Segoe UI" w:hAnsi="Segoe UI" w:cs="Segoe UI"/>
      <w:sz w:val="18"/>
      <w:szCs w:val="18"/>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95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6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E1998C-D511-4BDA-BC98-2500A3F3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Kondwani Nantikwa</dc:creator>
  <cp:keywords/>
  <dc:description/>
  <cp:lastModifiedBy>Clement Kanyama</cp:lastModifiedBy>
  <cp:revision>2</cp:revision>
  <cp:lastPrinted>2019-09-11T09:05:00Z</cp:lastPrinted>
  <dcterms:created xsi:type="dcterms:W3CDTF">2019-10-10T11:20:00Z</dcterms:created>
  <dcterms:modified xsi:type="dcterms:W3CDTF">2019-10-10T11:20:00Z</dcterms:modified>
</cp:coreProperties>
</file>