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3CB0" w14:textId="66B6F3A4" w:rsidR="007A2268" w:rsidRPr="00B069BE" w:rsidRDefault="007A2268" w:rsidP="00A07ACE">
      <w:pPr>
        <w:ind w:left="720" w:hanging="720"/>
        <w:contextualSpacing/>
        <w:jc w:val="both"/>
        <w:rPr>
          <w:rFonts w:ascii="Arial" w:hAnsi="Arial" w:cs="Arial"/>
          <w:sz w:val="24"/>
          <w:szCs w:val="24"/>
        </w:rPr>
      </w:pPr>
    </w:p>
    <w:p w14:paraId="4BEEC87F" w14:textId="77777777" w:rsidR="00B069BE" w:rsidRDefault="00B069BE" w:rsidP="00A07ACE">
      <w:pPr>
        <w:contextualSpacing/>
        <w:jc w:val="both"/>
        <w:rPr>
          <w:rFonts w:ascii="Arial" w:hAnsi="Arial" w:cs="Arial"/>
          <w:sz w:val="24"/>
          <w:szCs w:val="24"/>
        </w:rPr>
      </w:pPr>
    </w:p>
    <w:p w14:paraId="385B1684"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197B8F03"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both"/>
        <w:rPr>
          <w:rFonts w:ascii="Arial" w:hAnsi="Arial" w:cs="Arial"/>
          <w:snapToGrid w:val="0"/>
        </w:rPr>
      </w:pPr>
    </w:p>
    <w:p w14:paraId="342A1D63"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r w:rsidRPr="00244110">
        <w:rPr>
          <w:rFonts w:ascii="Arial" w:hAnsi="Arial" w:cs="Arial"/>
          <w:noProof/>
        </w:rPr>
        <w:drawing>
          <wp:inline distT="0" distB="0" distL="0" distR="0" wp14:anchorId="0ACA8A0A" wp14:editId="171E484C">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EB63AC0"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Distr.</w:t>
      </w:r>
    </w:p>
    <w:p w14:paraId="3FF8C525"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tabs>
          <w:tab w:val="left" w:pos="5760"/>
        </w:tabs>
        <w:jc w:val="right"/>
        <w:rPr>
          <w:rFonts w:ascii="Arial" w:hAnsi="Arial" w:cs="Arial"/>
          <w:b/>
          <w:snapToGrid w:val="0"/>
        </w:rPr>
      </w:pPr>
      <w:r w:rsidRPr="00244110">
        <w:rPr>
          <w:rFonts w:ascii="Arial" w:hAnsi="Arial" w:cs="Arial"/>
          <w:b/>
          <w:snapToGrid w:val="0"/>
        </w:rPr>
        <w:t xml:space="preserve">                                                                                              LIMITED</w:t>
      </w:r>
    </w:p>
    <w:p w14:paraId="45AFFDC6"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tabs>
          <w:tab w:val="left" w:pos="5220"/>
        </w:tabs>
        <w:jc w:val="right"/>
        <w:rPr>
          <w:rFonts w:ascii="Arial" w:hAnsi="Arial" w:cs="Arial"/>
          <w:b/>
          <w:snapToGrid w:val="0"/>
        </w:rPr>
      </w:pPr>
    </w:p>
    <w:p w14:paraId="0BA76CE6" w14:textId="7DDDC64D"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ind w:firstLine="720"/>
        <w:jc w:val="right"/>
        <w:rPr>
          <w:rFonts w:ascii="Arial" w:hAnsi="Arial" w:cs="Arial"/>
          <w:b/>
          <w:snapToGrid w:val="0"/>
        </w:rPr>
      </w:pPr>
      <w:r>
        <w:rPr>
          <w:rFonts w:ascii="Arial" w:hAnsi="Arial" w:cs="Arial"/>
          <w:b/>
          <w:snapToGrid w:val="0"/>
        </w:rPr>
        <w:t xml:space="preserve">       CS/ADM/SC/XX</w:t>
      </w:r>
      <w:r w:rsidR="00C505EB">
        <w:rPr>
          <w:rFonts w:ascii="Arial" w:hAnsi="Arial" w:cs="Arial"/>
          <w:b/>
          <w:snapToGrid w:val="0"/>
        </w:rPr>
        <w:t>II</w:t>
      </w:r>
      <w:r>
        <w:rPr>
          <w:rFonts w:ascii="Arial" w:hAnsi="Arial" w:cs="Arial"/>
          <w:b/>
          <w:snapToGrid w:val="0"/>
        </w:rPr>
        <w:t>/</w:t>
      </w:r>
      <w:r w:rsidR="00195688">
        <w:rPr>
          <w:rFonts w:ascii="Arial" w:hAnsi="Arial" w:cs="Arial"/>
          <w:b/>
          <w:snapToGrid w:val="0"/>
        </w:rPr>
        <w:t>2</w:t>
      </w:r>
      <w:r w:rsidR="00C505EB">
        <w:rPr>
          <w:rFonts w:ascii="Arial" w:hAnsi="Arial" w:cs="Arial"/>
          <w:b/>
          <w:snapToGrid w:val="0"/>
        </w:rPr>
        <w:t>.</w:t>
      </w:r>
      <w:r w:rsidR="00A42072">
        <w:rPr>
          <w:rFonts w:ascii="Arial" w:hAnsi="Arial" w:cs="Arial"/>
          <w:b/>
          <w:snapToGrid w:val="0"/>
        </w:rPr>
        <w:t>4</w:t>
      </w:r>
    </w:p>
    <w:p w14:paraId="31097079"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522C9F48"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snapToGrid w:val="0"/>
        </w:rPr>
      </w:pPr>
    </w:p>
    <w:p w14:paraId="14E77862"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r w:rsidRPr="00244110">
        <w:rPr>
          <w:rFonts w:ascii="Arial" w:hAnsi="Arial" w:cs="Arial"/>
          <w:b/>
          <w:snapToGrid w:val="0"/>
        </w:rPr>
        <w:tab/>
      </w:r>
    </w:p>
    <w:p w14:paraId="0F01F84F"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right"/>
        <w:rPr>
          <w:rFonts w:ascii="Arial" w:hAnsi="Arial" w:cs="Arial"/>
          <w:b/>
          <w:snapToGrid w:val="0"/>
        </w:rPr>
      </w:pPr>
      <w:r w:rsidRPr="00244110">
        <w:rPr>
          <w:rFonts w:ascii="Arial" w:hAnsi="Arial" w:cs="Arial"/>
          <w:snapToGrid w:val="0"/>
        </w:rPr>
        <w:t>Original:</w:t>
      </w:r>
      <w:r w:rsidRPr="00244110">
        <w:rPr>
          <w:rFonts w:ascii="Arial" w:hAnsi="Arial" w:cs="Arial"/>
          <w:b/>
          <w:snapToGrid w:val="0"/>
        </w:rPr>
        <w:t xml:space="preserve">  ENGLISH</w:t>
      </w:r>
    </w:p>
    <w:p w14:paraId="599FA4B9"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5C7F259F"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COMMON MARKET FOR EASTERN</w:t>
      </w:r>
    </w:p>
    <w:p w14:paraId="14D32B7E"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b/>
          <w:snapToGrid w:val="0"/>
        </w:rPr>
      </w:pPr>
      <w:r w:rsidRPr="00244110">
        <w:rPr>
          <w:rFonts w:ascii="Arial" w:hAnsi="Arial" w:cs="Arial"/>
          <w:b/>
          <w:snapToGrid w:val="0"/>
        </w:rPr>
        <w:t>AND SOUTHERN AFRICA</w:t>
      </w:r>
    </w:p>
    <w:p w14:paraId="04383561"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rPr>
      </w:pPr>
    </w:p>
    <w:p w14:paraId="7B646AFB"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 xml:space="preserve">Twentieth </w:t>
      </w:r>
      <w:r w:rsidRPr="00244110">
        <w:rPr>
          <w:rFonts w:ascii="Arial" w:hAnsi="Arial" w:cs="Arial"/>
          <w:snapToGrid w:val="0"/>
        </w:rPr>
        <w:t>Meeting of the Sub-Committee on</w:t>
      </w:r>
    </w:p>
    <w:p w14:paraId="5669077C" w14:textId="77777777" w:rsidR="00B069BE"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Audit and Budgetary Matters</w:t>
      </w:r>
    </w:p>
    <w:p w14:paraId="1650F3E5" w14:textId="77777777" w:rsidR="00B069BE"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AA9557C" w14:textId="77777777" w:rsidR="00B069BE"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Pr>
          <w:rFonts w:ascii="Arial" w:hAnsi="Arial" w:cs="Arial"/>
          <w:snapToGrid w:val="0"/>
        </w:rPr>
        <w:t>28 October – 1 November 2019</w:t>
      </w:r>
    </w:p>
    <w:p w14:paraId="1B3B64D1"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r w:rsidRPr="00244110">
        <w:rPr>
          <w:rFonts w:ascii="Arial" w:hAnsi="Arial" w:cs="Arial"/>
          <w:snapToGrid w:val="0"/>
        </w:rPr>
        <w:t>Lusaka, Zambia</w:t>
      </w:r>
    </w:p>
    <w:p w14:paraId="50975880"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92B17A4"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536D30E"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E262196" w14:textId="17428BD8" w:rsidR="00625386" w:rsidRDefault="00FF6DFF"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Pr>
          <w:rFonts w:ascii="Arial" w:hAnsi="Arial" w:cs="Arial"/>
          <w:b/>
          <w:snapToGrid w:val="0"/>
          <w:sz w:val="24"/>
          <w:szCs w:val="24"/>
        </w:rPr>
        <w:t>Institutional capacity programme</w:t>
      </w:r>
    </w:p>
    <w:p w14:paraId="7C5277BF" w14:textId="575CCB69" w:rsidR="00976907" w:rsidRPr="008A35A9" w:rsidRDefault="008A35A9" w:rsidP="00A07ACE">
      <w:pPr>
        <w:pBdr>
          <w:top w:val="thinThickThinSmallGap" w:sz="24" w:space="0" w:color="auto"/>
          <w:left w:val="thinThickThinSmallGap" w:sz="24" w:space="4" w:color="auto"/>
          <w:bottom w:val="thinThickThinSmallGap" w:sz="24" w:space="1" w:color="auto"/>
          <w:right w:val="thinThickThinSmallGap" w:sz="24" w:space="31" w:color="auto"/>
        </w:pBdr>
        <w:jc w:val="center"/>
        <w:rPr>
          <w:rFonts w:ascii="Arial" w:hAnsi="Arial" w:cs="Arial"/>
          <w:b/>
          <w:snapToGrid w:val="0"/>
          <w:sz w:val="24"/>
          <w:szCs w:val="24"/>
        </w:rPr>
      </w:pPr>
      <w:r w:rsidRPr="008A35A9">
        <w:rPr>
          <w:rFonts w:ascii="Arial" w:hAnsi="Arial" w:cs="Arial"/>
          <w:b/>
          <w:snapToGrid w:val="0"/>
          <w:sz w:val="24"/>
          <w:szCs w:val="24"/>
        </w:rPr>
        <w:t xml:space="preserve">(AGENDA ITEM </w:t>
      </w:r>
      <w:r w:rsidR="000F6D4D">
        <w:rPr>
          <w:rFonts w:ascii="Arial" w:hAnsi="Arial" w:cs="Arial"/>
          <w:b/>
          <w:snapToGrid w:val="0"/>
          <w:sz w:val="24"/>
          <w:szCs w:val="24"/>
        </w:rPr>
        <w:t>2</w:t>
      </w:r>
      <w:r w:rsidRPr="008A35A9">
        <w:rPr>
          <w:rFonts w:ascii="Arial" w:hAnsi="Arial" w:cs="Arial"/>
          <w:b/>
          <w:snapToGrid w:val="0"/>
          <w:sz w:val="24"/>
          <w:szCs w:val="24"/>
        </w:rPr>
        <w:t>.</w:t>
      </w:r>
      <w:r w:rsidR="00A42072">
        <w:rPr>
          <w:rFonts w:ascii="Arial" w:hAnsi="Arial" w:cs="Arial"/>
          <w:b/>
          <w:snapToGrid w:val="0"/>
          <w:sz w:val="24"/>
          <w:szCs w:val="24"/>
        </w:rPr>
        <w:t>4</w:t>
      </w:r>
      <w:r w:rsidRPr="008A35A9">
        <w:rPr>
          <w:rFonts w:ascii="Arial" w:hAnsi="Arial" w:cs="Arial"/>
          <w:b/>
          <w:snapToGrid w:val="0"/>
          <w:sz w:val="24"/>
          <w:szCs w:val="24"/>
        </w:rPr>
        <w:t>)</w:t>
      </w:r>
    </w:p>
    <w:p w14:paraId="44C88872"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5C274D19"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AC5ABC5"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3C5B8FCA"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1FA80F87"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0D686B0A"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DF0C90"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CF1D769"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4E1D4F2"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46B34738"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6BFFA1F"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DEB5BBD"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792B51C0" w14:textId="77777777" w:rsidR="00B069BE" w:rsidRPr="00244110" w:rsidRDefault="00B069BE" w:rsidP="00A07ACE">
      <w:pPr>
        <w:pBdr>
          <w:top w:val="thinThickThinSmallGap" w:sz="24" w:space="0" w:color="auto"/>
          <w:left w:val="thinThickThinSmallGap" w:sz="24" w:space="4" w:color="auto"/>
          <w:bottom w:val="thinThickThinSmallGap" w:sz="24" w:space="1" w:color="auto"/>
          <w:right w:val="thinThickThinSmallGap" w:sz="24" w:space="31" w:color="auto"/>
        </w:pBdr>
        <w:rPr>
          <w:rFonts w:ascii="Arial" w:hAnsi="Arial" w:cs="Arial"/>
          <w:snapToGrid w:val="0"/>
        </w:rPr>
      </w:pPr>
    </w:p>
    <w:p w14:paraId="6F234D58" w14:textId="77777777" w:rsidR="00B069BE" w:rsidRDefault="00B069BE" w:rsidP="00A07ACE">
      <w:pPr>
        <w:contextualSpacing/>
        <w:jc w:val="both"/>
        <w:rPr>
          <w:rFonts w:ascii="Arial" w:hAnsi="Arial" w:cs="Arial"/>
          <w:sz w:val="24"/>
          <w:szCs w:val="24"/>
        </w:rPr>
      </w:pPr>
    </w:p>
    <w:p w14:paraId="3AEF6A58" w14:textId="77777777" w:rsidR="00FF6DFF" w:rsidRDefault="00FF6DFF" w:rsidP="00FF6DFF">
      <w:pPr>
        <w:pStyle w:val="Heading1"/>
        <w:rPr>
          <w:rFonts w:ascii="Arial" w:hAnsi="Arial" w:cs="Arial"/>
          <w:sz w:val="24"/>
          <w:szCs w:val="24"/>
        </w:rPr>
        <w:sectPr w:rsidR="00FF6DFF" w:rsidSect="00FF6DFF">
          <w:headerReference w:type="even" r:id="rId12"/>
          <w:headerReference w:type="default" r:id="rId13"/>
          <w:headerReference w:type="first" r:id="rId14"/>
          <w:pgSz w:w="12240" w:h="15840"/>
          <w:pgMar w:top="117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839129641"/>
        <w:docPartObj>
          <w:docPartGallery w:val="Table of Contents"/>
          <w:docPartUnique/>
        </w:docPartObj>
      </w:sdtPr>
      <w:sdtEndPr>
        <w:rPr>
          <w:rFonts w:ascii="Calibri" w:hAnsi="Calibri" w:cs="Calibri"/>
          <w:b/>
          <w:bCs/>
          <w:noProof/>
          <w:lang w:val="en-GB"/>
        </w:rPr>
      </w:sdtEndPr>
      <w:sdtContent>
        <w:p w14:paraId="0DCF9600" w14:textId="77777777" w:rsidR="00FF6DFF" w:rsidRDefault="00FF6DFF" w:rsidP="00FF6DFF">
          <w:pPr>
            <w:pStyle w:val="TOCHeading"/>
          </w:pPr>
          <w:r>
            <w:t>Contents</w:t>
          </w:r>
        </w:p>
        <w:p w14:paraId="2A5B1A79" w14:textId="0E60EF49" w:rsidR="00047BF0" w:rsidRDefault="00FF6DFF">
          <w:pPr>
            <w:pStyle w:val="TOC1"/>
            <w:tabs>
              <w:tab w:val="right" w:leader="do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22326972" w:history="1">
            <w:r w:rsidR="00047BF0" w:rsidRPr="006821A0">
              <w:rPr>
                <w:rStyle w:val="Hyperlink"/>
                <w:rFonts w:ascii="Arial" w:hAnsi="Arial" w:cs="Arial"/>
                <w:noProof/>
              </w:rPr>
              <w:t>BACKGROUND AND CONTEXT</w:t>
            </w:r>
            <w:r w:rsidR="00047BF0">
              <w:rPr>
                <w:noProof/>
                <w:webHidden/>
              </w:rPr>
              <w:tab/>
            </w:r>
            <w:r w:rsidR="00047BF0">
              <w:rPr>
                <w:noProof/>
                <w:webHidden/>
              </w:rPr>
              <w:fldChar w:fldCharType="begin"/>
            </w:r>
            <w:r w:rsidR="00047BF0">
              <w:rPr>
                <w:noProof/>
                <w:webHidden/>
              </w:rPr>
              <w:instrText xml:space="preserve"> PAGEREF _Toc22326972 \h </w:instrText>
            </w:r>
            <w:r w:rsidR="00047BF0">
              <w:rPr>
                <w:noProof/>
                <w:webHidden/>
              </w:rPr>
            </w:r>
            <w:r w:rsidR="00047BF0">
              <w:rPr>
                <w:noProof/>
                <w:webHidden/>
              </w:rPr>
              <w:fldChar w:fldCharType="separate"/>
            </w:r>
            <w:r w:rsidR="00047BF0">
              <w:rPr>
                <w:noProof/>
                <w:webHidden/>
              </w:rPr>
              <w:t>- 1 -</w:t>
            </w:r>
            <w:r w:rsidR="00047BF0">
              <w:rPr>
                <w:noProof/>
                <w:webHidden/>
              </w:rPr>
              <w:fldChar w:fldCharType="end"/>
            </w:r>
          </w:hyperlink>
        </w:p>
        <w:p w14:paraId="041357EC" w14:textId="72083643" w:rsidR="00047BF0" w:rsidRDefault="00047BF0">
          <w:pPr>
            <w:pStyle w:val="TOC2"/>
            <w:tabs>
              <w:tab w:val="right" w:leader="dot" w:pos="9350"/>
            </w:tabs>
            <w:rPr>
              <w:rFonts w:asciiTheme="minorHAnsi" w:eastAsiaTheme="minorEastAsia" w:hAnsiTheme="minorHAnsi" w:cstheme="minorBidi"/>
              <w:noProof/>
              <w:lang w:val="en-US"/>
            </w:rPr>
          </w:pPr>
          <w:hyperlink w:anchor="_Toc22326973" w:history="1">
            <w:r w:rsidRPr="006821A0">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_Toc22326973 \h </w:instrText>
            </w:r>
            <w:r>
              <w:rPr>
                <w:noProof/>
                <w:webHidden/>
              </w:rPr>
            </w:r>
            <w:r>
              <w:rPr>
                <w:noProof/>
                <w:webHidden/>
              </w:rPr>
              <w:fldChar w:fldCharType="separate"/>
            </w:r>
            <w:r>
              <w:rPr>
                <w:noProof/>
                <w:webHidden/>
              </w:rPr>
              <w:t>- 1 -</w:t>
            </w:r>
            <w:r>
              <w:rPr>
                <w:noProof/>
                <w:webHidden/>
              </w:rPr>
              <w:fldChar w:fldCharType="end"/>
            </w:r>
          </w:hyperlink>
        </w:p>
        <w:p w14:paraId="7520A28B" w14:textId="2482592B" w:rsidR="00047BF0" w:rsidRDefault="00047BF0">
          <w:pPr>
            <w:pStyle w:val="TOC2"/>
            <w:tabs>
              <w:tab w:val="right" w:leader="dot" w:pos="9350"/>
            </w:tabs>
            <w:rPr>
              <w:rFonts w:asciiTheme="minorHAnsi" w:eastAsiaTheme="minorEastAsia" w:hAnsiTheme="minorHAnsi" w:cstheme="minorBidi"/>
              <w:noProof/>
              <w:lang w:val="en-US"/>
            </w:rPr>
          </w:pPr>
          <w:hyperlink w:anchor="_Toc22326974" w:history="1">
            <w:r w:rsidRPr="006821A0">
              <w:rPr>
                <w:rStyle w:val="Hyperlink"/>
                <w:rFonts w:ascii="Arial" w:hAnsi="Arial" w:cs="Arial"/>
                <w:noProof/>
              </w:rPr>
              <w:t>Overview of COMESA Secretariat mandate</w:t>
            </w:r>
            <w:r>
              <w:rPr>
                <w:noProof/>
                <w:webHidden/>
              </w:rPr>
              <w:tab/>
            </w:r>
            <w:r>
              <w:rPr>
                <w:noProof/>
                <w:webHidden/>
              </w:rPr>
              <w:fldChar w:fldCharType="begin"/>
            </w:r>
            <w:r>
              <w:rPr>
                <w:noProof/>
                <w:webHidden/>
              </w:rPr>
              <w:instrText xml:space="preserve"> PAGEREF _Toc22326974 \h </w:instrText>
            </w:r>
            <w:r>
              <w:rPr>
                <w:noProof/>
                <w:webHidden/>
              </w:rPr>
            </w:r>
            <w:r>
              <w:rPr>
                <w:noProof/>
                <w:webHidden/>
              </w:rPr>
              <w:fldChar w:fldCharType="separate"/>
            </w:r>
            <w:r>
              <w:rPr>
                <w:noProof/>
                <w:webHidden/>
              </w:rPr>
              <w:t>- 1 -</w:t>
            </w:r>
            <w:r>
              <w:rPr>
                <w:noProof/>
                <w:webHidden/>
              </w:rPr>
              <w:fldChar w:fldCharType="end"/>
            </w:r>
          </w:hyperlink>
        </w:p>
        <w:p w14:paraId="000895FA" w14:textId="32368B79" w:rsidR="00047BF0" w:rsidRDefault="00047BF0">
          <w:pPr>
            <w:pStyle w:val="TOC2"/>
            <w:tabs>
              <w:tab w:val="right" w:leader="dot" w:pos="9350"/>
            </w:tabs>
            <w:rPr>
              <w:rFonts w:asciiTheme="minorHAnsi" w:eastAsiaTheme="minorEastAsia" w:hAnsiTheme="minorHAnsi" w:cstheme="minorBidi"/>
              <w:noProof/>
              <w:lang w:val="en-US"/>
            </w:rPr>
          </w:pPr>
          <w:hyperlink w:anchor="_Toc22326975" w:history="1">
            <w:r w:rsidRPr="006821A0">
              <w:rPr>
                <w:rStyle w:val="Hyperlink"/>
                <w:rFonts w:ascii="Arial" w:hAnsi="Arial" w:cs="Arial"/>
                <w:noProof/>
              </w:rPr>
              <w:t>Capacity challenges</w:t>
            </w:r>
            <w:r>
              <w:rPr>
                <w:noProof/>
                <w:webHidden/>
              </w:rPr>
              <w:tab/>
            </w:r>
            <w:r>
              <w:rPr>
                <w:noProof/>
                <w:webHidden/>
              </w:rPr>
              <w:fldChar w:fldCharType="begin"/>
            </w:r>
            <w:r>
              <w:rPr>
                <w:noProof/>
                <w:webHidden/>
              </w:rPr>
              <w:instrText xml:space="preserve"> PAGEREF _Toc22326975 \h </w:instrText>
            </w:r>
            <w:r>
              <w:rPr>
                <w:noProof/>
                <w:webHidden/>
              </w:rPr>
            </w:r>
            <w:r>
              <w:rPr>
                <w:noProof/>
                <w:webHidden/>
              </w:rPr>
              <w:fldChar w:fldCharType="separate"/>
            </w:r>
            <w:r>
              <w:rPr>
                <w:noProof/>
                <w:webHidden/>
              </w:rPr>
              <w:t>3</w:t>
            </w:r>
            <w:r>
              <w:rPr>
                <w:noProof/>
                <w:webHidden/>
              </w:rPr>
              <w:fldChar w:fldCharType="end"/>
            </w:r>
          </w:hyperlink>
        </w:p>
        <w:p w14:paraId="646E4573" w14:textId="18346DE5" w:rsidR="00047BF0" w:rsidRDefault="00047BF0">
          <w:pPr>
            <w:pStyle w:val="TOC1"/>
            <w:tabs>
              <w:tab w:val="right" w:leader="dot" w:pos="9350"/>
            </w:tabs>
            <w:rPr>
              <w:rFonts w:asciiTheme="minorHAnsi" w:eastAsiaTheme="minorEastAsia" w:hAnsiTheme="minorHAnsi" w:cstheme="minorBidi"/>
              <w:noProof/>
              <w:sz w:val="22"/>
              <w:szCs w:val="22"/>
            </w:rPr>
          </w:pPr>
          <w:hyperlink w:anchor="_Toc22326976" w:history="1">
            <w:r w:rsidRPr="006821A0">
              <w:rPr>
                <w:rStyle w:val="Hyperlink"/>
                <w:rFonts w:ascii="Arial" w:hAnsi="Arial" w:cs="Arial"/>
                <w:noProof/>
              </w:rPr>
              <w:t>COMESA SECRETARIAT CONCEPTUAL FRAMEWORK OF CAPACITY BUILDING</w:t>
            </w:r>
            <w:r>
              <w:rPr>
                <w:noProof/>
                <w:webHidden/>
              </w:rPr>
              <w:tab/>
            </w:r>
            <w:r>
              <w:rPr>
                <w:noProof/>
                <w:webHidden/>
              </w:rPr>
              <w:fldChar w:fldCharType="begin"/>
            </w:r>
            <w:r>
              <w:rPr>
                <w:noProof/>
                <w:webHidden/>
              </w:rPr>
              <w:instrText xml:space="preserve"> PAGEREF _Toc22326976 \h </w:instrText>
            </w:r>
            <w:r>
              <w:rPr>
                <w:noProof/>
                <w:webHidden/>
              </w:rPr>
            </w:r>
            <w:r>
              <w:rPr>
                <w:noProof/>
                <w:webHidden/>
              </w:rPr>
              <w:fldChar w:fldCharType="separate"/>
            </w:r>
            <w:r>
              <w:rPr>
                <w:noProof/>
                <w:webHidden/>
              </w:rPr>
              <w:t>3</w:t>
            </w:r>
            <w:r>
              <w:rPr>
                <w:noProof/>
                <w:webHidden/>
              </w:rPr>
              <w:fldChar w:fldCharType="end"/>
            </w:r>
          </w:hyperlink>
        </w:p>
        <w:p w14:paraId="756B3E5E" w14:textId="0A6AAFF1" w:rsidR="00047BF0" w:rsidRDefault="00047BF0">
          <w:pPr>
            <w:pStyle w:val="TOC1"/>
            <w:tabs>
              <w:tab w:val="right" w:leader="dot" w:pos="9350"/>
            </w:tabs>
            <w:rPr>
              <w:rFonts w:asciiTheme="minorHAnsi" w:eastAsiaTheme="minorEastAsia" w:hAnsiTheme="minorHAnsi" w:cstheme="minorBidi"/>
              <w:noProof/>
              <w:sz w:val="22"/>
              <w:szCs w:val="22"/>
            </w:rPr>
          </w:pPr>
          <w:hyperlink w:anchor="_Toc22326977" w:history="1">
            <w:r w:rsidRPr="006821A0">
              <w:rPr>
                <w:rStyle w:val="Hyperlink"/>
                <w:rFonts w:ascii="Arial" w:hAnsi="Arial" w:cs="Arial"/>
                <w:noProof/>
              </w:rPr>
              <w:t>AREAS IDENTIFIED IN THE CAPACITY BUILDING PROGRAMME UNDER DEVELOPMENT</w:t>
            </w:r>
            <w:r>
              <w:rPr>
                <w:noProof/>
                <w:webHidden/>
              </w:rPr>
              <w:tab/>
            </w:r>
            <w:r>
              <w:rPr>
                <w:noProof/>
                <w:webHidden/>
              </w:rPr>
              <w:fldChar w:fldCharType="begin"/>
            </w:r>
            <w:r>
              <w:rPr>
                <w:noProof/>
                <w:webHidden/>
              </w:rPr>
              <w:instrText xml:space="preserve"> PAGEREF _Toc22326977 \h </w:instrText>
            </w:r>
            <w:r>
              <w:rPr>
                <w:noProof/>
                <w:webHidden/>
              </w:rPr>
            </w:r>
            <w:r>
              <w:rPr>
                <w:noProof/>
                <w:webHidden/>
              </w:rPr>
              <w:fldChar w:fldCharType="separate"/>
            </w:r>
            <w:r>
              <w:rPr>
                <w:noProof/>
                <w:webHidden/>
              </w:rPr>
              <w:t>5</w:t>
            </w:r>
            <w:r>
              <w:rPr>
                <w:noProof/>
                <w:webHidden/>
              </w:rPr>
              <w:fldChar w:fldCharType="end"/>
            </w:r>
          </w:hyperlink>
        </w:p>
        <w:p w14:paraId="2E4491B6" w14:textId="5FB77468" w:rsidR="00047BF0" w:rsidRDefault="00047BF0">
          <w:pPr>
            <w:pStyle w:val="TOC2"/>
            <w:tabs>
              <w:tab w:val="right" w:leader="dot" w:pos="9350"/>
            </w:tabs>
            <w:rPr>
              <w:rFonts w:asciiTheme="minorHAnsi" w:eastAsiaTheme="minorEastAsia" w:hAnsiTheme="minorHAnsi" w:cstheme="minorBidi"/>
              <w:noProof/>
              <w:lang w:val="en-US"/>
            </w:rPr>
          </w:pPr>
          <w:hyperlink w:anchor="_Toc22326978" w:history="1">
            <w:r w:rsidRPr="006821A0">
              <w:rPr>
                <w:rStyle w:val="Hyperlink"/>
                <w:rFonts w:ascii="Arial" w:hAnsi="Arial" w:cs="Arial"/>
                <w:noProof/>
              </w:rPr>
              <w:t>Specific institutional capacity building areas</w:t>
            </w:r>
            <w:r>
              <w:rPr>
                <w:noProof/>
                <w:webHidden/>
              </w:rPr>
              <w:tab/>
            </w:r>
            <w:r>
              <w:rPr>
                <w:noProof/>
                <w:webHidden/>
              </w:rPr>
              <w:fldChar w:fldCharType="begin"/>
            </w:r>
            <w:r>
              <w:rPr>
                <w:noProof/>
                <w:webHidden/>
              </w:rPr>
              <w:instrText xml:space="preserve"> PAGEREF _Toc22326978 \h </w:instrText>
            </w:r>
            <w:r>
              <w:rPr>
                <w:noProof/>
                <w:webHidden/>
              </w:rPr>
            </w:r>
            <w:r>
              <w:rPr>
                <w:noProof/>
                <w:webHidden/>
              </w:rPr>
              <w:fldChar w:fldCharType="separate"/>
            </w:r>
            <w:r>
              <w:rPr>
                <w:noProof/>
                <w:webHidden/>
              </w:rPr>
              <w:t>5</w:t>
            </w:r>
            <w:r>
              <w:rPr>
                <w:noProof/>
                <w:webHidden/>
              </w:rPr>
              <w:fldChar w:fldCharType="end"/>
            </w:r>
          </w:hyperlink>
        </w:p>
        <w:p w14:paraId="1796CCCF" w14:textId="6F375B0D" w:rsidR="00047BF0" w:rsidRDefault="00047BF0">
          <w:pPr>
            <w:pStyle w:val="TOC2"/>
            <w:tabs>
              <w:tab w:val="right" w:leader="dot" w:pos="9350"/>
            </w:tabs>
            <w:rPr>
              <w:rFonts w:asciiTheme="minorHAnsi" w:eastAsiaTheme="minorEastAsia" w:hAnsiTheme="minorHAnsi" w:cstheme="minorBidi"/>
              <w:noProof/>
              <w:lang w:val="en-US"/>
            </w:rPr>
          </w:pPr>
          <w:hyperlink w:anchor="_Toc22326979" w:history="1">
            <w:r w:rsidRPr="006821A0">
              <w:rPr>
                <w:rStyle w:val="Hyperlink"/>
                <w:rFonts w:ascii="Arial" w:hAnsi="Arial" w:cs="Arial"/>
                <w:noProof/>
              </w:rPr>
              <w:t>Cross-cutting issues</w:t>
            </w:r>
            <w:r>
              <w:rPr>
                <w:noProof/>
                <w:webHidden/>
              </w:rPr>
              <w:tab/>
            </w:r>
            <w:r>
              <w:rPr>
                <w:noProof/>
                <w:webHidden/>
              </w:rPr>
              <w:fldChar w:fldCharType="begin"/>
            </w:r>
            <w:r>
              <w:rPr>
                <w:noProof/>
                <w:webHidden/>
              </w:rPr>
              <w:instrText xml:space="preserve"> PAGEREF _Toc22326979 \h </w:instrText>
            </w:r>
            <w:r>
              <w:rPr>
                <w:noProof/>
                <w:webHidden/>
              </w:rPr>
            </w:r>
            <w:r>
              <w:rPr>
                <w:noProof/>
                <w:webHidden/>
              </w:rPr>
              <w:fldChar w:fldCharType="separate"/>
            </w:r>
            <w:r>
              <w:rPr>
                <w:noProof/>
                <w:webHidden/>
              </w:rPr>
              <w:t>6</w:t>
            </w:r>
            <w:r>
              <w:rPr>
                <w:noProof/>
                <w:webHidden/>
              </w:rPr>
              <w:fldChar w:fldCharType="end"/>
            </w:r>
          </w:hyperlink>
        </w:p>
        <w:p w14:paraId="0F3BE4F0" w14:textId="79130BB8" w:rsidR="00047BF0" w:rsidRDefault="00047BF0">
          <w:pPr>
            <w:pStyle w:val="TOC3"/>
            <w:tabs>
              <w:tab w:val="left" w:pos="880"/>
              <w:tab w:val="right" w:leader="dot" w:pos="9350"/>
            </w:tabs>
            <w:rPr>
              <w:rFonts w:asciiTheme="minorHAnsi" w:eastAsiaTheme="minorEastAsia" w:hAnsiTheme="minorHAnsi" w:cstheme="minorBidi"/>
              <w:noProof/>
              <w:lang w:val="en-US"/>
            </w:rPr>
          </w:pPr>
          <w:hyperlink w:anchor="_Toc22326980" w:history="1">
            <w:r w:rsidRPr="006821A0">
              <w:rPr>
                <w:rStyle w:val="Hyperlink"/>
                <w:noProof/>
              </w:rPr>
              <w:t>(i)</w:t>
            </w:r>
            <w:r>
              <w:rPr>
                <w:rFonts w:asciiTheme="minorHAnsi" w:eastAsiaTheme="minorEastAsia" w:hAnsiTheme="minorHAnsi" w:cstheme="minorBidi"/>
                <w:noProof/>
                <w:lang w:val="en-US"/>
              </w:rPr>
              <w:tab/>
            </w:r>
            <w:r w:rsidRPr="006821A0">
              <w:rPr>
                <w:rStyle w:val="Hyperlink"/>
                <w:noProof/>
              </w:rPr>
              <w:t>Establishing holistic COMESA Secretariat organizational structure and matching human capacity</w:t>
            </w:r>
            <w:r>
              <w:rPr>
                <w:noProof/>
                <w:webHidden/>
              </w:rPr>
              <w:tab/>
            </w:r>
            <w:r>
              <w:rPr>
                <w:noProof/>
                <w:webHidden/>
              </w:rPr>
              <w:fldChar w:fldCharType="begin"/>
            </w:r>
            <w:r>
              <w:rPr>
                <w:noProof/>
                <w:webHidden/>
              </w:rPr>
              <w:instrText xml:space="preserve"> PAGEREF _Toc22326980 \h </w:instrText>
            </w:r>
            <w:r>
              <w:rPr>
                <w:noProof/>
                <w:webHidden/>
              </w:rPr>
            </w:r>
            <w:r>
              <w:rPr>
                <w:noProof/>
                <w:webHidden/>
              </w:rPr>
              <w:fldChar w:fldCharType="separate"/>
            </w:r>
            <w:r>
              <w:rPr>
                <w:noProof/>
                <w:webHidden/>
              </w:rPr>
              <w:t>6</w:t>
            </w:r>
            <w:r>
              <w:rPr>
                <w:noProof/>
                <w:webHidden/>
              </w:rPr>
              <w:fldChar w:fldCharType="end"/>
            </w:r>
          </w:hyperlink>
        </w:p>
        <w:p w14:paraId="07CA8676" w14:textId="27AA06F4" w:rsidR="00047BF0" w:rsidRDefault="00047BF0">
          <w:pPr>
            <w:pStyle w:val="TOC3"/>
            <w:tabs>
              <w:tab w:val="left" w:pos="1100"/>
              <w:tab w:val="right" w:leader="dot" w:pos="9350"/>
            </w:tabs>
            <w:rPr>
              <w:rFonts w:asciiTheme="minorHAnsi" w:eastAsiaTheme="minorEastAsia" w:hAnsiTheme="minorHAnsi" w:cstheme="minorBidi"/>
              <w:noProof/>
              <w:lang w:val="en-US"/>
            </w:rPr>
          </w:pPr>
          <w:hyperlink w:anchor="_Toc22326981" w:history="1">
            <w:r w:rsidRPr="006821A0">
              <w:rPr>
                <w:rStyle w:val="Hyperlink"/>
                <w:noProof/>
              </w:rPr>
              <w:t>(ii)</w:t>
            </w:r>
            <w:r>
              <w:rPr>
                <w:rFonts w:asciiTheme="minorHAnsi" w:eastAsiaTheme="minorEastAsia" w:hAnsiTheme="minorHAnsi" w:cstheme="minorBidi"/>
                <w:noProof/>
                <w:lang w:val="en-US"/>
              </w:rPr>
              <w:tab/>
            </w:r>
            <w:r w:rsidRPr="006821A0">
              <w:rPr>
                <w:rStyle w:val="Hyperlink"/>
                <w:noProof/>
              </w:rPr>
              <w:t>Using ICT to Integrate all institutional operational processes</w:t>
            </w:r>
            <w:r>
              <w:rPr>
                <w:noProof/>
                <w:webHidden/>
              </w:rPr>
              <w:tab/>
            </w:r>
            <w:r>
              <w:rPr>
                <w:noProof/>
                <w:webHidden/>
              </w:rPr>
              <w:fldChar w:fldCharType="begin"/>
            </w:r>
            <w:r>
              <w:rPr>
                <w:noProof/>
                <w:webHidden/>
              </w:rPr>
              <w:instrText xml:space="preserve"> PAGEREF _Toc22326981 \h </w:instrText>
            </w:r>
            <w:r>
              <w:rPr>
                <w:noProof/>
                <w:webHidden/>
              </w:rPr>
            </w:r>
            <w:r>
              <w:rPr>
                <w:noProof/>
                <w:webHidden/>
              </w:rPr>
              <w:fldChar w:fldCharType="separate"/>
            </w:r>
            <w:r>
              <w:rPr>
                <w:noProof/>
                <w:webHidden/>
              </w:rPr>
              <w:t>6</w:t>
            </w:r>
            <w:r>
              <w:rPr>
                <w:noProof/>
                <w:webHidden/>
              </w:rPr>
              <w:fldChar w:fldCharType="end"/>
            </w:r>
          </w:hyperlink>
        </w:p>
        <w:p w14:paraId="7F9503FA" w14:textId="44AC4F75" w:rsidR="00047BF0" w:rsidRDefault="00047BF0">
          <w:pPr>
            <w:pStyle w:val="TOC2"/>
            <w:tabs>
              <w:tab w:val="right" w:leader="dot" w:pos="9350"/>
            </w:tabs>
            <w:rPr>
              <w:rFonts w:asciiTheme="minorHAnsi" w:eastAsiaTheme="minorEastAsia" w:hAnsiTheme="minorHAnsi" w:cstheme="minorBidi"/>
              <w:noProof/>
              <w:lang w:val="en-US"/>
            </w:rPr>
          </w:pPr>
          <w:hyperlink w:anchor="_Toc22326982" w:history="1">
            <w:r w:rsidRPr="006821A0">
              <w:rPr>
                <w:rStyle w:val="Hyperlink"/>
                <w:rFonts w:ascii="Arial" w:hAnsi="Arial" w:cs="Arial"/>
                <w:noProof/>
              </w:rPr>
              <w:t>Donor support</w:t>
            </w:r>
            <w:r>
              <w:rPr>
                <w:noProof/>
                <w:webHidden/>
              </w:rPr>
              <w:tab/>
            </w:r>
            <w:r>
              <w:rPr>
                <w:noProof/>
                <w:webHidden/>
              </w:rPr>
              <w:fldChar w:fldCharType="begin"/>
            </w:r>
            <w:r>
              <w:rPr>
                <w:noProof/>
                <w:webHidden/>
              </w:rPr>
              <w:instrText xml:space="preserve"> PAGEREF _Toc22326982 \h </w:instrText>
            </w:r>
            <w:r>
              <w:rPr>
                <w:noProof/>
                <w:webHidden/>
              </w:rPr>
            </w:r>
            <w:r>
              <w:rPr>
                <w:noProof/>
                <w:webHidden/>
              </w:rPr>
              <w:fldChar w:fldCharType="separate"/>
            </w:r>
            <w:r>
              <w:rPr>
                <w:noProof/>
                <w:webHidden/>
              </w:rPr>
              <w:t>6</w:t>
            </w:r>
            <w:r>
              <w:rPr>
                <w:noProof/>
                <w:webHidden/>
              </w:rPr>
              <w:fldChar w:fldCharType="end"/>
            </w:r>
          </w:hyperlink>
        </w:p>
        <w:p w14:paraId="12C686FC" w14:textId="5E3B44EF" w:rsidR="00047BF0" w:rsidRDefault="00047BF0">
          <w:pPr>
            <w:pStyle w:val="TOC3"/>
            <w:tabs>
              <w:tab w:val="left" w:pos="880"/>
              <w:tab w:val="right" w:leader="dot" w:pos="9350"/>
            </w:tabs>
            <w:rPr>
              <w:rFonts w:asciiTheme="minorHAnsi" w:eastAsiaTheme="minorEastAsia" w:hAnsiTheme="minorHAnsi" w:cstheme="minorBidi"/>
              <w:noProof/>
              <w:lang w:val="en-US"/>
            </w:rPr>
          </w:pPr>
          <w:hyperlink w:anchor="_Toc22326983" w:history="1">
            <w:r w:rsidRPr="006821A0">
              <w:rPr>
                <w:rStyle w:val="Hyperlink"/>
                <w:rFonts w:eastAsia="Batang"/>
                <w:noProof/>
              </w:rPr>
              <w:t>(i)</w:t>
            </w:r>
            <w:r>
              <w:rPr>
                <w:rFonts w:asciiTheme="minorHAnsi" w:eastAsiaTheme="minorEastAsia" w:hAnsiTheme="minorHAnsi" w:cstheme="minorBidi"/>
                <w:noProof/>
                <w:lang w:val="en-US"/>
              </w:rPr>
              <w:tab/>
            </w:r>
            <w:r w:rsidRPr="006821A0">
              <w:rPr>
                <w:rStyle w:val="Hyperlink"/>
                <w:noProof/>
              </w:rPr>
              <w:t>EU funded institutional capacity programme</w:t>
            </w:r>
            <w:r>
              <w:rPr>
                <w:noProof/>
                <w:webHidden/>
              </w:rPr>
              <w:tab/>
            </w:r>
            <w:r>
              <w:rPr>
                <w:noProof/>
                <w:webHidden/>
              </w:rPr>
              <w:fldChar w:fldCharType="begin"/>
            </w:r>
            <w:r>
              <w:rPr>
                <w:noProof/>
                <w:webHidden/>
              </w:rPr>
              <w:instrText xml:space="preserve"> PAGEREF _Toc22326983 \h </w:instrText>
            </w:r>
            <w:r>
              <w:rPr>
                <w:noProof/>
                <w:webHidden/>
              </w:rPr>
            </w:r>
            <w:r>
              <w:rPr>
                <w:noProof/>
                <w:webHidden/>
              </w:rPr>
              <w:fldChar w:fldCharType="separate"/>
            </w:r>
            <w:r>
              <w:rPr>
                <w:noProof/>
                <w:webHidden/>
              </w:rPr>
              <w:t>6</w:t>
            </w:r>
            <w:r>
              <w:rPr>
                <w:noProof/>
                <w:webHidden/>
              </w:rPr>
              <w:fldChar w:fldCharType="end"/>
            </w:r>
          </w:hyperlink>
        </w:p>
        <w:p w14:paraId="65351A15" w14:textId="5A755B9B" w:rsidR="00047BF0" w:rsidRDefault="00047BF0">
          <w:pPr>
            <w:pStyle w:val="TOC3"/>
            <w:tabs>
              <w:tab w:val="left" w:pos="1100"/>
              <w:tab w:val="right" w:leader="dot" w:pos="9350"/>
            </w:tabs>
            <w:rPr>
              <w:rFonts w:asciiTheme="minorHAnsi" w:eastAsiaTheme="minorEastAsia" w:hAnsiTheme="minorHAnsi" w:cstheme="minorBidi"/>
              <w:noProof/>
              <w:lang w:val="en-US"/>
            </w:rPr>
          </w:pPr>
          <w:hyperlink w:anchor="_Toc22326984" w:history="1">
            <w:r w:rsidRPr="006821A0">
              <w:rPr>
                <w:rStyle w:val="Hyperlink"/>
                <w:rFonts w:eastAsia="Batang"/>
                <w:noProof/>
              </w:rPr>
              <w:t>(ii)</w:t>
            </w:r>
            <w:r>
              <w:rPr>
                <w:rFonts w:asciiTheme="minorHAnsi" w:eastAsiaTheme="minorEastAsia" w:hAnsiTheme="minorHAnsi" w:cstheme="minorBidi"/>
                <w:noProof/>
                <w:lang w:val="en-US"/>
              </w:rPr>
              <w:tab/>
            </w:r>
            <w:r w:rsidRPr="006821A0">
              <w:rPr>
                <w:rStyle w:val="Hyperlink"/>
                <w:noProof/>
              </w:rPr>
              <w:t>USAID funded institutional capacity programme</w:t>
            </w:r>
            <w:r>
              <w:rPr>
                <w:noProof/>
                <w:webHidden/>
              </w:rPr>
              <w:tab/>
            </w:r>
            <w:r>
              <w:rPr>
                <w:noProof/>
                <w:webHidden/>
              </w:rPr>
              <w:fldChar w:fldCharType="begin"/>
            </w:r>
            <w:r>
              <w:rPr>
                <w:noProof/>
                <w:webHidden/>
              </w:rPr>
              <w:instrText xml:space="preserve"> PAGEREF _Toc22326984 \h </w:instrText>
            </w:r>
            <w:r>
              <w:rPr>
                <w:noProof/>
                <w:webHidden/>
              </w:rPr>
            </w:r>
            <w:r>
              <w:rPr>
                <w:noProof/>
                <w:webHidden/>
              </w:rPr>
              <w:fldChar w:fldCharType="separate"/>
            </w:r>
            <w:r>
              <w:rPr>
                <w:noProof/>
                <w:webHidden/>
              </w:rPr>
              <w:t>7</w:t>
            </w:r>
            <w:r>
              <w:rPr>
                <w:noProof/>
                <w:webHidden/>
              </w:rPr>
              <w:fldChar w:fldCharType="end"/>
            </w:r>
          </w:hyperlink>
        </w:p>
        <w:p w14:paraId="41367BBC" w14:textId="1DEAB0AC" w:rsidR="00047BF0" w:rsidRDefault="00047BF0">
          <w:pPr>
            <w:pStyle w:val="TOC1"/>
            <w:tabs>
              <w:tab w:val="right" w:leader="dot" w:pos="9350"/>
            </w:tabs>
            <w:rPr>
              <w:rFonts w:asciiTheme="minorHAnsi" w:eastAsiaTheme="minorEastAsia" w:hAnsiTheme="minorHAnsi" w:cstheme="minorBidi"/>
              <w:noProof/>
              <w:sz w:val="22"/>
              <w:szCs w:val="22"/>
            </w:rPr>
          </w:pPr>
          <w:hyperlink w:anchor="_Toc22326985" w:history="1">
            <w:r w:rsidRPr="006821A0">
              <w:rPr>
                <w:rStyle w:val="Hyperlink"/>
                <w:rFonts w:ascii="Arial" w:hAnsi="Arial" w:cs="Arial"/>
                <w:noProof/>
              </w:rPr>
              <w:t>RECOMMEND</w:t>
            </w:r>
            <w:bookmarkStart w:id="0" w:name="_GoBack"/>
            <w:bookmarkEnd w:id="0"/>
            <w:r w:rsidRPr="006821A0">
              <w:rPr>
                <w:rStyle w:val="Hyperlink"/>
                <w:rFonts w:ascii="Arial" w:hAnsi="Arial" w:cs="Arial"/>
                <w:noProof/>
              </w:rPr>
              <w:t>ATIONS</w:t>
            </w:r>
            <w:r>
              <w:rPr>
                <w:noProof/>
                <w:webHidden/>
              </w:rPr>
              <w:tab/>
            </w:r>
            <w:r>
              <w:rPr>
                <w:noProof/>
                <w:webHidden/>
              </w:rPr>
              <w:fldChar w:fldCharType="begin"/>
            </w:r>
            <w:r>
              <w:rPr>
                <w:noProof/>
                <w:webHidden/>
              </w:rPr>
              <w:instrText xml:space="preserve"> PAGEREF _Toc22326985 \h </w:instrText>
            </w:r>
            <w:r>
              <w:rPr>
                <w:noProof/>
                <w:webHidden/>
              </w:rPr>
            </w:r>
            <w:r>
              <w:rPr>
                <w:noProof/>
                <w:webHidden/>
              </w:rPr>
              <w:fldChar w:fldCharType="separate"/>
            </w:r>
            <w:r>
              <w:rPr>
                <w:noProof/>
                <w:webHidden/>
              </w:rPr>
              <w:t>7</w:t>
            </w:r>
            <w:r>
              <w:rPr>
                <w:noProof/>
                <w:webHidden/>
              </w:rPr>
              <w:fldChar w:fldCharType="end"/>
            </w:r>
          </w:hyperlink>
        </w:p>
        <w:p w14:paraId="419D0426" w14:textId="39CA8B9F" w:rsidR="00FF6DFF" w:rsidRDefault="00FF6DFF" w:rsidP="00FF6DFF">
          <w:r>
            <w:rPr>
              <w:b/>
              <w:bCs/>
              <w:noProof/>
            </w:rPr>
            <w:fldChar w:fldCharType="end"/>
          </w:r>
        </w:p>
      </w:sdtContent>
    </w:sdt>
    <w:p w14:paraId="3FB5026B" w14:textId="77777777" w:rsidR="00FF6DFF" w:rsidRDefault="00FF6DFF" w:rsidP="00FF6DFF">
      <w:pPr>
        <w:pStyle w:val="Heading1"/>
        <w:rPr>
          <w:rFonts w:ascii="Arial" w:hAnsi="Arial" w:cs="Arial"/>
          <w:sz w:val="24"/>
          <w:szCs w:val="24"/>
        </w:rPr>
      </w:pPr>
    </w:p>
    <w:p w14:paraId="1E2A89D5" w14:textId="77777777" w:rsidR="00FF6DFF" w:rsidRDefault="00FF6DFF" w:rsidP="00FF6DFF">
      <w:pPr>
        <w:pStyle w:val="Heading1"/>
        <w:rPr>
          <w:rFonts w:ascii="Arial" w:hAnsi="Arial" w:cs="Arial"/>
          <w:sz w:val="24"/>
          <w:szCs w:val="24"/>
        </w:rPr>
        <w:sectPr w:rsidR="00FF6DFF">
          <w:headerReference w:type="default" r:id="rId15"/>
          <w:pgSz w:w="12240" w:h="15840"/>
          <w:pgMar w:top="1440" w:right="1440" w:bottom="1440" w:left="1440" w:header="720" w:footer="720" w:gutter="0"/>
          <w:cols w:space="720"/>
          <w:docGrid w:linePitch="360"/>
        </w:sectPr>
      </w:pPr>
    </w:p>
    <w:p w14:paraId="60F66461" w14:textId="77777777" w:rsidR="00FF6DFF" w:rsidRPr="00B74270" w:rsidRDefault="00FF6DFF" w:rsidP="00FF6DFF">
      <w:pPr>
        <w:pStyle w:val="Heading1"/>
        <w:rPr>
          <w:rFonts w:ascii="Arial" w:hAnsi="Arial" w:cs="Arial"/>
          <w:sz w:val="24"/>
          <w:szCs w:val="24"/>
        </w:rPr>
      </w:pPr>
      <w:bookmarkStart w:id="1" w:name="_Toc22326972"/>
      <w:r w:rsidRPr="00B74270">
        <w:rPr>
          <w:rFonts w:ascii="Arial" w:hAnsi="Arial" w:cs="Arial"/>
          <w:sz w:val="24"/>
          <w:szCs w:val="24"/>
        </w:rPr>
        <w:lastRenderedPageBreak/>
        <w:t>BACKGROUND AND CONTEXT</w:t>
      </w:r>
      <w:bookmarkEnd w:id="1"/>
    </w:p>
    <w:p w14:paraId="6775B953" w14:textId="77777777" w:rsidR="00FF6DFF" w:rsidRPr="00B74270" w:rsidRDefault="00FF6DFF" w:rsidP="00FF6DFF">
      <w:pPr>
        <w:rPr>
          <w:rFonts w:ascii="Arial" w:hAnsi="Arial" w:cs="Arial"/>
          <w:b/>
          <w:sz w:val="24"/>
          <w:szCs w:val="24"/>
        </w:rPr>
      </w:pPr>
    </w:p>
    <w:p w14:paraId="2A53880F" w14:textId="77777777" w:rsidR="00FF6DFF" w:rsidRPr="00B74270" w:rsidRDefault="00FF6DFF" w:rsidP="00FF6DFF">
      <w:pPr>
        <w:pStyle w:val="Heading2"/>
        <w:rPr>
          <w:rFonts w:ascii="Arial" w:hAnsi="Arial" w:cs="Arial"/>
          <w:sz w:val="24"/>
          <w:szCs w:val="24"/>
        </w:rPr>
      </w:pPr>
      <w:bookmarkStart w:id="2" w:name="_Toc22326973"/>
      <w:r w:rsidRPr="00B74270">
        <w:rPr>
          <w:rFonts w:ascii="Arial" w:hAnsi="Arial" w:cs="Arial"/>
          <w:sz w:val="24"/>
          <w:szCs w:val="24"/>
        </w:rPr>
        <w:t>Introduction</w:t>
      </w:r>
      <w:bookmarkEnd w:id="2"/>
    </w:p>
    <w:p w14:paraId="6197784C" w14:textId="77777777" w:rsidR="00FF6DFF" w:rsidRPr="00B74270" w:rsidRDefault="00FF6DFF" w:rsidP="00FF6DFF">
      <w:pPr>
        <w:pStyle w:val="ListParagraph"/>
        <w:numPr>
          <w:ilvl w:val="0"/>
          <w:numId w:val="5"/>
        </w:numPr>
        <w:contextualSpacing/>
        <w:jc w:val="both"/>
        <w:rPr>
          <w:rFonts w:ascii="Arial" w:hAnsi="Arial" w:cs="Arial"/>
          <w:sz w:val="24"/>
          <w:szCs w:val="24"/>
        </w:rPr>
      </w:pPr>
      <w:r w:rsidRPr="00B74270">
        <w:rPr>
          <w:rFonts w:ascii="Arial" w:hAnsi="Arial" w:cs="Arial"/>
          <w:sz w:val="24"/>
          <w:szCs w:val="24"/>
        </w:rPr>
        <w:t>The Common Market for Eastern and Southern Africa (COMESA) was established in 1994 to succeed the Preferential Trade Area (PTA) for Eastern and Southern Africa that had been in existence since 1981. The vision of COMESA is to have a fully integrated, internationally competitive economic community with high standards of living for its entire people, ready to merge into the African Economic Community.”  COMESA is envisioned to become a single trade and investment area in which tariffs, non-tariff barriers and other impediments to the movement of goods, services; capital and people will be substantially removed to pave way for the achievement of a globally competitive regional market.  With 21-member states, with an estimated population of about 550 million people and average GDP per capita estimated at $2,743(Annex 1 Trade Facilitation Report of EU), the prospects of COMESA as a Regional Economic Community are promising.</w:t>
      </w:r>
    </w:p>
    <w:p w14:paraId="0AEED514" w14:textId="77777777" w:rsidR="00FF6DFF" w:rsidRPr="00B74270" w:rsidRDefault="00FF6DFF" w:rsidP="00FF6DFF">
      <w:pPr>
        <w:pStyle w:val="ListParagraph"/>
        <w:jc w:val="both"/>
        <w:rPr>
          <w:rFonts w:ascii="Arial" w:hAnsi="Arial" w:cs="Arial"/>
          <w:sz w:val="24"/>
          <w:szCs w:val="24"/>
        </w:rPr>
      </w:pPr>
    </w:p>
    <w:p w14:paraId="07710F19" w14:textId="77777777" w:rsidR="00FF6DFF" w:rsidRPr="00B74270" w:rsidRDefault="00FF6DFF" w:rsidP="00FF6DFF">
      <w:pPr>
        <w:pStyle w:val="ListParagraph"/>
        <w:numPr>
          <w:ilvl w:val="0"/>
          <w:numId w:val="5"/>
        </w:numPr>
        <w:contextualSpacing/>
        <w:jc w:val="both"/>
        <w:rPr>
          <w:rFonts w:ascii="Arial" w:hAnsi="Arial" w:cs="Arial"/>
          <w:sz w:val="24"/>
          <w:szCs w:val="24"/>
        </w:rPr>
      </w:pPr>
      <w:r w:rsidRPr="00B74270">
        <w:rPr>
          <w:rFonts w:ascii="Arial" w:hAnsi="Arial" w:cs="Arial"/>
          <w:sz w:val="24"/>
          <w:szCs w:val="24"/>
        </w:rPr>
        <w:t xml:space="preserve">Between 2000 and 2016, The World Bank (WB) reported that intra- COMESA trade grew exponentially, with trade amounting to $8 billion from a baseline of less than $2 billion shortly after its creation. Notwithstanding increased intra- COMESA trade volumes recorded in the past, impediments to free flow of trade </w:t>
      </w:r>
      <w:proofErr w:type="gramStart"/>
      <w:r w:rsidRPr="00B74270">
        <w:rPr>
          <w:rFonts w:ascii="Arial" w:hAnsi="Arial" w:cs="Arial"/>
          <w:sz w:val="24"/>
          <w:szCs w:val="24"/>
        </w:rPr>
        <w:t>still persist</w:t>
      </w:r>
      <w:proofErr w:type="gramEnd"/>
      <w:r w:rsidRPr="00B74270">
        <w:rPr>
          <w:rFonts w:ascii="Arial" w:hAnsi="Arial" w:cs="Arial"/>
          <w:sz w:val="24"/>
          <w:szCs w:val="24"/>
        </w:rPr>
        <w:t>. Some of the identified problems include high transaction costs, insecurity and gender- based harassments, poor basic infrastructure and facilities, weak traders’ association and lack of (gender disaggregated) data on cross –border trade flows, low and in some cases non-existent value addition of goods and minerals originating in COMESA Member States, among others.</w:t>
      </w:r>
    </w:p>
    <w:p w14:paraId="175CF9B7" w14:textId="77777777" w:rsidR="00FF6DFF" w:rsidRPr="00B74270" w:rsidRDefault="00FF6DFF" w:rsidP="00FF6DFF">
      <w:pPr>
        <w:pStyle w:val="ListParagraph"/>
        <w:rPr>
          <w:rFonts w:ascii="Arial" w:hAnsi="Arial" w:cs="Arial"/>
          <w:sz w:val="24"/>
          <w:szCs w:val="24"/>
        </w:rPr>
      </w:pPr>
    </w:p>
    <w:p w14:paraId="64E4ADD5" w14:textId="77777777" w:rsidR="00FF6DFF" w:rsidRPr="00B74270" w:rsidRDefault="00FF6DFF" w:rsidP="00FF6DFF">
      <w:pPr>
        <w:pStyle w:val="ListParagraph"/>
        <w:numPr>
          <w:ilvl w:val="0"/>
          <w:numId w:val="5"/>
        </w:numPr>
        <w:contextualSpacing/>
        <w:jc w:val="both"/>
        <w:rPr>
          <w:rFonts w:ascii="Arial" w:hAnsi="Arial" w:cs="Arial"/>
          <w:sz w:val="24"/>
          <w:szCs w:val="24"/>
        </w:rPr>
      </w:pPr>
      <w:r w:rsidRPr="00B74270">
        <w:rPr>
          <w:rFonts w:ascii="Arial" w:hAnsi="Arial" w:cs="Arial"/>
          <w:sz w:val="24"/>
          <w:szCs w:val="24"/>
        </w:rPr>
        <w:t xml:space="preserve">COMESA finalised its 2016-2020 Medium Term Strategic Plan in 2016. The priorities of the Medium-Term Strategic Plan included strengthening market integration to achieve seamless flow of trade in goods, services, capital and people through consolidation of markets.  The Medium-Term Strategic Plan further set out the strategic objectives which COMESA was to achieve in the Medium term to enhance its mandate of coordinating regional integration among its member states. </w:t>
      </w:r>
    </w:p>
    <w:p w14:paraId="33EDA1BE" w14:textId="77777777" w:rsidR="00FF6DFF" w:rsidRPr="00B74270" w:rsidRDefault="00FF6DFF" w:rsidP="00FF6DFF">
      <w:pPr>
        <w:pStyle w:val="ListParagraph"/>
        <w:rPr>
          <w:rFonts w:ascii="Arial" w:hAnsi="Arial" w:cs="Arial"/>
          <w:sz w:val="24"/>
          <w:szCs w:val="24"/>
        </w:rPr>
      </w:pPr>
    </w:p>
    <w:p w14:paraId="3E62B5F0" w14:textId="77777777" w:rsidR="00FF6DFF" w:rsidRPr="00B74270" w:rsidRDefault="00FF6DFF" w:rsidP="00FF6DFF">
      <w:pPr>
        <w:pStyle w:val="ListParagraph"/>
        <w:numPr>
          <w:ilvl w:val="0"/>
          <w:numId w:val="5"/>
        </w:numPr>
        <w:contextualSpacing/>
        <w:jc w:val="both"/>
        <w:rPr>
          <w:rFonts w:ascii="Arial" w:hAnsi="Arial" w:cs="Arial"/>
          <w:sz w:val="24"/>
          <w:szCs w:val="24"/>
        </w:rPr>
      </w:pPr>
      <w:r w:rsidRPr="00B74270">
        <w:rPr>
          <w:rFonts w:ascii="Arial" w:hAnsi="Arial" w:cs="Arial"/>
          <w:sz w:val="24"/>
          <w:szCs w:val="24"/>
        </w:rPr>
        <w:t>Based on the launch of the medium-term strategic plan in 2016, pillars of support were identified. Donors have re-aligned their support to be in line with 2016-2020 Medium Term Strategic Plan.  A separate paper (attachment) gives a summary of resources availed by donors in the last ten (10) years.</w:t>
      </w:r>
    </w:p>
    <w:p w14:paraId="6BEA8FB4" w14:textId="77777777" w:rsidR="00FF6DFF" w:rsidRPr="00B74270" w:rsidRDefault="00FF6DFF" w:rsidP="00FF6DFF">
      <w:pPr>
        <w:pStyle w:val="ListParagraph"/>
        <w:rPr>
          <w:rFonts w:ascii="Arial" w:hAnsi="Arial" w:cs="Arial"/>
          <w:sz w:val="24"/>
          <w:szCs w:val="24"/>
        </w:rPr>
      </w:pPr>
    </w:p>
    <w:p w14:paraId="2097CC3A" w14:textId="77777777" w:rsidR="00FF6DFF" w:rsidRPr="00B74270" w:rsidRDefault="00FF6DFF" w:rsidP="00FF6DFF">
      <w:pPr>
        <w:pStyle w:val="ListParagraph"/>
        <w:rPr>
          <w:rFonts w:ascii="Arial" w:hAnsi="Arial" w:cs="Arial"/>
          <w:sz w:val="24"/>
          <w:szCs w:val="24"/>
        </w:rPr>
      </w:pPr>
    </w:p>
    <w:p w14:paraId="7A828CD5" w14:textId="77777777" w:rsidR="00FF6DFF" w:rsidRPr="00B74270" w:rsidRDefault="00FF6DFF" w:rsidP="00FF6DFF">
      <w:pPr>
        <w:pStyle w:val="Heading2"/>
        <w:rPr>
          <w:rFonts w:ascii="Arial" w:hAnsi="Arial" w:cs="Arial"/>
          <w:b/>
          <w:sz w:val="24"/>
          <w:szCs w:val="24"/>
        </w:rPr>
      </w:pPr>
      <w:bookmarkStart w:id="3" w:name="_Toc22326974"/>
      <w:r w:rsidRPr="00B74270">
        <w:rPr>
          <w:rFonts w:ascii="Arial" w:hAnsi="Arial" w:cs="Arial"/>
          <w:sz w:val="24"/>
          <w:szCs w:val="24"/>
        </w:rPr>
        <w:t>Overview of COMESA Secretariat mandate</w:t>
      </w:r>
      <w:bookmarkEnd w:id="3"/>
    </w:p>
    <w:p w14:paraId="7D61B752"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 xml:space="preserve">COMESA Secretariat is established under Article 7 of the COMESA Treaty, as an organ of the Common Market. </w:t>
      </w:r>
    </w:p>
    <w:p w14:paraId="28C2AD04" w14:textId="77777777" w:rsidR="00FF6DFF" w:rsidRPr="00B74270" w:rsidRDefault="00FF6DFF" w:rsidP="00FF6DFF">
      <w:pPr>
        <w:pStyle w:val="ListParagraph"/>
        <w:jc w:val="both"/>
        <w:rPr>
          <w:rFonts w:ascii="Arial" w:hAnsi="Arial" w:cs="Arial"/>
          <w:sz w:val="24"/>
          <w:szCs w:val="24"/>
        </w:rPr>
      </w:pPr>
    </w:p>
    <w:p w14:paraId="4F743F67"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 xml:space="preserve">COMESA Secretariat is the principle executive organ of the Common Market. It is headed by Secretary General, who is also designated as the Chief Executive </w:t>
      </w:r>
      <w:r w:rsidRPr="00B74270">
        <w:rPr>
          <w:rFonts w:ascii="Arial" w:hAnsi="Arial" w:cs="Arial"/>
          <w:sz w:val="24"/>
          <w:szCs w:val="24"/>
        </w:rPr>
        <w:lastRenderedPageBreak/>
        <w:t xml:space="preserve">Officer of the Common Market. The Secretary-General is assisted by two Assistant Secretaries-General, appointed by </w:t>
      </w:r>
      <w:proofErr w:type="gramStart"/>
      <w:r w:rsidRPr="00B74270">
        <w:rPr>
          <w:rFonts w:ascii="Arial" w:hAnsi="Arial" w:cs="Arial"/>
          <w:sz w:val="24"/>
          <w:szCs w:val="24"/>
        </w:rPr>
        <w:t>the  Authority</w:t>
      </w:r>
      <w:proofErr w:type="gramEnd"/>
      <w:r w:rsidRPr="00B74270">
        <w:rPr>
          <w:rFonts w:ascii="Arial" w:hAnsi="Arial" w:cs="Arial"/>
          <w:sz w:val="24"/>
          <w:szCs w:val="24"/>
        </w:rPr>
        <w:t>, and such other staff of the Secretariat as the Council may determine.</w:t>
      </w:r>
    </w:p>
    <w:p w14:paraId="39B1412A" w14:textId="77777777" w:rsidR="00FF6DFF" w:rsidRPr="00B74270" w:rsidRDefault="00FF6DFF" w:rsidP="00FF6DFF">
      <w:pPr>
        <w:pStyle w:val="ListParagraph"/>
        <w:jc w:val="both"/>
        <w:rPr>
          <w:rFonts w:ascii="Arial" w:hAnsi="Arial" w:cs="Arial"/>
          <w:sz w:val="24"/>
          <w:szCs w:val="24"/>
        </w:rPr>
      </w:pPr>
    </w:p>
    <w:p w14:paraId="601DAD91" w14:textId="77777777" w:rsidR="00FF6DFF" w:rsidRPr="00B74270" w:rsidRDefault="00FF6DFF" w:rsidP="00FF6DFF">
      <w:pPr>
        <w:pStyle w:val="ListParagraph"/>
        <w:rPr>
          <w:rFonts w:ascii="Arial" w:hAnsi="Arial" w:cs="Arial"/>
          <w:sz w:val="24"/>
          <w:szCs w:val="24"/>
        </w:rPr>
      </w:pPr>
    </w:p>
    <w:p w14:paraId="6D986E30"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Functions of the COMESA Secretariat are stipulated under Article 17 of the Treaty. These can be summarized as below: -</w:t>
      </w:r>
    </w:p>
    <w:p w14:paraId="0BC81177" w14:textId="77777777" w:rsidR="00FF6DFF" w:rsidRPr="00B74270" w:rsidRDefault="00FF6DFF" w:rsidP="00FF6DFF">
      <w:pPr>
        <w:pStyle w:val="ListParagraph"/>
        <w:rPr>
          <w:rFonts w:ascii="Arial" w:hAnsi="Arial" w:cs="Arial"/>
          <w:sz w:val="24"/>
          <w:szCs w:val="24"/>
        </w:rPr>
      </w:pPr>
    </w:p>
    <w:p w14:paraId="1552B69C" w14:textId="77777777" w:rsidR="00FF6DFF" w:rsidRPr="00B74270" w:rsidRDefault="00FF6DFF" w:rsidP="00FF6DFF">
      <w:pPr>
        <w:pStyle w:val="ListParagraph"/>
        <w:numPr>
          <w:ilvl w:val="0"/>
          <w:numId w:val="8"/>
        </w:numPr>
        <w:contextualSpacing/>
        <w:jc w:val="both"/>
        <w:rPr>
          <w:rFonts w:ascii="Arial" w:hAnsi="Arial" w:cs="Arial"/>
          <w:sz w:val="24"/>
          <w:szCs w:val="24"/>
        </w:rPr>
      </w:pPr>
      <w:r w:rsidRPr="00B74270">
        <w:rPr>
          <w:rFonts w:ascii="Arial" w:hAnsi="Arial" w:cs="Arial"/>
          <w:sz w:val="24"/>
          <w:szCs w:val="24"/>
        </w:rPr>
        <w:t>Facilitate attainment of the objectives stipulated under the Treaty, through among other activities</w:t>
      </w:r>
    </w:p>
    <w:p w14:paraId="213430E0" w14:textId="77777777" w:rsidR="00FF6DFF" w:rsidRPr="00B74270" w:rsidRDefault="00FF6DFF" w:rsidP="00FF6DFF">
      <w:pPr>
        <w:pStyle w:val="ListParagraph"/>
        <w:ind w:left="1440"/>
        <w:jc w:val="both"/>
        <w:rPr>
          <w:rFonts w:ascii="Arial" w:hAnsi="Arial" w:cs="Arial"/>
          <w:sz w:val="24"/>
          <w:szCs w:val="24"/>
        </w:rPr>
      </w:pPr>
    </w:p>
    <w:p w14:paraId="6A43CFAC" w14:textId="77777777" w:rsidR="00FF6DFF" w:rsidRPr="00B74270" w:rsidRDefault="00FF6DFF" w:rsidP="00FF6DFF">
      <w:pPr>
        <w:pStyle w:val="ListParagraph"/>
        <w:numPr>
          <w:ilvl w:val="0"/>
          <w:numId w:val="9"/>
        </w:numPr>
        <w:contextualSpacing/>
        <w:jc w:val="both"/>
        <w:rPr>
          <w:rFonts w:ascii="Arial" w:hAnsi="Arial" w:cs="Arial"/>
          <w:sz w:val="24"/>
          <w:szCs w:val="24"/>
        </w:rPr>
      </w:pPr>
      <w:r w:rsidRPr="00B74270">
        <w:rPr>
          <w:rFonts w:ascii="Arial" w:hAnsi="Arial" w:cs="Arial"/>
          <w:sz w:val="24"/>
          <w:szCs w:val="24"/>
        </w:rPr>
        <w:t>follow-up to ensure adherence of Treaty obligations and commitments</w:t>
      </w:r>
    </w:p>
    <w:p w14:paraId="4682F292" w14:textId="77777777" w:rsidR="00FF6DFF" w:rsidRPr="00B74270" w:rsidRDefault="00FF6DFF" w:rsidP="00FF6DFF">
      <w:pPr>
        <w:pStyle w:val="ListParagraph"/>
        <w:numPr>
          <w:ilvl w:val="0"/>
          <w:numId w:val="9"/>
        </w:numPr>
        <w:contextualSpacing/>
        <w:jc w:val="both"/>
        <w:rPr>
          <w:rFonts w:ascii="Arial" w:hAnsi="Arial" w:cs="Arial"/>
          <w:sz w:val="24"/>
          <w:szCs w:val="24"/>
        </w:rPr>
      </w:pPr>
      <w:r w:rsidRPr="00B74270">
        <w:rPr>
          <w:rFonts w:ascii="Arial" w:hAnsi="Arial" w:cs="Arial"/>
          <w:sz w:val="24"/>
          <w:szCs w:val="24"/>
        </w:rPr>
        <w:t>implementation of decisions of COMESA Policy Organs;</w:t>
      </w:r>
    </w:p>
    <w:p w14:paraId="28A092E6" w14:textId="77777777" w:rsidR="00FF6DFF" w:rsidRPr="00B74270" w:rsidRDefault="00FF6DFF" w:rsidP="00FF6DFF">
      <w:pPr>
        <w:pStyle w:val="ListParagraph"/>
        <w:numPr>
          <w:ilvl w:val="0"/>
          <w:numId w:val="9"/>
        </w:numPr>
        <w:contextualSpacing/>
        <w:jc w:val="both"/>
        <w:rPr>
          <w:rFonts w:ascii="Arial" w:hAnsi="Arial" w:cs="Arial"/>
          <w:sz w:val="24"/>
          <w:szCs w:val="24"/>
        </w:rPr>
      </w:pPr>
      <w:r w:rsidRPr="00B74270">
        <w:rPr>
          <w:rFonts w:ascii="Arial" w:hAnsi="Arial" w:cs="Arial"/>
          <w:sz w:val="24"/>
          <w:szCs w:val="24"/>
        </w:rPr>
        <w:t>undertake studies, research and policy development</w:t>
      </w:r>
    </w:p>
    <w:p w14:paraId="33303C73" w14:textId="77777777" w:rsidR="00FF6DFF" w:rsidRPr="00B74270" w:rsidRDefault="00FF6DFF" w:rsidP="00FF6DFF">
      <w:pPr>
        <w:pStyle w:val="ListParagraph"/>
        <w:ind w:left="1800"/>
        <w:jc w:val="both"/>
        <w:rPr>
          <w:rFonts w:ascii="Arial" w:hAnsi="Arial" w:cs="Arial"/>
          <w:sz w:val="24"/>
          <w:szCs w:val="24"/>
        </w:rPr>
      </w:pPr>
    </w:p>
    <w:p w14:paraId="5C8BD8C6" w14:textId="77777777" w:rsidR="00FF6DFF" w:rsidRPr="00B74270" w:rsidRDefault="00FF6DFF" w:rsidP="00FF6DFF">
      <w:pPr>
        <w:pStyle w:val="ListParagraph"/>
        <w:numPr>
          <w:ilvl w:val="0"/>
          <w:numId w:val="8"/>
        </w:numPr>
        <w:contextualSpacing/>
        <w:jc w:val="both"/>
        <w:rPr>
          <w:rFonts w:ascii="Arial" w:hAnsi="Arial" w:cs="Arial"/>
          <w:sz w:val="24"/>
          <w:szCs w:val="24"/>
        </w:rPr>
      </w:pPr>
      <w:r w:rsidRPr="00B74270">
        <w:rPr>
          <w:rFonts w:ascii="Arial" w:hAnsi="Arial" w:cs="Arial"/>
          <w:sz w:val="24"/>
          <w:szCs w:val="24"/>
        </w:rPr>
        <w:t>Servicing and assisting the organs of the Common Market in the performance of their functions;</w:t>
      </w:r>
    </w:p>
    <w:p w14:paraId="7C080B54" w14:textId="77777777" w:rsidR="00FF6DFF" w:rsidRPr="00B74270" w:rsidRDefault="00FF6DFF" w:rsidP="00FF6DFF">
      <w:pPr>
        <w:pStyle w:val="ListParagraph"/>
        <w:numPr>
          <w:ilvl w:val="0"/>
          <w:numId w:val="8"/>
        </w:numPr>
        <w:contextualSpacing/>
        <w:jc w:val="both"/>
        <w:rPr>
          <w:rFonts w:ascii="Arial" w:hAnsi="Arial" w:cs="Arial"/>
          <w:sz w:val="24"/>
          <w:szCs w:val="24"/>
        </w:rPr>
      </w:pPr>
      <w:r w:rsidRPr="00B74270">
        <w:rPr>
          <w:rFonts w:ascii="Arial" w:hAnsi="Arial" w:cs="Arial"/>
          <w:sz w:val="24"/>
          <w:szCs w:val="24"/>
        </w:rPr>
        <w:t xml:space="preserve">Representation and promotion of the Common Market </w:t>
      </w:r>
    </w:p>
    <w:p w14:paraId="5BA788D4" w14:textId="77777777" w:rsidR="00FF6DFF" w:rsidRPr="00B74270" w:rsidRDefault="00FF6DFF" w:rsidP="00FF6DFF">
      <w:pPr>
        <w:pStyle w:val="ListParagraph"/>
        <w:numPr>
          <w:ilvl w:val="0"/>
          <w:numId w:val="8"/>
        </w:numPr>
        <w:contextualSpacing/>
        <w:jc w:val="both"/>
        <w:rPr>
          <w:rFonts w:ascii="Arial" w:hAnsi="Arial" w:cs="Arial"/>
          <w:sz w:val="24"/>
          <w:szCs w:val="24"/>
        </w:rPr>
      </w:pPr>
      <w:r w:rsidRPr="00B74270">
        <w:rPr>
          <w:rFonts w:ascii="Arial" w:hAnsi="Arial" w:cs="Arial"/>
          <w:sz w:val="24"/>
          <w:szCs w:val="24"/>
        </w:rPr>
        <w:t xml:space="preserve">Resource mobilisation for of the Common Market </w:t>
      </w:r>
    </w:p>
    <w:p w14:paraId="45391BD6" w14:textId="77777777" w:rsidR="00FF6DFF" w:rsidRPr="00B74270" w:rsidRDefault="00FF6DFF" w:rsidP="00FF6DFF">
      <w:pPr>
        <w:pStyle w:val="ListParagraph"/>
        <w:numPr>
          <w:ilvl w:val="0"/>
          <w:numId w:val="8"/>
        </w:numPr>
        <w:contextualSpacing/>
        <w:jc w:val="both"/>
        <w:rPr>
          <w:rFonts w:ascii="Arial" w:hAnsi="Arial" w:cs="Arial"/>
          <w:sz w:val="24"/>
          <w:szCs w:val="24"/>
        </w:rPr>
      </w:pPr>
      <w:r w:rsidRPr="00B74270">
        <w:rPr>
          <w:rFonts w:ascii="Arial" w:hAnsi="Arial" w:cs="Arial"/>
          <w:sz w:val="24"/>
          <w:szCs w:val="24"/>
        </w:rPr>
        <w:t>Providing administration and managing resources (human, financial and technical) of the Common Market;</w:t>
      </w:r>
    </w:p>
    <w:p w14:paraId="3AEDAD05" w14:textId="77777777" w:rsidR="00FF6DFF" w:rsidRPr="00B74270" w:rsidRDefault="00FF6DFF" w:rsidP="00FF6DFF">
      <w:pPr>
        <w:pStyle w:val="ListParagraph"/>
        <w:ind w:left="1800"/>
        <w:jc w:val="both"/>
        <w:rPr>
          <w:rFonts w:ascii="Arial" w:hAnsi="Arial" w:cs="Arial"/>
          <w:sz w:val="24"/>
          <w:szCs w:val="24"/>
        </w:rPr>
      </w:pPr>
    </w:p>
    <w:p w14:paraId="4B136F35"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The 2016-2020 Medium Term Strategic Plan recognises that the basic function of the Secretariat is to provide technical support and advisory services to the Member States in the implementation of the Treaty. To this end, it undertakes research and studies as a basis for implementing the decisions adopted by the Policy Organs.</w:t>
      </w:r>
    </w:p>
    <w:p w14:paraId="439E2EA7" w14:textId="77777777" w:rsidR="00FF6DFF" w:rsidRPr="00B74270" w:rsidRDefault="00FF6DFF" w:rsidP="00FF6DFF">
      <w:pPr>
        <w:pStyle w:val="ListParagraph"/>
        <w:jc w:val="both"/>
        <w:rPr>
          <w:rFonts w:ascii="Arial" w:hAnsi="Arial" w:cs="Arial"/>
          <w:sz w:val="24"/>
          <w:szCs w:val="24"/>
        </w:rPr>
      </w:pPr>
    </w:p>
    <w:p w14:paraId="267093D0" w14:textId="77777777" w:rsidR="00FF6DFF"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 xml:space="preserve">Given the above mandate, it is necessary that the Secretariat is adequately capacitated to effectively and efficiently spearhead provision of relevant technical assistance and capacity building to Member States, as well as the interface between among COMESA Member States and between COMESA and external stakeholders. </w:t>
      </w:r>
    </w:p>
    <w:p w14:paraId="47E34F8E" w14:textId="77777777" w:rsidR="00FF6DFF" w:rsidRPr="007B4215" w:rsidRDefault="00FF6DFF" w:rsidP="00FF6DFF">
      <w:pPr>
        <w:pStyle w:val="ListParagraph"/>
        <w:rPr>
          <w:rFonts w:ascii="Arial" w:hAnsi="Arial" w:cs="Arial"/>
          <w:sz w:val="24"/>
          <w:szCs w:val="24"/>
        </w:rPr>
      </w:pPr>
    </w:p>
    <w:p w14:paraId="766FCEE1" w14:textId="77777777" w:rsidR="00FF6DFF" w:rsidRPr="00B74270" w:rsidRDefault="00FF6DFF" w:rsidP="00FF6DFF">
      <w:pPr>
        <w:pStyle w:val="ListParagraph"/>
        <w:numPr>
          <w:ilvl w:val="0"/>
          <w:numId w:val="7"/>
        </w:numPr>
        <w:contextualSpacing/>
        <w:jc w:val="both"/>
        <w:rPr>
          <w:rFonts w:ascii="Arial" w:hAnsi="Arial" w:cs="Arial"/>
          <w:sz w:val="24"/>
          <w:szCs w:val="24"/>
        </w:rPr>
      </w:pPr>
      <w:r>
        <w:rPr>
          <w:rFonts w:ascii="Arial" w:hAnsi="Arial" w:cs="Arial"/>
          <w:sz w:val="24"/>
          <w:szCs w:val="24"/>
        </w:rPr>
        <w:t>The enhanced capacity will also enable the COMESA Secretariat ensure absorption of resources availed by Cooperating Partners towards COMESA programmes.</w:t>
      </w:r>
    </w:p>
    <w:p w14:paraId="3A6074D7" w14:textId="77777777" w:rsidR="00FF6DFF" w:rsidRPr="00B74270" w:rsidRDefault="00FF6DFF" w:rsidP="00FF6DFF">
      <w:pPr>
        <w:pStyle w:val="ListParagraph"/>
        <w:jc w:val="both"/>
        <w:rPr>
          <w:rFonts w:ascii="Arial" w:hAnsi="Arial" w:cs="Arial"/>
          <w:sz w:val="24"/>
          <w:szCs w:val="24"/>
        </w:rPr>
      </w:pPr>
    </w:p>
    <w:p w14:paraId="216F338D" w14:textId="77777777" w:rsidR="00FF6DFF" w:rsidRDefault="00FF6DFF" w:rsidP="00FF6DFF">
      <w:pPr>
        <w:pStyle w:val="Heading2"/>
        <w:rPr>
          <w:rFonts w:ascii="Arial" w:hAnsi="Arial" w:cs="Arial"/>
          <w:sz w:val="24"/>
          <w:szCs w:val="24"/>
        </w:rPr>
        <w:sectPr w:rsidR="00FF6DFF" w:rsidSect="001F0C8F">
          <w:headerReference w:type="default" r:id="rId16"/>
          <w:footerReference w:type="default" r:id="rId17"/>
          <w:pgSz w:w="12240" w:h="15840"/>
          <w:pgMar w:top="1440" w:right="1440" w:bottom="1440" w:left="1440" w:header="720" w:footer="720" w:gutter="0"/>
          <w:pgNumType w:fmt="numberInDash" w:start="1"/>
          <w:cols w:space="720"/>
          <w:docGrid w:linePitch="360"/>
        </w:sectPr>
      </w:pPr>
    </w:p>
    <w:p w14:paraId="42195AB9" w14:textId="77777777" w:rsidR="00FF6DFF" w:rsidRPr="00B74270" w:rsidRDefault="00FF6DFF" w:rsidP="00FF6DFF">
      <w:pPr>
        <w:pStyle w:val="Heading2"/>
        <w:rPr>
          <w:rFonts w:ascii="Arial" w:hAnsi="Arial" w:cs="Arial"/>
          <w:sz w:val="24"/>
          <w:szCs w:val="24"/>
        </w:rPr>
      </w:pPr>
      <w:bookmarkStart w:id="4" w:name="_Toc22326975"/>
      <w:r w:rsidRPr="00B74270">
        <w:rPr>
          <w:rFonts w:ascii="Arial" w:hAnsi="Arial" w:cs="Arial"/>
          <w:sz w:val="24"/>
          <w:szCs w:val="24"/>
        </w:rPr>
        <w:lastRenderedPageBreak/>
        <w:t>Capacity challenges</w:t>
      </w:r>
      <w:bookmarkEnd w:id="4"/>
    </w:p>
    <w:p w14:paraId="61BA5561" w14:textId="77777777" w:rsidR="00FF6DFF" w:rsidRPr="00B74270" w:rsidRDefault="00FF6DFF" w:rsidP="00FF6DFF">
      <w:pPr>
        <w:pStyle w:val="ListParagraph"/>
        <w:jc w:val="both"/>
        <w:rPr>
          <w:rFonts w:ascii="Arial" w:hAnsi="Arial" w:cs="Arial"/>
          <w:sz w:val="24"/>
          <w:szCs w:val="24"/>
        </w:rPr>
      </w:pPr>
    </w:p>
    <w:p w14:paraId="446A52D7"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Institutional reviews carried out to ascertain levels of institutional capacity, indicate weaknesses on the part of the COMESA Secretariat to effectively executive its mandate, as provided for under the Treaty, as well as the Medium-Term Strategic Plan.</w:t>
      </w:r>
    </w:p>
    <w:p w14:paraId="3DF8CB76" w14:textId="77777777" w:rsidR="00FF6DFF" w:rsidRPr="00B74270" w:rsidRDefault="00FF6DFF" w:rsidP="00FF6DFF">
      <w:pPr>
        <w:pStyle w:val="ListParagraph"/>
        <w:jc w:val="both"/>
        <w:rPr>
          <w:rFonts w:ascii="Arial" w:hAnsi="Arial" w:cs="Arial"/>
          <w:sz w:val="24"/>
          <w:szCs w:val="24"/>
        </w:rPr>
      </w:pPr>
    </w:p>
    <w:p w14:paraId="0CA2410B" w14:textId="77777777" w:rsidR="00FF6DFF" w:rsidRPr="00B74270" w:rsidRDefault="00FF6DFF" w:rsidP="00FF6DFF">
      <w:pPr>
        <w:pStyle w:val="ListParagraph"/>
        <w:numPr>
          <w:ilvl w:val="0"/>
          <w:numId w:val="7"/>
        </w:numPr>
        <w:contextualSpacing/>
        <w:jc w:val="both"/>
        <w:rPr>
          <w:rFonts w:ascii="Arial" w:hAnsi="Arial" w:cs="Arial"/>
          <w:sz w:val="24"/>
          <w:szCs w:val="24"/>
        </w:rPr>
      </w:pPr>
      <w:r w:rsidRPr="00B74270">
        <w:rPr>
          <w:rFonts w:ascii="Arial" w:hAnsi="Arial" w:cs="Arial"/>
          <w:sz w:val="24"/>
          <w:szCs w:val="24"/>
        </w:rPr>
        <w:t>Issues indicated by the reviews are varied and include need for: -</w:t>
      </w:r>
    </w:p>
    <w:p w14:paraId="47A5E7F0" w14:textId="77777777" w:rsidR="00FF6DFF" w:rsidRPr="00B74270" w:rsidRDefault="00FF6DFF" w:rsidP="00FF6DFF">
      <w:pPr>
        <w:pStyle w:val="ListParagraph"/>
        <w:rPr>
          <w:rFonts w:ascii="Arial" w:hAnsi="Arial" w:cs="Arial"/>
          <w:sz w:val="24"/>
          <w:szCs w:val="24"/>
        </w:rPr>
      </w:pPr>
    </w:p>
    <w:p w14:paraId="42BFAAB8" w14:textId="77777777" w:rsidR="00FF6DFF" w:rsidRPr="00B74270" w:rsidRDefault="00FF6DFF" w:rsidP="00FF6DFF">
      <w:pPr>
        <w:pStyle w:val="ListParagraph"/>
        <w:numPr>
          <w:ilvl w:val="0"/>
          <w:numId w:val="10"/>
        </w:numPr>
        <w:contextualSpacing/>
        <w:jc w:val="both"/>
        <w:rPr>
          <w:rFonts w:ascii="Arial" w:hAnsi="Arial" w:cs="Arial"/>
          <w:sz w:val="24"/>
          <w:szCs w:val="24"/>
        </w:rPr>
      </w:pPr>
      <w:r w:rsidRPr="00B74270">
        <w:rPr>
          <w:rFonts w:ascii="Arial" w:hAnsi="Arial" w:cs="Arial"/>
          <w:sz w:val="24"/>
          <w:szCs w:val="24"/>
        </w:rPr>
        <w:t>enabling instruments;</w:t>
      </w:r>
    </w:p>
    <w:p w14:paraId="4E052817" w14:textId="77777777" w:rsidR="00FF6DFF" w:rsidRPr="00B74270" w:rsidRDefault="00FF6DFF" w:rsidP="00FF6DFF">
      <w:pPr>
        <w:pStyle w:val="ListParagraph"/>
        <w:numPr>
          <w:ilvl w:val="0"/>
          <w:numId w:val="10"/>
        </w:numPr>
        <w:contextualSpacing/>
        <w:jc w:val="both"/>
        <w:rPr>
          <w:rFonts w:ascii="Arial" w:hAnsi="Arial" w:cs="Arial"/>
          <w:sz w:val="24"/>
          <w:szCs w:val="24"/>
        </w:rPr>
      </w:pPr>
      <w:r w:rsidRPr="00B74270">
        <w:rPr>
          <w:rFonts w:ascii="Arial" w:hAnsi="Arial" w:cs="Arial"/>
          <w:sz w:val="24"/>
          <w:szCs w:val="24"/>
        </w:rPr>
        <w:t>improved human capacities and capabilities; and</w:t>
      </w:r>
    </w:p>
    <w:p w14:paraId="36DFCCA1" w14:textId="77777777" w:rsidR="00FF6DFF" w:rsidRPr="00B74270" w:rsidRDefault="00FF6DFF" w:rsidP="00FF6DFF">
      <w:pPr>
        <w:pStyle w:val="ListParagraph"/>
        <w:numPr>
          <w:ilvl w:val="0"/>
          <w:numId w:val="10"/>
        </w:numPr>
        <w:contextualSpacing/>
        <w:jc w:val="both"/>
        <w:rPr>
          <w:rFonts w:ascii="Arial" w:hAnsi="Arial" w:cs="Arial"/>
          <w:sz w:val="24"/>
          <w:szCs w:val="24"/>
        </w:rPr>
      </w:pPr>
      <w:r w:rsidRPr="00B74270">
        <w:rPr>
          <w:rFonts w:ascii="Arial" w:hAnsi="Arial" w:cs="Arial"/>
          <w:sz w:val="24"/>
          <w:szCs w:val="24"/>
        </w:rPr>
        <w:t>enabling systems.</w:t>
      </w:r>
    </w:p>
    <w:p w14:paraId="42BA00E6" w14:textId="77777777" w:rsidR="00FF6DFF" w:rsidRPr="00B74270" w:rsidRDefault="00FF6DFF" w:rsidP="00FF6DFF">
      <w:pPr>
        <w:pStyle w:val="ListParagraph"/>
        <w:ind w:left="360"/>
        <w:rPr>
          <w:rFonts w:ascii="Arial" w:hAnsi="Arial" w:cs="Arial"/>
          <w:sz w:val="24"/>
          <w:szCs w:val="24"/>
        </w:rPr>
      </w:pPr>
    </w:p>
    <w:p w14:paraId="74C14B2C" w14:textId="77777777" w:rsidR="00FF6DFF" w:rsidRPr="00B74270" w:rsidRDefault="00FF6DFF" w:rsidP="00FF6DFF">
      <w:pPr>
        <w:pStyle w:val="Heading1"/>
        <w:jc w:val="both"/>
        <w:rPr>
          <w:rFonts w:ascii="Arial" w:hAnsi="Arial" w:cs="Arial"/>
          <w:sz w:val="24"/>
          <w:szCs w:val="24"/>
        </w:rPr>
      </w:pPr>
      <w:bookmarkStart w:id="5" w:name="_Toc22326976"/>
      <w:r w:rsidRPr="00B74270">
        <w:rPr>
          <w:rFonts w:ascii="Arial" w:hAnsi="Arial" w:cs="Arial"/>
          <w:sz w:val="24"/>
          <w:szCs w:val="24"/>
        </w:rPr>
        <w:t>COMESA SECRETARIAT CONCEPTUAL FRAMEWORK OF CAPACITY BUILDING</w:t>
      </w:r>
      <w:bookmarkEnd w:id="5"/>
    </w:p>
    <w:p w14:paraId="366DCC19" w14:textId="77777777" w:rsidR="00FF6DFF" w:rsidRPr="00B74270" w:rsidRDefault="00FF6DFF" w:rsidP="00FF6DFF">
      <w:pPr>
        <w:pStyle w:val="ListParagraph"/>
        <w:rPr>
          <w:rFonts w:ascii="Arial" w:hAnsi="Arial" w:cs="Arial"/>
          <w:sz w:val="24"/>
          <w:szCs w:val="24"/>
        </w:rPr>
      </w:pPr>
    </w:p>
    <w:p w14:paraId="2D3BB153" w14:textId="77777777" w:rsidR="00FF6DFF" w:rsidRPr="00B74270" w:rsidRDefault="00FF6DFF" w:rsidP="00FF6DFF">
      <w:pPr>
        <w:pStyle w:val="ListParagraph"/>
        <w:numPr>
          <w:ilvl w:val="0"/>
          <w:numId w:val="6"/>
        </w:numPr>
        <w:contextualSpacing/>
        <w:jc w:val="both"/>
        <w:rPr>
          <w:rFonts w:ascii="Arial" w:hAnsi="Arial" w:cs="Arial"/>
          <w:sz w:val="24"/>
          <w:szCs w:val="24"/>
        </w:rPr>
      </w:pPr>
      <w:r w:rsidRPr="00B74270">
        <w:rPr>
          <w:rFonts w:ascii="Arial" w:hAnsi="Arial" w:cs="Arial"/>
          <w:sz w:val="24"/>
          <w:szCs w:val="24"/>
        </w:rPr>
        <w:t xml:space="preserve">COMESA subscribes to the UNDP capacity development framework, where capacity development is seen as a process through which individuals, organizations and societies obtain, strengthen and maintain the capabilities to set and achieve their own development objectives over time. An essential ingredient in the UNDP capacity development approach is transformation. For an activity to meet the standard of capacity development as practiced and promoted by UNDP, it must bring about transformation that is generated and sustained over time from within. Transformation of this kind goes beyond performing tasks; </w:t>
      </w:r>
      <w:proofErr w:type="gramStart"/>
      <w:r w:rsidRPr="00B74270">
        <w:rPr>
          <w:rFonts w:ascii="Arial" w:hAnsi="Arial" w:cs="Arial"/>
          <w:sz w:val="24"/>
          <w:szCs w:val="24"/>
        </w:rPr>
        <w:t>instead,  it</w:t>
      </w:r>
      <w:proofErr w:type="gramEnd"/>
      <w:r w:rsidRPr="00B74270">
        <w:rPr>
          <w:rFonts w:ascii="Arial" w:hAnsi="Arial" w:cs="Arial"/>
          <w:sz w:val="24"/>
          <w:szCs w:val="24"/>
        </w:rPr>
        <w:t xml:space="preserve"> is more a matter of changing mindsets and attitudes. </w:t>
      </w:r>
    </w:p>
    <w:p w14:paraId="660E999D" w14:textId="77777777" w:rsidR="00FF6DFF" w:rsidRPr="00B74270" w:rsidRDefault="00FF6DFF" w:rsidP="00FF6DFF">
      <w:pPr>
        <w:pStyle w:val="ListParagraph"/>
        <w:jc w:val="both"/>
        <w:rPr>
          <w:rFonts w:ascii="Arial" w:hAnsi="Arial" w:cs="Arial"/>
          <w:sz w:val="24"/>
          <w:szCs w:val="24"/>
        </w:rPr>
      </w:pPr>
    </w:p>
    <w:p w14:paraId="5927FB6B" w14:textId="77777777" w:rsidR="00FF6DFF" w:rsidRPr="00B74270" w:rsidRDefault="00FF6DFF" w:rsidP="00FF6DFF">
      <w:pPr>
        <w:pStyle w:val="ListParagraph"/>
        <w:numPr>
          <w:ilvl w:val="0"/>
          <w:numId w:val="6"/>
        </w:numPr>
        <w:contextualSpacing/>
        <w:jc w:val="both"/>
        <w:rPr>
          <w:rFonts w:ascii="Arial" w:hAnsi="Arial" w:cs="Arial"/>
          <w:sz w:val="24"/>
          <w:szCs w:val="24"/>
        </w:rPr>
      </w:pPr>
      <w:r w:rsidRPr="00B74270">
        <w:rPr>
          <w:rFonts w:ascii="Arial" w:hAnsi="Arial" w:cs="Arial"/>
          <w:sz w:val="24"/>
          <w:szCs w:val="24"/>
        </w:rPr>
        <w:t>Based on this conceptual framework, COMESA has aligned its rules and procedures to international standards. This is illustrated by its eligibility for: -</w:t>
      </w:r>
    </w:p>
    <w:p w14:paraId="6DE51A79" w14:textId="77777777" w:rsidR="00FF6DFF" w:rsidRPr="00B74270" w:rsidRDefault="00FF6DFF" w:rsidP="00FF6DFF">
      <w:pPr>
        <w:pStyle w:val="ListParagraph"/>
        <w:rPr>
          <w:rFonts w:ascii="Arial" w:hAnsi="Arial" w:cs="Arial"/>
          <w:sz w:val="24"/>
          <w:szCs w:val="24"/>
        </w:rPr>
      </w:pPr>
    </w:p>
    <w:p w14:paraId="093595A9" w14:textId="77777777" w:rsidR="00FF6DFF" w:rsidRPr="00B74270" w:rsidRDefault="00FF6DFF" w:rsidP="00FF6DFF">
      <w:pPr>
        <w:pStyle w:val="ListParagraph"/>
        <w:numPr>
          <w:ilvl w:val="0"/>
          <w:numId w:val="11"/>
        </w:numPr>
        <w:contextualSpacing/>
        <w:jc w:val="both"/>
        <w:rPr>
          <w:rFonts w:ascii="Arial" w:hAnsi="Arial" w:cs="Arial"/>
          <w:sz w:val="24"/>
          <w:szCs w:val="24"/>
        </w:rPr>
      </w:pPr>
      <w:r w:rsidRPr="00B74270">
        <w:rPr>
          <w:rFonts w:ascii="Arial" w:hAnsi="Arial" w:cs="Arial"/>
          <w:sz w:val="24"/>
          <w:szCs w:val="24"/>
        </w:rPr>
        <w:t>For indirect management of EU grants in the form of Contribution Agreements and now PAGODA; and</w:t>
      </w:r>
    </w:p>
    <w:p w14:paraId="67BB380D" w14:textId="77777777" w:rsidR="00FF6DFF" w:rsidRPr="00B74270" w:rsidRDefault="00FF6DFF" w:rsidP="00FF6DFF">
      <w:pPr>
        <w:pStyle w:val="ListParagraph"/>
        <w:numPr>
          <w:ilvl w:val="0"/>
          <w:numId w:val="11"/>
        </w:numPr>
        <w:contextualSpacing/>
        <w:jc w:val="both"/>
        <w:rPr>
          <w:rFonts w:ascii="Arial" w:hAnsi="Arial" w:cs="Arial"/>
          <w:sz w:val="24"/>
          <w:szCs w:val="24"/>
        </w:rPr>
      </w:pPr>
      <w:r w:rsidRPr="00B74270">
        <w:rPr>
          <w:rFonts w:ascii="Arial" w:hAnsi="Arial" w:cs="Arial"/>
          <w:sz w:val="24"/>
          <w:szCs w:val="24"/>
        </w:rPr>
        <w:t>Using its own rules in the management of USAID grant resources.</w:t>
      </w:r>
    </w:p>
    <w:p w14:paraId="14624BC1" w14:textId="77777777" w:rsidR="00FF6DFF" w:rsidRPr="00B74270" w:rsidRDefault="00FF6DFF" w:rsidP="00FF6DFF">
      <w:pPr>
        <w:pStyle w:val="ListParagraph"/>
        <w:rPr>
          <w:rFonts w:ascii="Arial" w:hAnsi="Arial" w:cs="Arial"/>
          <w:sz w:val="24"/>
          <w:szCs w:val="24"/>
        </w:rPr>
      </w:pPr>
    </w:p>
    <w:p w14:paraId="1A00D659" w14:textId="77777777" w:rsidR="00FF6DFF" w:rsidRPr="00B74270" w:rsidRDefault="00FF6DFF" w:rsidP="00FF6DFF">
      <w:pPr>
        <w:pStyle w:val="ListParagraph"/>
        <w:numPr>
          <w:ilvl w:val="0"/>
          <w:numId w:val="6"/>
        </w:numPr>
        <w:contextualSpacing/>
        <w:jc w:val="both"/>
        <w:rPr>
          <w:rFonts w:ascii="Arial" w:hAnsi="Arial" w:cs="Arial"/>
          <w:sz w:val="24"/>
          <w:szCs w:val="24"/>
        </w:rPr>
      </w:pPr>
      <w:r w:rsidRPr="00B74270">
        <w:rPr>
          <w:rFonts w:ascii="Arial" w:hAnsi="Arial" w:cs="Arial"/>
          <w:sz w:val="24"/>
          <w:szCs w:val="24"/>
        </w:rPr>
        <w:t xml:space="preserve">COMESA rules and procedures </w:t>
      </w:r>
      <w:proofErr w:type="gramStart"/>
      <w:r w:rsidRPr="00B74270">
        <w:rPr>
          <w:rFonts w:ascii="Arial" w:hAnsi="Arial" w:cs="Arial"/>
          <w:sz w:val="24"/>
          <w:szCs w:val="24"/>
        </w:rPr>
        <w:t>are seen as</w:t>
      </w:r>
      <w:proofErr w:type="gramEnd"/>
      <w:r w:rsidRPr="00B74270">
        <w:rPr>
          <w:rFonts w:ascii="Arial" w:hAnsi="Arial" w:cs="Arial"/>
          <w:sz w:val="24"/>
          <w:szCs w:val="24"/>
        </w:rPr>
        <w:t xml:space="preserve"> providing protection to donor funds, which is equivalent to protection afforded by donor’s own rules and procedures.</w:t>
      </w:r>
    </w:p>
    <w:p w14:paraId="2D2BE6C1" w14:textId="77777777" w:rsidR="00FF6DFF" w:rsidRPr="00B74270" w:rsidRDefault="00FF6DFF" w:rsidP="00FF6DFF">
      <w:pPr>
        <w:pStyle w:val="ListParagraph"/>
        <w:jc w:val="both"/>
        <w:rPr>
          <w:rFonts w:ascii="Arial" w:hAnsi="Arial" w:cs="Arial"/>
          <w:sz w:val="24"/>
          <w:szCs w:val="24"/>
        </w:rPr>
      </w:pPr>
    </w:p>
    <w:p w14:paraId="08404C77" w14:textId="77777777" w:rsidR="00FF6DFF" w:rsidRPr="00B74270" w:rsidRDefault="00FF6DFF" w:rsidP="00FF6DFF">
      <w:pPr>
        <w:pStyle w:val="ListParagraph"/>
        <w:numPr>
          <w:ilvl w:val="0"/>
          <w:numId w:val="6"/>
        </w:numPr>
        <w:contextualSpacing/>
        <w:jc w:val="both"/>
        <w:rPr>
          <w:rFonts w:ascii="Arial" w:hAnsi="Arial" w:cs="Arial"/>
          <w:sz w:val="24"/>
          <w:szCs w:val="24"/>
        </w:rPr>
      </w:pPr>
      <w:r w:rsidRPr="00B74270">
        <w:rPr>
          <w:rFonts w:ascii="Arial" w:hAnsi="Arial" w:cs="Arial"/>
          <w:sz w:val="24"/>
          <w:szCs w:val="24"/>
        </w:rPr>
        <w:t xml:space="preserve">Beyond rules and </w:t>
      </w:r>
      <w:proofErr w:type="gramStart"/>
      <w:r w:rsidRPr="00B74270">
        <w:rPr>
          <w:rFonts w:ascii="Arial" w:hAnsi="Arial" w:cs="Arial"/>
          <w:sz w:val="24"/>
          <w:szCs w:val="24"/>
        </w:rPr>
        <w:t>procedures,  capacity</w:t>
      </w:r>
      <w:proofErr w:type="gramEnd"/>
      <w:r w:rsidRPr="00B74270">
        <w:rPr>
          <w:rFonts w:ascii="Arial" w:hAnsi="Arial" w:cs="Arial"/>
          <w:sz w:val="24"/>
          <w:szCs w:val="24"/>
        </w:rPr>
        <w:t xml:space="preserve"> development is about transformations that empower individuals, leaders, organizations and societies. If something does not lead to change that is generated, guided and sustained by those whom it is meant to benefit, then it cannot be said to have enhanced capacity, even if it has served a valid development purpose. </w:t>
      </w:r>
    </w:p>
    <w:p w14:paraId="25C2163F" w14:textId="77777777" w:rsidR="00FF6DFF" w:rsidRPr="00B74270" w:rsidRDefault="00FF6DFF" w:rsidP="00FF6DFF">
      <w:pPr>
        <w:pStyle w:val="ListParagraph"/>
        <w:rPr>
          <w:rFonts w:ascii="Arial" w:hAnsi="Arial" w:cs="Arial"/>
          <w:sz w:val="24"/>
          <w:szCs w:val="24"/>
        </w:rPr>
      </w:pPr>
    </w:p>
    <w:p w14:paraId="21DC3E63" w14:textId="77777777" w:rsidR="00FF6DFF" w:rsidRPr="00B74270" w:rsidRDefault="00FF6DFF" w:rsidP="00FF6DFF">
      <w:pPr>
        <w:pStyle w:val="ListParagraph"/>
        <w:rPr>
          <w:rFonts w:ascii="Arial" w:hAnsi="Arial" w:cs="Arial"/>
          <w:sz w:val="24"/>
          <w:szCs w:val="24"/>
        </w:rPr>
      </w:pPr>
    </w:p>
    <w:p w14:paraId="19522B18" w14:textId="77777777" w:rsidR="00FF6DFF" w:rsidRPr="00B74270" w:rsidRDefault="00FF6DFF" w:rsidP="00FF6DFF">
      <w:pPr>
        <w:pStyle w:val="ListParagraph"/>
        <w:numPr>
          <w:ilvl w:val="0"/>
          <w:numId w:val="6"/>
        </w:numPr>
        <w:contextualSpacing/>
        <w:jc w:val="both"/>
        <w:rPr>
          <w:rFonts w:ascii="Arial" w:hAnsi="Arial" w:cs="Arial"/>
          <w:sz w:val="24"/>
          <w:szCs w:val="24"/>
        </w:rPr>
      </w:pPr>
      <w:r w:rsidRPr="00B74270">
        <w:rPr>
          <w:rFonts w:ascii="Arial" w:hAnsi="Arial" w:cs="Arial"/>
          <w:sz w:val="24"/>
          <w:szCs w:val="24"/>
        </w:rPr>
        <w:t>Compare the examples below.</w:t>
      </w:r>
    </w:p>
    <w:p w14:paraId="004BE401" w14:textId="77777777" w:rsidR="00FF6DFF" w:rsidRPr="00B74270" w:rsidRDefault="00FF6DFF" w:rsidP="00FF6DFF">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888"/>
        <w:gridCol w:w="2927"/>
        <w:gridCol w:w="2815"/>
      </w:tblGrid>
      <w:tr w:rsidR="00FF6DFF" w:rsidRPr="00FF1CBB" w14:paraId="42206C41" w14:textId="77777777" w:rsidTr="00B457C3">
        <w:trPr>
          <w:tblHeader/>
        </w:trPr>
        <w:tc>
          <w:tcPr>
            <w:tcW w:w="3116" w:type="dxa"/>
            <w:shd w:val="clear" w:color="auto" w:fill="D9D9D9" w:themeFill="background1" w:themeFillShade="D9"/>
          </w:tcPr>
          <w:p w14:paraId="7A76BB3F"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lastRenderedPageBreak/>
              <w:t xml:space="preserve">CONVENTIONAL </w:t>
            </w:r>
            <w:proofErr w:type="gramStart"/>
            <w:r w:rsidRPr="00FF1CBB">
              <w:rPr>
                <w:rFonts w:ascii="Arial" w:hAnsi="Arial" w:cs="Arial"/>
                <w:sz w:val="20"/>
                <w:szCs w:val="20"/>
              </w:rPr>
              <w:t>APPROACH  TO</w:t>
            </w:r>
            <w:proofErr w:type="gramEnd"/>
            <w:r w:rsidRPr="00FF1CBB">
              <w:rPr>
                <w:rFonts w:ascii="Arial" w:hAnsi="Arial" w:cs="Arial"/>
                <w:sz w:val="20"/>
                <w:szCs w:val="20"/>
              </w:rPr>
              <w:t xml:space="preserve"> DEVELOPMENT </w:t>
            </w:r>
          </w:p>
          <w:p w14:paraId="37FA6BA1" w14:textId="77777777" w:rsidR="00FF6DFF" w:rsidRPr="00FF1CBB" w:rsidRDefault="00FF6DFF" w:rsidP="00B457C3">
            <w:pPr>
              <w:pStyle w:val="ListParagraph"/>
              <w:ind w:left="0"/>
              <w:jc w:val="both"/>
              <w:rPr>
                <w:rFonts w:ascii="Arial" w:hAnsi="Arial" w:cs="Arial"/>
                <w:sz w:val="20"/>
                <w:szCs w:val="20"/>
              </w:rPr>
            </w:pPr>
          </w:p>
        </w:tc>
        <w:tc>
          <w:tcPr>
            <w:tcW w:w="3117" w:type="dxa"/>
            <w:shd w:val="clear" w:color="auto" w:fill="D9D9D9" w:themeFill="background1" w:themeFillShade="D9"/>
          </w:tcPr>
          <w:p w14:paraId="1CFFDE93"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MOVING TO A CAPACITY </w:t>
            </w:r>
            <w:proofErr w:type="gramStart"/>
            <w:r w:rsidRPr="00FF1CBB">
              <w:rPr>
                <w:rFonts w:ascii="Arial" w:hAnsi="Arial" w:cs="Arial"/>
                <w:sz w:val="20"/>
                <w:szCs w:val="20"/>
              </w:rPr>
              <w:t>DEVELOPMENT  APPROACH</w:t>
            </w:r>
            <w:proofErr w:type="gramEnd"/>
            <w:r w:rsidRPr="00FF1CBB">
              <w:rPr>
                <w:rFonts w:ascii="Arial" w:hAnsi="Arial" w:cs="Arial"/>
                <w:sz w:val="20"/>
                <w:szCs w:val="20"/>
              </w:rPr>
              <w:t xml:space="preserve"> TO HUMAN DEVELOPMENT</w:t>
            </w:r>
          </w:p>
          <w:p w14:paraId="1F0A7423" w14:textId="77777777" w:rsidR="00FF6DFF" w:rsidRPr="00FF1CBB" w:rsidRDefault="00FF6DFF" w:rsidP="00B457C3">
            <w:pPr>
              <w:pStyle w:val="ListParagraph"/>
              <w:ind w:left="0"/>
              <w:jc w:val="both"/>
              <w:rPr>
                <w:rFonts w:ascii="Arial" w:hAnsi="Arial" w:cs="Arial"/>
                <w:sz w:val="20"/>
                <w:szCs w:val="20"/>
              </w:rPr>
            </w:pPr>
          </w:p>
        </w:tc>
        <w:tc>
          <w:tcPr>
            <w:tcW w:w="3117" w:type="dxa"/>
            <w:shd w:val="clear" w:color="auto" w:fill="D9D9D9" w:themeFill="background1" w:themeFillShade="D9"/>
          </w:tcPr>
          <w:p w14:paraId="6F16282C"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WHAT </w:t>
            </w:r>
            <w:proofErr w:type="gramStart"/>
            <w:r w:rsidRPr="00FF1CBB">
              <w:rPr>
                <w:rFonts w:ascii="Arial" w:hAnsi="Arial" w:cs="Arial"/>
                <w:sz w:val="20"/>
                <w:szCs w:val="20"/>
              </w:rPr>
              <w:t>DIFFERENCE  DOES</w:t>
            </w:r>
            <w:proofErr w:type="gramEnd"/>
            <w:r w:rsidRPr="00FF1CBB">
              <w:rPr>
                <w:rFonts w:ascii="Arial" w:hAnsi="Arial" w:cs="Arial"/>
                <w:sz w:val="20"/>
                <w:szCs w:val="20"/>
              </w:rPr>
              <w:t xml:space="preserve"> IT MAKE?</w:t>
            </w:r>
          </w:p>
          <w:p w14:paraId="4010086F" w14:textId="77777777" w:rsidR="00FF6DFF" w:rsidRPr="00FF1CBB" w:rsidRDefault="00FF6DFF" w:rsidP="00B457C3">
            <w:pPr>
              <w:pStyle w:val="ListParagraph"/>
              <w:ind w:left="0"/>
              <w:jc w:val="both"/>
              <w:rPr>
                <w:rFonts w:ascii="Arial" w:hAnsi="Arial" w:cs="Arial"/>
                <w:sz w:val="20"/>
                <w:szCs w:val="20"/>
              </w:rPr>
            </w:pPr>
          </w:p>
        </w:tc>
      </w:tr>
      <w:tr w:rsidR="00FF6DFF" w:rsidRPr="00FF1CBB" w14:paraId="45C205C9" w14:textId="77777777" w:rsidTr="00B457C3">
        <w:tc>
          <w:tcPr>
            <w:tcW w:w="3116" w:type="dxa"/>
          </w:tcPr>
          <w:p w14:paraId="70E5E2F6"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Training in how to use the </w:t>
            </w:r>
            <w:proofErr w:type="gramStart"/>
            <w:r w:rsidRPr="00FF1CBB">
              <w:rPr>
                <w:rFonts w:ascii="Arial" w:hAnsi="Arial" w:cs="Arial"/>
                <w:sz w:val="20"/>
                <w:szCs w:val="20"/>
              </w:rPr>
              <w:t>latest  technology</w:t>
            </w:r>
            <w:proofErr w:type="gramEnd"/>
            <w:r w:rsidRPr="00FF1CBB">
              <w:rPr>
                <w:rFonts w:ascii="Arial" w:hAnsi="Arial" w:cs="Arial"/>
                <w:sz w:val="20"/>
                <w:szCs w:val="20"/>
              </w:rPr>
              <w:t xml:space="preserve"> available on the market </w:t>
            </w:r>
          </w:p>
          <w:p w14:paraId="3E40E00B" w14:textId="77777777" w:rsidR="00FF6DFF" w:rsidRPr="00FF1CBB" w:rsidRDefault="00FF6DFF" w:rsidP="00B457C3">
            <w:pPr>
              <w:pStyle w:val="ListParagraph"/>
              <w:ind w:left="0"/>
              <w:jc w:val="both"/>
              <w:rPr>
                <w:rFonts w:ascii="Arial" w:hAnsi="Arial" w:cs="Arial"/>
                <w:sz w:val="20"/>
                <w:szCs w:val="20"/>
              </w:rPr>
            </w:pPr>
          </w:p>
        </w:tc>
        <w:tc>
          <w:tcPr>
            <w:tcW w:w="3117" w:type="dxa"/>
          </w:tcPr>
          <w:p w14:paraId="59DFD665"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Training, as an integral part of a comprehensive programme addressing capacity issues, on how to use the most readily available technology best suited to the organization’s goals embedded in a personnel development plan; with build-in incentives to apply the new skills; empowering/enabling trainees to train others in using the technology; clearly articulating the benefits to personnel development and the linkage of personal performance to team performance and overall organizational efficiency and ability to </w:t>
            </w:r>
            <w:proofErr w:type="spellStart"/>
            <w:r w:rsidRPr="00FF1CBB">
              <w:rPr>
                <w:rFonts w:ascii="Arial" w:hAnsi="Arial" w:cs="Arial"/>
                <w:sz w:val="20"/>
                <w:szCs w:val="20"/>
              </w:rPr>
              <w:t>fulfill</w:t>
            </w:r>
            <w:proofErr w:type="spellEnd"/>
            <w:r w:rsidRPr="00FF1CBB">
              <w:rPr>
                <w:rFonts w:ascii="Arial" w:hAnsi="Arial" w:cs="Arial"/>
                <w:sz w:val="20"/>
                <w:szCs w:val="20"/>
              </w:rPr>
              <w:t xml:space="preserve"> its mandate</w:t>
            </w:r>
          </w:p>
          <w:p w14:paraId="7B30B6B5" w14:textId="77777777" w:rsidR="00FF6DFF" w:rsidRPr="00FF1CBB" w:rsidRDefault="00FF6DFF" w:rsidP="00B457C3">
            <w:pPr>
              <w:pStyle w:val="ListParagraph"/>
              <w:ind w:left="0"/>
              <w:jc w:val="both"/>
              <w:rPr>
                <w:rFonts w:ascii="Arial" w:hAnsi="Arial" w:cs="Arial"/>
                <w:sz w:val="20"/>
                <w:szCs w:val="20"/>
              </w:rPr>
            </w:pPr>
          </w:p>
        </w:tc>
        <w:tc>
          <w:tcPr>
            <w:tcW w:w="3117" w:type="dxa"/>
          </w:tcPr>
          <w:p w14:paraId="16DE2BAD"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No stand alone, one-off interventions; new skills and competences developed responding to specific (individual and organizational) needs; incentives to apply the newly acquired skills and improve workplace performance; learning strategies to address future training needs; personnel development recognized as a necessary means to improve organizational performance</w:t>
            </w:r>
          </w:p>
          <w:p w14:paraId="643E514E" w14:textId="77777777" w:rsidR="00FF6DFF" w:rsidRPr="00FF1CBB" w:rsidRDefault="00FF6DFF" w:rsidP="00B457C3">
            <w:pPr>
              <w:pStyle w:val="ListParagraph"/>
              <w:ind w:left="0"/>
              <w:jc w:val="both"/>
              <w:rPr>
                <w:rFonts w:ascii="Arial" w:hAnsi="Arial" w:cs="Arial"/>
                <w:sz w:val="20"/>
                <w:szCs w:val="20"/>
              </w:rPr>
            </w:pPr>
          </w:p>
        </w:tc>
      </w:tr>
      <w:tr w:rsidR="00FF6DFF" w:rsidRPr="00FF1CBB" w14:paraId="66910F1A" w14:textId="77777777" w:rsidTr="00B457C3">
        <w:tc>
          <w:tcPr>
            <w:tcW w:w="3116" w:type="dxa"/>
          </w:tcPr>
          <w:p w14:paraId="3F64D1CD"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A foreign expert hired to work in a</w:t>
            </w:r>
            <w:r>
              <w:rPr>
                <w:rFonts w:ascii="Arial" w:hAnsi="Arial" w:cs="Arial"/>
                <w:sz w:val="20"/>
                <w:szCs w:val="20"/>
              </w:rPr>
              <w:t xml:space="preserve">n organisation </w:t>
            </w:r>
            <w:r w:rsidRPr="00FF1CBB">
              <w:rPr>
                <w:rFonts w:ascii="Arial" w:hAnsi="Arial" w:cs="Arial"/>
                <w:sz w:val="20"/>
                <w:szCs w:val="20"/>
              </w:rPr>
              <w:t>to perform needed functions (gap filling)</w:t>
            </w:r>
          </w:p>
          <w:p w14:paraId="19D180E3" w14:textId="77777777" w:rsidR="00FF6DFF" w:rsidRPr="00FF1CBB" w:rsidRDefault="00FF6DFF" w:rsidP="00B457C3">
            <w:pPr>
              <w:jc w:val="both"/>
              <w:rPr>
                <w:rFonts w:ascii="Arial" w:hAnsi="Arial" w:cs="Arial"/>
                <w:sz w:val="20"/>
                <w:szCs w:val="20"/>
              </w:rPr>
            </w:pPr>
          </w:p>
        </w:tc>
        <w:tc>
          <w:tcPr>
            <w:tcW w:w="3117" w:type="dxa"/>
          </w:tcPr>
          <w:p w14:paraId="154A4F05"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A foreign expert who coaches local staff in </w:t>
            </w:r>
            <w:r>
              <w:rPr>
                <w:rFonts w:ascii="Arial" w:hAnsi="Arial" w:cs="Arial"/>
                <w:sz w:val="20"/>
                <w:szCs w:val="20"/>
              </w:rPr>
              <w:t xml:space="preserve">an organisation </w:t>
            </w:r>
            <w:r w:rsidRPr="00FF1CBB">
              <w:rPr>
                <w:rFonts w:ascii="Arial" w:hAnsi="Arial" w:cs="Arial"/>
                <w:sz w:val="20"/>
                <w:szCs w:val="20"/>
              </w:rPr>
              <w:t xml:space="preserve">for a limited </w:t>
            </w:r>
            <w:proofErr w:type="gramStart"/>
            <w:r w:rsidRPr="00FF1CBB">
              <w:rPr>
                <w:rFonts w:ascii="Arial" w:hAnsi="Arial" w:cs="Arial"/>
                <w:sz w:val="20"/>
                <w:szCs w:val="20"/>
              </w:rPr>
              <w:t>period of time</w:t>
            </w:r>
            <w:proofErr w:type="gramEnd"/>
            <w:r w:rsidRPr="00FF1CBB">
              <w:rPr>
                <w:rFonts w:ascii="Arial" w:hAnsi="Arial" w:cs="Arial"/>
                <w:sz w:val="20"/>
                <w:szCs w:val="20"/>
              </w:rPr>
              <w:t>. Institutional twinning, coaching and mentoring programmes are integral parts of the public service</w:t>
            </w:r>
          </w:p>
          <w:p w14:paraId="5EC64264" w14:textId="77777777" w:rsidR="00FF6DFF" w:rsidRPr="00FF1CBB" w:rsidRDefault="00FF6DFF" w:rsidP="00B457C3">
            <w:pPr>
              <w:jc w:val="both"/>
              <w:rPr>
                <w:rFonts w:ascii="Arial" w:hAnsi="Arial" w:cs="Arial"/>
                <w:sz w:val="20"/>
                <w:szCs w:val="20"/>
              </w:rPr>
            </w:pPr>
          </w:p>
        </w:tc>
        <w:tc>
          <w:tcPr>
            <w:tcW w:w="3117" w:type="dxa"/>
          </w:tcPr>
          <w:p w14:paraId="76EDCC6B"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Transfer of knowledge and expertise, independence from </w:t>
            </w:r>
            <w:proofErr w:type="gramStart"/>
            <w:r w:rsidRPr="00FF1CBB">
              <w:rPr>
                <w:rFonts w:ascii="Arial" w:hAnsi="Arial" w:cs="Arial"/>
                <w:sz w:val="20"/>
                <w:szCs w:val="20"/>
              </w:rPr>
              <w:t>outside  expertise</w:t>
            </w:r>
            <w:proofErr w:type="gramEnd"/>
            <w:r w:rsidRPr="00FF1CBB">
              <w:rPr>
                <w:rFonts w:ascii="Arial" w:hAnsi="Arial" w:cs="Arial"/>
                <w:sz w:val="20"/>
                <w:szCs w:val="20"/>
              </w:rPr>
              <w:t xml:space="preserve"> in the long-run,  personnel development</w:t>
            </w:r>
          </w:p>
          <w:p w14:paraId="1BC819C3" w14:textId="77777777" w:rsidR="00FF6DFF" w:rsidRPr="00FF1CBB" w:rsidRDefault="00FF6DFF" w:rsidP="00B457C3">
            <w:pPr>
              <w:jc w:val="both"/>
              <w:rPr>
                <w:rFonts w:ascii="Arial" w:hAnsi="Arial" w:cs="Arial"/>
                <w:sz w:val="20"/>
                <w:szCs w:val="20"/>
              </w:rPr>
            </w:pPr>
          </w:p>
        </w:tc>
      </w:tr>
      <w:tr w:rsidR="00FF6DFF" w:rsidRPr="00FF1CBB" w14:paraId="330D1594" w14:textId="77777777" w:rsidTr="00B457C3">
        <w:tc>
          <w:tcPr>
            <w:tcW w:w="3116" w:type="dxa"/>
          </w:tcPr>
          <w:p w14:paraId="65FD3A4D"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A project team provided by an international donor, housed within a local body but reporting to and using the mechanisms of the donor </w:t>
            </w:r>
          </w:p>
          <w:p w14:paraId="3EB27E5B" w14:textId="77777777" w:rsidR="00FF6DFF" w:rsidRPr="00FF1CBB" w:rsidRDefault="00FF6DFF" w:rsidP="00B457C3">
            <w:pPr>
              <w:jc w:val="both"/>
              <w:rPr>
                <w:rFonts w:ascii="Arial" w:hAnsi="Arial" w:cs="Arial"/>
                <w:sz w:val="20"/>
                <w:szCs w:val="20"/>
              </w:rPr>
            </w:pPr>
          </w:p>
        </w:tc>
        <w:tc>
          <w:tcPr>
            <w:tcW w:w="3117" w:type="dxa"/>
          </w:tcPr>
          <w:p w14:paraId="60A62F7D"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A project team funded by an international donor (with local contracts issued by local body), within COMESA Secretariat local mechanisms to implement the project, with a clear strategy to strengthen the capacities of the system and ideally move towards complete integration within the Secretariat (inclusion in budget, establishment of posts, enrolment on payroll, etc)</w:t>
            </w:r>
          </w:p>
        </w:tc>
        <w:tc>
          <w:tcPr>
            <w:tcW w:w="3117" w:type="dxa"/>
          </w:tcPr>
          <w:p w14:paraId="6278C4B8"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No separate parallel system but integral to exiting system consequently strengthening the capacity of the national/local system to manage similar tasks (project) in the future as part of their mandate and day-to-day work</w:t>
            </w:r>
          </w:p>
          <w:p w14:paraId="4E1FBFC7" w14:textId="77777777" w:rsidR="00FF6DFF" w:rsidRPr="00FF1CBB" w:rsidRDefault="00FF6DFF" w:rsidP="00B457C3">
            <w:pPr>
              <w:jc w:val="both"/>
              <w:rPr>
                <w:rFonts w:ascii="Arial" w:hAnsi="Arial" w:cs="Arial"/>
                <w:sz w:val="20"/>
                <w:szCs w:val="20"/>
              </w:rPr>
            </w:pPr>
          </w:p>
        </w:tc>
      </w:tr>
      <w:tr w:rsidR="00FF6DFF" w:rsidRPr="00FF1CBB" w14:paraId="4BF200A8" w14:textId="77777777" w:rsidTr="00B457C3">
        <w:tc>
          <w:tcPr>
            <w:tcW w:w="3116" w:type="dxa"/>
          </w:tcPr>
          <w:p w14:paraId="180191E7"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A donor agency procuring/providing goods and services from international market on behalf of Secretariat </w:t>
            </w:r>
          </w:p>
          <w:p w14:paraId="0F471B2B" w14:textId="77777777" w:rsidR="00FF6DFF" w:rsidRPr="00FF1CBB" w:rsidRDefault="00FF6DFF" w:rsidP="00B457C3">
            <w:pPr>
              <w:jc w:val="both"/>
              <w:rPr>
                <w:rFonts w:ascii="Arial" w:hAnsi="Arial" w:cs="Arial"/>
                <w:sz w:val="20"/>
                <w:szCs w:val="20"/>
              </w:rPr>
            </w:pPr>
          </w:p>
        </w:tc>
        <w:tc>
          <w:tcPr>
            <w:tcW w:w="3117" w:type="dxa"/>
          </w:tcPr>
          <w:p w14:paraId="35EA08B4"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Support the establishment of a procurement process that is transparent, accountable and responsive to COMESA Secretariat needs and uses COMESA Secretariat systems</w:t>
            </w:r>
          </w:p>
          <w:p w14:paraId="6E5CB130" w14:textId="77777777" w:rsidR="00FF6DFF" w:rsidRPr="00FF1CBB" w:rsidRDefault="00FF6DFF" w:rsidP="00B457C3">
            <w:pPr>
              <w:jc w:val="both"/>
              <w:rPr>
                <w:rFonts w:ascii="Arial" w:hAnsi="Arial" w:cs="Arial"/>
                <w:sz w:val="20"/>
                <w:szCs w:val="20"/>
              </w:rPr>
            </w:pPr>
          </w:p>
        </w:tc>
        <w:tc>
          <w:tcPr>
            <w:tcW w:w="3117" w:type="dxa"/>
          </w:tcPr>
          <w:p w14:paraId="7506696F" w14:textId="77777777" w:rsidR="00FF6DFF" w:rsidRPr="00FF1CBB" w:rsidRDefault="00FF6DFF" w:rsidP="00B457C3">
            <w:pPr>
              <w:jc w:val="both"/>
              <w:rPr>
                <w:rFonts w:ascii="Arial" w:hAnsi="Arial" w:cs="Arial"/>
                <w:sz w:val="20"/>
                <w:szCs w:val="20"/>
              </w:rPr>
            </w:pPr>
            <w:r w:rsidRPr="00FF1CBB">
              <w:rPr>
                <w:rFonts w:ascii="Arial" w:hAnsi="Arial" w:cs="Arial"/>
                <w:sz w:val="20"/>
                <w:szCs w:val="20"/>
              </w:rPr>
              <w:t xml:space="preserve">Development of COMESA Secretariat procurement system that is effective and </w:t>
            </w:r>
            <w:proofErr w:type="gramStart"/>
            <w:r w:rsidRPr="00FF1CBB">
              <w:rPr>
                <w:rFonts w:ascii="Arial" w:hAnsi="Arial" w:cs="Arial"/>
                <w:sz w:val="20"/>
                <w:szCs w:val="20"/>
              </w:rPr>
              <w:t>meets  international</w:t>
            </w:r>
            <w:proofErr w:type="gramEnd"/>
            <w:r w:rsidRPr="00FF1CBB">
              <w:rPr>
                <w:rFonts w:ascii="Arial" w:hAnsi="Arial" w:cs="Arial"/>
                <w:sz w:val="20"/>
                <w:szCs w:val="20"/>
              </w:rPr>
              <w:t xml:space="preserve"> standards</w:t>
            </w:r>
          </w:p>
          <w:p w14:paraId="1207AFDA" w14:textId="77777777" w:rsidR="00FF6DFF" w:rsidRPr="00FF1CBB" w:rsidRDefault="00FF6DFF" w:rsidP="00B457C3">
            <w:pPr>
              <w:jc w:val="both"/>
              <w:rPr>
                <w:rFonts w:ascii="Arial" w:hAnsi="Arial" w:cs="Arial"/>
                <w:sz w:val="20"/>
                <w:szCs w:val="20"/>
              </w:rPr>
            </w:pPr>
          </w:p>
        </w:tc>
      </w:tr>
    </w:tbl>
    <w:p w14:paraId="1E100B4B" w14:textId="77777777" w:rsidR="00FF6DFF" w:rsidRPr="00B74270" w:rsidRDefault="00FF6DFF" w:rsidP="00FF6DFF">
      <w:pPr>
        <w:rPr>
          <w:rFonts w:ascii="Arial" w:hAnsi="Arial" w:cs="Arial"/>
          <w:sz w:val="24"/>
          <w:szCs w:val="24"/>
        </w:rPr>
      </w:pPr>
    </w:p>
    <w:p w14:paraId="688E030D" w14:textId="77777777" w:rsidR="00FF6DFF" w:rsidRPr="00B74270" w:rsidRDefault="00FF6DFF" w:rsidP="00FF6DFF">
      <w:pPr>
        <w:rPr>
          <w:rFonts w:ascii="Arial" w:hAnsi="Arial" w:cs="Arial"/>
          <w:b/>
          <w:sz w:val="24"/>
          <w:szCs w:val="24"/>
        </w:rPr>
        <w:sectPr w:rsidR="00FF6DFF" w:rsidRPr="00B74270">
          <w:pgSz w:w="12240" w:h="15840"/>
          <w:pgMar w:top="1440" w:right="1440" w:bottom="1440" w:left="1440" w:header="720" w:footer="720" w:gutter="0"/>
          <w:cols w:space="720"/>
          <w:docGrid w:linePitch="360"/>
        </w:sectPr>
      </w:pPr>
    </w:p>
    <w:p w14:paraId="2B17FC84" w14:textId="77777777" w:rsidR="00FF6DFF" w:rsidRPr="00B74270" w:rsidRDefault="00FF6DFF" w:rsidP="00FF6DFF">
      <w:pPr>
        <w:pStyle w:val="Heading1"/>
        <w:rPr>
          <w:rFonts w:ascii="Arial" w:hAnsi="Arial" w:cs="Arial"/>
          <w:sz w:val="24"/>
          <w:szCs w:val="24"/>
        </w:rPr>
      </w:pPr>
      <w:bookmarkStart w:id="6" w:name="_Toc22326977"/>
      <w:r w:rsidRPr="00B74270">
        <w:rPr>
          <w:rFonts w:ascii="Arial" w:hAnsi="Arial" w:cs="Arial"/>
          <w:sz w:val="24"/>
          <w:szCs w:val="24"/>
        </w:rPr>
        <w:lastRenderedPageBreak/>
        <w:t>AREAS IDENTIFIED IN THE CAPACITY BUILDING PROGRAMME UNDER DEVELOPMENT</w:t>
      </w:r>
      <w:bookmarkEnd w:id="6"/>
      <w:r w:rsidRPr="00B74270">
        <w:rPr>
          <w:rFonts w:ascii="Arial" w:hAnsi="Arial" w:cs="Arial"/>
          <w:sz w:val="24"/>
          <w:szCs w:val="24"/>
        </w:rPr>
        <w:t xml:space="preserve"> </w:t>
      </w:r>
    </w:p>
    <w:p w14:paraId="523F11EB" w14:textId="77777777" w:rsidR="00FF6DFF" w:rsidRPr="00B74270" w:rsidRDefault="00FF6DFF" w:rsidP="00FF6DFF">
      <w:pPr>
        <w:rPr>
          <w:rFonts w:ascii="Arial" w:hAnsi="Arial" w:cs="Arial"/>
          <w:b/>
          <w:i/>
          <w:sz w:val="24"/>
          <w:szCs w:val="24"/>
        </w:rPr>
      </w:pPr>
      <w:r w:rsidRPr="00B74270">
        <w:rPr>
          <w:rFonts w:ascii="Arial" w:hAnsi="Arial" w:cs="Arial"/>
          <w:b/>
          <w:i/>
          <w:sz w:val="24"/>
          <w:szCs w:val="24"/>
        </w:rPr>
        <w:t>(SOURCE: DRAFT INTERIM REPORT – ENHANCED CAPACITY OF THE COMESA SECRETARIAT AND MEMBER STATES, INCLUDING PRIVATE SECTOR TO DEEPEN REGIONAL INTEGRATION)</w:t>
      </w:r>
    </w:p>
    <w:p w14:paraId="589F4687" w14:textId="77777777" w:rsidR="00FF6DFF" w:rsidRPr="00B74270" w:rsidRDefault="00FF6DFF" w:rsidP="00FF6DFF">
      <w:pPr>
        <w:rPr>
          <w:rFonts w:ascii="Arial" w:hAnsi="Arial" w:cs="Arial"/>
          <w:b/>
          <w:i/>
          <w:sz w:val="24"/>
          <w:szCs w:val="24"/>
        </w:rPr>
      </w:pPr>
    </w:p>
    <w:p w14:paraId="716180EE" w14:textId="77777777" w:rsidR="00FF6DFF" w:rsidRPr="00B74270" w:rsidRDefault="00FF6DFF" w:rsidP="00FF6DFF">
      <w:pPr>
        <w:pStyle w:val="Heading2"/>
        <w:rPr>
          <w:rFonts w:ascii="Arial" w:hAnsi="Arial" w:cs="Arial"/>
          <w:sz w:val="24"/>
          <w:szCs w:val="24"/>
        </w:rPr>
      </w:pPr>
      <w:bookmarkStart w:id="7" w:name="_Toc22326978"/>
      <w:r w:rsidRPr="00B74270">
        <w:rPr>
          <w:rFonts w:ascii="Arial" w:hAnsi="Arial" w:cs="Arial"/>
          <w:sz w:val="24"/>
          <w:szCs w:val="24"/>
        </w:rPr>
        <w:t xml:space="preserve">Specific </w:t>
      </w:r>
      <w:r>
        <w:rPr>
          <w:rFonts w:ascii="Arial" w:hAnsi="Arial" w:cs="Arial"/>
          <w:sz w:val="24"/>
          <w:szCs w:val="24"/>
        </w:rPr>
        <w:t xml:space="preserve">institutional capacity building </w:t>
      </w:r>
      <w:r w:rsidRPr="00B74270">
        <w:rPr>
          <w:rFonts w:ascii="Arial" w:hAnsi="Arial" w:cs="Arial"/>
          <w:sz w:val="24"/>
          <w:szCs w:val="24"/>
        </w:rPr>
        <w:t>areas</w:t>
      </w:r>
      <w:bookmarkEnd w:id="7"/>
    </w:p>
    <w:p w14:paraId="449C2D23" w14:textId="77777777" w:rsidR="00FF6DFF" w:rsidRPr="00B74270" w:rsidRDefault="00FF6DFF" w:rsidP="00FF6DFF">
      <w:pPr>
        <w:rPr>
          <w:rFonts w:ascii="Arial" w:hAnsi="Arial" w:cs="Arial"/>
          <w:sz w:val="24"/>
          <w:szCs w:val="24"/>
        </w:rPr>
      </w:pPr>
    </w:p>
    <w:p w14:paraId="367C692A" w14:textId="77777777" w:rsidR="00FF6DFF" w:rsidRPr="00B74270" w:rsidRDefault="00FF6DFF" w:rsidP="00FF6DFF">
      <w:pPr>
        <w:rPr>
          <w:rFonts w:ascii="Arial" w:hAnsi="Arial" w:cs="Arial"/>
          <w:sz w:val="24"/>
          <w:szCs w:val="24"/>
        </w:rPr>
      </w:pPr>
      <w:r w:rsidRPr="00B74270">
        <w:rPr>
          <w:rFonts w:ascii="Arial" w:hAnsi="Arial" w:cs="Arial"/>
          <w:sz w:val="24"/>
          <w:szCs w:val="24"/>
        </w:rPr>
        <w:t>Detailed reviews carried out by the COMESA Secretariat regarding critical areas requiring capacity building are reported in Tables below. The reviews focused on the following issues: -</w:t>
      </w:r>
    </w:p>
    <w:p w14:paraId="5DDB34BE" w14:textId="77777777" w:rsidR="00FF6DFF" w:rsidRPr="00B74270" w:rsidRDefault="00FF6DFF" w:rsidP="00FF6DFF">
      <w:pPr>
        <w:rPr>
          <w:rFonts w:ascii="Arial" w:hAnsi="Arial" w:cs="Arial"/>
          <w:sz w:val="24"/>
          <w:szCs w:val="24"/>
        </w:rPr>
      </w:pPr>
    </w:p>
    <w:p w14:paraId="3D83379D" w14:textId="77777777" w:rsidR="00FF6DFF" w:rsidRPr="00B74270" w:rsidRDefault="00FF6DFF" w:rsidP="00FF6DFF">
      <w:pPr>
        <w:pStyle w:val="ListParagraph"/>
        <w:numPr>
          <w:ilvl w:val="0"/>
          <w:numId w:val="12"/>
        </w:numPr>
        <w:contextualSpacing/>
        <w:rPr>
          <w:rFonts w:ascii="Arial" w:hAnsi="Arial" w:cs="Arial"/>
          <w:sz w:val="24"/>
          <w:szCs w:val="24"/>
        </w:rPr>
      </w:pPr>
      <w:r w:rsidRPr="00B74270">
        <w:rPr>
          <w:rFonts w:ascii="Arial" w:hAnsi="Arial" w:cs="Arial"/>
          <w:sz w:val="24"/>
          <w:szCs w:val="24"/>
        </w:rPr>
        <w:t>Monitoring and evaluation</w:t>
      </w:r>
    </w:p>
    <w:p w14:paraId="6DF94CA9" w14:textId="77777777" w:rsidR="00FF6DFF" w:rsidRPr="00B74270" w:rsidRDefault="00FF6DFF" w:rsidP="00FF6DFF">
      <w:pPr>
        <w:pStyle w:val="ListParagraph"/>
        <w:numPr>
          <w:ilvl w:val="0"/>
          <w:numId w:val="12"/>
        </w:numPr>
        <w:contextualSpacing/>
        <w:rPr>
          <w:rFonts w:ascii="Arial" w:hAnsi="Arial" w:cs="Arial"/>
          <w:sz w:val="24"/>
          <w:szCs w:val="24"/>
        </w:rPr>
      </w:pPr>
      <w:r w:rsidRPr="00B74270">
        <w:rPr>
          <w:rFonts w:ascii="Arial" w:hAnsi="Arial" w:cs="Arial"/>
          <w:sz w:val="24"/>
          <w:szCs w:val="24"/>
        </w:rPr>
        <w:t>Communication and visibility</w:t>
      </w:r>
    </w:p>
    <w:p w14:paraId="0FFEEC4E" w14:textId="77777777" w:rsidR="00FF6DFF" w:rsidRPr="00B74270" w:rsidRDefault="00FF6DFF" w:rsidP="00FF6DFF">
      <w:pPr>
        <w:pStyle w:val="ListParagraph"/>
        <w:numPr>
          <w:ilvl w:val="0"/>
          <w:numId w:val="12"/>
        </w:numPr>
        <w:contextualSpacing/>
        <w:rPr>
          <w:rFonts w:ascii="Arial" w:hAnsi="Arial" w:cs="Arial"/>
          <w:sz w:val="24"/>
          <w:szCs w:val="24"/>
        </w:rPr>
      </w:pPr>
      <w:r w:rsidRPr="00B74270">
        <w:rPr>
          <w:rFonts w:ascii="Arial" w:hAnsi="Arial" w:cs="Arial"/>
          <w:sz w:val="24"/>
          <w:szCs w:val="24"/>
        </w:rPr>
        <w:t>Procurement</w:t>
      </w:r>
    </w:p>
    <w:p w14:paraId="41BC1805" w14:textId="77777777" w:rsidR="00FF6DFF" w:rsidRPr="00B74270" w:rsidRDefault="00FF6DFF" w:rsidP="00FF6DFF">
      <w:pPr>
        <w:pStyle w:val="ListParagraph"/>
        <w:numPr>
          <w:ilvl w:val="0"/>
          <w:numId w:val="12"/>
        </w:numPr>
        <w:contextualSpacing/>
        <w:rPr>
          <w:rFonts w:ascii="Arial" w:hAnsi="Arial" w:cs="Arial"/>
          <w:sz w:val="24"/>
          <w:szCs w:val="24"/>
        </w:rPr>
      </w:pPr>
      <w:r w:rsidRPr="00B74270">
        <w:rPr>
          <w:rFonts w:ascii="Arial" w:hAnsi="Arial" w:cs="Arial"/>
          <w:sz w:val="24"/>
          <w:szCs w:val="24"/>
        </w:rPr>
        <w:t>Audit and financial management</w:t>
      </w:r>
    </w:p>
    <w:p w14:paraId="67F24DAF" w14:textId="77777777" w:rsidR="00FF6DFF" w:rsidRPr="00B74270" w:rsidRDefault="00FF6DFF" w:rsidP="00FF6DFF">
      <w:pPr>
        <w:pStyle w:val="ListParagraph"/>
        <w:numPr>
          <w:ilvl w:val="0"/>
          <w:numId w:val="12"/>
        </w:numPr>
        <w:contextualSpacing/>
        <w:rPr>
          <w:rFonts w:ascii="Arial" w:hAnsi="Arial" w:cs="Arial"/>
          <w:sz w:val="24"/>
          <w:szCs w:val="24"/>
        </w:rPr>
      </w:pPr>
      <w:r w:rsidRPr="00B74270">
        <w:rPr>
          <w:rFonts w:ascii="Arial" w:hAnsi="Arial" w:cs="Arial"/>
          <w:sz w:val="24"/>
          <w:szCs w:val="24"/>
        </w:rPr>
        <w:t>Dialogue and Partnership, with key stakeholders</w:t>
      </w:r>
    </w:p>
    <w:p w14:paraId="559B128E" w14:textId="77777777" w:rsidR="00FF6DFF" w:rsidRPr="00B74270" w:rsidRDefault="00FF6DFF" w:rsidP="00FF6DFF">
      <w:pPr>
        <w:rPr>
          <w:rFonts w:ascii="Arial" w:hAnsi="Arial" w:cs="Arial"/>
          <w:sz w:val="24"/>
          <w:szCs w:val="24"/>
        </w:rPr>
      </w:pPr>
    </w:p>
    <w:p w14:paraId="3923C593" w14:textId="77777777" w:rsidR="00FF6DFF" w:rsidRPr="00B74270" w:rsidRDefault="00FF6DFF" w:rsidP="00FF6DFF">
      <w:pPr>
        <w:rPr>
          <w:rFonts w:ascii="Arial" w:hAnsi="Arial" w:cs="Arial"/>
          <w:sz w:val="24"/>
          <w:szCs w:val="24"/>
        </w:rPr>
      </w:pPr>
      <w:r w:rsidRPr="00B74270">
        <w:rPr>
          <w:rFonts w:ascii="Arial" w:hAnsi="Arial" w:cs="Arial"/>
          <w:sz w:val="24"/>
          <w:szCs w:val="24"/>
        </w:rPr>
        <w:t>The reviews were also informed by outcome of independent reviews, evaluations and audits</w:t>
      </w:r>
    </w:p>
    <w:p w14:paraId="2C5F7923" w14:textId="77777777" w:rsidR="00FF6DFF" w:rsidRDefault="00FF6DFF" w:rsidP="00FF6DFF">
      <w:pPr>
        <w:ind w:left="-240"/>
        <w:rPr>
          <w:b/>
        </w:rPr>
        <w:sectPr w:rsidR="00FF6DFF" w:rsidSect="006B338D">
          <w:headerReference w:type="default" r:id="rId18"/>
          <w:pgSz w:w="15840" w:h="12240" w:orient="landscape"/>
          <w:pgMar w:top="1440" w:right="1440" w:bottom="1440" w:left="1440" w:header="720" w:footer="720" w:gutter="0"/>
          <w:cols w:space="720"/>
          <w:docGrid w:linePitch="360"/>
        </w:sectPr>
      </w:pPr>
    </w:p>
    <w:p w14:paraId="46696063" w14:textId="77777777" w:rsidR="00FF6DFF" w:rsidRPr="00B74270" w:rsidRDefault="00FF6DFF" w:rsidP="00FF6DFF">
      <w:pPr>
        <w:pStyle w:val="Heading2"/>
        <w:rPr>
          <w:rFonts w:ascii="Arial" w:hAnsi="Arial" w:cs="Arial"/>
          <w:sz w:val="24"/>
          <w:szCs w:val="24"/>
        </w:rPr>
      </w:pPr>
      <w:bookmarkStart w:id="8" w:name="_Toc22326979"/>
      <w:r w:rsidRPr="00B74270">
        <w:rPr>
          <w:rFonts w:ascii="Arial" w:hAnsi="Arial" w:cs="Arial"/>
          <w:sz w:val="24"/>
          <w:szCs w:val="24"/>
        </w:rPr>
        <w:lastRenderedPageBreak/>
        <w:t>Cross-cutting issues</w:t>
      </w:r>
      <w:bookmarkEnd w:id="8"/>
    </w:p>
    <w:p w14:paraId="53A39712" w14:textId="77777777" w:rsidR="00FF6DFF" w:rsidRPr="00B74270" w:rsidRDefault="00FF6DFF" w:rsidP="00FF6DFF">
      <w:pPr>
        <w:rPr>
          <w:rFonts w:ascii="Arial" w:hAnsi="Arial" w:cs="Arial"/>
          <w:sz w:val="24"/>
          <w:szCs w:val="24"/>
        </w:rPr>
      </w:pPr>
    </w:p>
    <w:p w14:paraId="45E776F7" w14:textId="77777777" w:rsidR="00FF6DFF" w:rsidRPr="00B74270" w:rsidRDefault="00FF6DFF" w:rsidP="00FF6DFF">
      <w:pPr>
        <w:rPr>
          <w:rFonts w:ascii="Arial" w:hAnsi="Arial" w:cs="Arial"/>
          <w:sz w:val="24"/>
          <w:szCs w:val="24"/>
        </w:rPr>
      </w:pPr>
      <w:r w:rsidRPr="00B74270">
        <w:rPr>
          <w:rFonts w:ascii="Arial" w:hAnsi="Arial" w:cs="Arial"/>
          <w:sz w:val="24"/>
          <w:szCs w:val="24"/>
        </w:rPr>
        <w:t>The COMESA Secretariat has also identified issues, which require an integrated approach. These issues are: -</w:t>
      </w:r>
    </w:p>
    <w:p w14:paraId="5BCBAB02" w14:textId="77777777" w:rsidR="00FF6DFF" w:rsidRPr="00B74270" w:rsidRDefault="00FF6DFF" w:rsidP="00FF6DFF">
      <w:pPr>
        <w:rPr>
          <w:rFonts w:ascii="Arial" w:hAnsi="Arial" w:cs="Arial"/>
          <w:sz w:val="24"/>
          <w:szCs w:val="24"/>
        </w:rPr>
      </w:pPr>
    </w:p>
    <w:p w14:paraId="2F6C5E4B" w14:textId="77777777" w:rsidR="00FF6DFF" w:rsidRPr="00B74270" w:rsidRDefault="00FF6DFF" w:rsidP="00FF6DFF">
      <w:pPr>
        <w:pStyle w:val="Heading3"/>
        <w:numPr>
          <w:ilvl w:val="0"/>
          <w:numId w:val="15"/>
        </w:numPr>
      </w:pPr>
      <w:bookmarkStart w:id="9" w:name="_Toc22326980"/>
      <w:r w:rsidRPr="00B74270">
        <w:t xml:space="preserve">Establishing holistic COMESA Secretariat </w:t>
      </w:r>
      <w:r>
        <w:t xml:space="preserve">organizational structure and matching </w:t>
      </w:r>
      <w:r w:rsidRPr="00B74270">
        <w:t>human capacity</w:t>
      </w:r>
      <w:bookmarkEnd w:id="9"/>
    </w:p>
    <w:p w14:paraId="6B6A32AB" w14:textId="77777777" w:rsidR="00FF6DFF" w:rsidRPr="00B74270" w:rsidRDefault="00FF6DFF" w:rsidP="00FF6DFF">
      <w:pPr>
        <w:pStyle w:val="ListParagraph"/>
        <w:tabs>
          <w:tab w:val="left" w:pos="1440"/>
        </w:tabs>
        <w:ind w:left="1080"/>
        <w:jc w:val="both"/>
        <w:rPr>
          <w:rFonts w:ascii="Arial" w:hAnsi="Arial" w:cs="Arial"/>
          <w:sz w:val="24"/>
          <w:szCs w:val="24"/>
        </w:rPr>
      </w:pPr>
      <w:r w:rsidRPr="00B74270">
        <w:rPr>
          <w:rFonts w:ascii="Arial" w:hAnsi="Arial" w:cs="Arial"/>
          <w:sz w:val="24"/>
          <w:szCs w:val="24"/>
        </w:rPr>
        <w:t xml:space="preserve">Whilst </w:t>
      </w:r>
      <w:proofErr w:type="gramStart"/>
      <w:r w:rsidRPr="00B74270">
        <w:rPr>
          <w:rFonts w:ascii="Arial" w:hAnsi="Arial" w:cs="Arial"/>
          <w:sz w:val="24"/>
          <w:szCs w:val="24"/>
        </w:rPr>
        <w:t>a number of</w:t>
      </w:r>
      <w:proofErr w:type="gramEnd"/>
      <w:r w:rsidRPr="00B74270">
        <w:rPr>
          <w:rFonts w:ascii="Arial" w:hAnsi="Arial" w:cs="Arial"/>
          <w:sz w:val="24"/>
          <w:szCs w:val="24"/>
        </w:rPr>
        <w:t xml:space="preserve"> operational instruments have been implemented, the absence of human capacity has meant that capacity gaps remain through key operational areas within the COMESA Secretariat organizational structure.</w:t>
      </w:r>
    </w:p>
    <w:p w14:paraId="6426B8A3" w14:textId="77777777" w:rsidR="00FF6DFF" w:rsidRPr="00B74270" w:rsidRDefault="00FF6DFF" w:rsidP="00FF6DFF">
      <w:pPr>
        <w:pStyle w:val="ListParagraph"/>
        <w:tabs>
          <w:tab w:val="left" w:pos="1440"/>
        </w:tabs>
        <w:ind w:left="1080"/>
        <w:jc w:val="both"/>
        <w:rPr>
          <w:rFonts w:ascii="Arial" w:hAnsi="Arial" w:cs="Arial"/>
          <w:sz w:val="24"/>
          <w:szCs w:val="24"/>
        </w:rPr>
      </w:pPr>
    </w:p>
    <w:p w14:paraId="3C86426C" w14:textId="77777777" w:rsidR="00FF6DFF" w:rsidRPr="00B74270" w:rsidRDefault="00FF6DFF" w:rsidP="00FF6DFF">
      <w:pPr>
        <w:pStyle w:val="ListParagraph"/>
        <w:tabs>
          <w:tab w:val="left" w:pos="1440"/>
        </w:tabs>
        <w:ind w:left="1080"/>
        <w:jc w:val="both"/>
        <w:rPr>
          <w:rFonts w:ascii="Arial" w:hAnsi="Arial" w:cs="Arial"/>
          <w:sz w:val="24"/>
          <w:szCs w:val="24"/>
        </w:rPr>
      </w:pPr>
      <w:r w:rsidRPr="00B74270">
        <w:rPr>
          <w:rFonts w:ascii="Arial" w:hAnsi="Arial" w:cs="Arial"/>
          <w:sz w:val="24"/>
          <w:szCs w:val="24"/>
        </w:rPr>
        <w:t xml:space="preserve">The COMESA Secretariat is now working with Member States to finalise the review of its organizational structure. </w:t>
      </w:r>
    </w:p>
    <w:p w14:paraId="05AEF0B8" w14:textId="77777777" w:rsidR="00FF6DFF" w:rsidRPr="00B74270" w:rsidRDefault="00FF6DFF" w:rsidP="00FF6DFF">
      <w:pPr>
        <w:pStyle w:val="ListParagraph"/>
        <w:ind w:left="1080"/>
        <w:rPr>
          <w:rFonts w:ascii="Arial" w:hAnsi="Arial" w:cs="Arial"/>
          <w:b/>
          <w:sz w:val="24"/>
          <w:szCs w:val="24"/>
        </w:rPr>
      </w:pPr>
    </w:p>
    <w:p w14:paraId="23558143" w14:textId="77777777" w:rsidR="00FF6DFF" w:rsidRPr="00B74270" w:rsidRDefault="00FF6DFF" w:rsidP="00FF6DFF">
      <w:pPr>
        <w:pStyle w:val="Heading3"/>
        <w:numPr>
          <w:ilvl w:val="0"/>
          <w:numId w:val="15"/>
        </w:numPr>
      </w:pPr>
      <w:bookmarkStart w:id="10" w:name="_Toc22326981"/>
      <w:r w:rsidRPr="00B74270">
        <w:t>Using ICT to Integrate all institutional operational processes</w:t>
      </w:r>
      <w:bookmarkEnd w:id="10"/>
    </w:p>
    <w:p w14:paraId="224CA695" w14:textId="77777777" w:rsidR="00FF6DFF" w:rsidRPr="00B74270" w:rsidRDefault="00FF6DFF" w:rsidP="00FF6DFF">
      <w:pPr>
        <w:pStyle w:val="ListParagraph"/>
        <w:tabs>
          <w:tab w:val="left" w:pos="1440"/>
        </w:tabs>
        <w:ind w:left="1080"/>
        <w:jc w:val="both"/>
        <w:rPr>
          <w:rFonts w:ascii="Arial" w:hAnsi="Arial" w:cs="Arial"/>
          <w:sz w:val="24"/>
          <w:szCs w:val="24"/>
        </w:rPr>
      </w:pPr>
      <w:r w:rsidRPr="00B74270">
        <w:rPr>
          <w:rFonts w:ascii="Arial" w:hAnsi="Arial" w:cs="Arial"/>
          <w:sz w:val="24"/>
          <w:szCs w:val="24"/>
        </w:rPr>
        <w:t xml:space="preserve">A need for Integration of ICT within the Secretariat will contribute to an effective and efficient monitoring framework. ICT as a tool can facilitate operational processes (from planning, programming, budgeting; expenditure commitment, procurement and contracting; and reporting), as well as ensure relevant information is collected from various operational systems and aggregating it in a meaningful way to enable easy reporting and therefore enhance monitoring process. </w:t>
      </w:r>
    </w:p>
    <w:p w14:paraId="719F614A" w14:textId="77777777" w:rsidR="00FF6DFF" w:rsidRPr="00B74270" w:rsidRDefault="00FF6DFF" w:rsidP="00FF6DFF">
      <w:pPr>
        <w:pStyle w:val="ListParagraph"/>
        <w:tabs>
          <w:tab w:val="left" w:pos="1440"/>
        </w:tabs>
        <w:ind w:left="1080"/>
        <w:jc w:val="both"/>
        <w:rPr>
          <w:rFonts w:ascii="Arial" w:hAnsi="Arial" w:cs="Arial"/>
          <w:sz w:val="24"/>
          <w:szCs w:val="24"/>
        </w:rPr>
      </w:pPr>
    </w:p>
    <w:p w14:paraId="0A6458CF" w14:textId="77777777" w:rsidR="00FF6DFF" w:rsidRPr="00B74270" w:rsidRDefault="00FF6DFF" w:rsidP="00FF6DFF">
      <w:pPr>
        <w:pStyle w:val="ListParagraph"/>
        <w:tabs>
          <w:tab w:val="left" w:pos="1440"/>
        </w:tabs>
        <w:ind w:left="1080"/>
        <w:jc w:val="both"/>
        <w:rPr>
          <w:rFonts w:ascii="Arial" w:hAnsi="Arial" w:cs="Arial"/>
          <w:sz w:val="24"/>
          <w:szCs w:val="24"/>
        </w:rPr>
      </w:pPr>
      <w:r w:rsidRPr="00B74270">
        <w:rPr>
          <w:rFonts w:ascii="Arial" w:hAnsi="Arial" w:cs="Arial"/>
          <w:sz w:val="24"/>
          <w:szCs w:val="24"/>
        </w:rPr>
        <w:t xml:space="preserve">Although investment in integration may be costly at the beginning but over time the benefits will outweigh the cost. One of the benefits that is likely to accrue immediately is the cutting down staffing requirement when systems are fully automated as opposed to current scenario where most information system are manual process requiring more personnel. </w:t>
      </w:r>
    </w:p>
    <w:p w14:paraId="46AFB9AB" w14:textId="77777777" w:rsidR="00FF6DFF" w:rsidRPr="00B74270" w:rsidRDefault="00FF6DFF" w:rsidP="00FF6DFF">
      <w:pPr>
        <w:pStyle w:val="ListParagraph"/>
        <w:ind w:left="1080"/>
        <w:rPr>
          <w:rFonts w:ascii="Arial" w:hAnsi="Arial" w:cs="Arial"/>
          <w:sz w:val="24"/>
          <w:szCs w:val="24"/>
        </w:rPr>
      </w:pPr>
    </w:p>
    <w:p w14:paraId="5E729F00" w14:textId="77777777" w:rsidR="00FF6DFF" w:rsidRPr="00B74270" w:rsidRDefault="00FF6DFF" w:rsidP="00FF6DFF">
      <w:pPr>
        <w:pStyle w:val="Heading2"/>
        <w:rPr>
          <w:rFonts w:ascii="Arial" w:hAnsi="Arial" w:cs="Arial"/>
          <w:sz w:val="24"/>
          <w:szCs w:val="24"/>
        </w:rPr>
      </w:pPr>
      <w:bookmarkStart w:id="11" w:name="_Toc22326982"/>
      <w:r w:rsidRPr="00B74270">
        <w:rPr>
          <w:rFonts w:ascii="Arial" w:hAnsi="Arial" w:cs="Arial"/>
          <w:sz w:val="24"/>
          <w:szCs w:val="24"/>
        </w:rPr>
        <w:t>Donor support</w:t>
      </w:r>
      <w:bookmarkEnd w:id="11"/>
    </w:p>
    <w:p w14:paraId="6E4AA095" w14:textId="77777777" w:rsidR="00FF6DFF" w:rsidRPr="00B74270" w:rsidRDefault="00FF6DFF" w:rsidP="00FF6DFF">
      <w:pPr>
        <w:rPr>
          <w:rFonts w:ascii="Arial" w:hAnsi="Arial" w:cs="Arial"/>
          <w:sz w:val="24"/>
          <w:szCs w:val="24"/>
        </w:rPr>
      </w:pPr>
      <w:r w:rsidRPr="00B74270">
        <w:rPr>
          <w:rFonts w:ascii="Arial" w:hAnsi="Arial" w:cs="Arial"/>
          <w:sz w:val="24"/>
          <w:szCs w:val="24"/>
        </w:rPr>
        <w:t>The COMESA Secretariat has received grant under</w:t>
      </w:r>
    </w:p>
    <w:p w14:paraId="3FFF6F50" w14:textId="77777777" w:rsidR="00FF6DFF" w:rsidRPr="00B74270" w:rsidRDefault="00FF6DFF" w:rsidP="00FF6DFF">
      <w:pPr>
        <w:rPr>
          <w:rFonts w:ascii="Arial" w:hAnsi="Arial" w:cs="Arial"/>
          <w:sz w:val="24"/>
          <w:szCs w:val="24"/>
        </w:rPr>
      </w:pPr>
    </w:p>
    <w:p w14:paraId="455E1B37" w14:textId="77777777" w:rsidR="00FF6DFF" w:rsidRPr="00B74270" w:rsidRDefault="00FF6DFF" w:rsidP="00FF6DFF">
      <w:pPr>
        <w:pStyle w:val="Heading3"/>
        <w:numPr>
          <w:ilvl w:val="0"/>
          <w:numId w:val="16"/>
        </w:numPr>
        <w:ind w:left="1440" w:hanging="720"/>
      </w:pPr>
      <w:bookmarkStart w:id="12" w:name="_Toc22326983"/>
      <w:r>
        <w:t>EU funded institutional capacity programme</w:t>
      </w:r>
      <w:bookmarkEnd w:id="12"/>
      <w:r>
        <w:t xml:space="preserve"> </w:t>
      </w:r>
    </w:p>
    <w:p w14:paraId="4646EDF0" w14:textId="77777777" w:rsidR="00FF6DFF" w:rsidRPr="00B74270" w:rsidRDefault="00FF6DFF" w:rsidP="00FF6DFF">
      <w:pPr>
        <w:pStyle w:val="ListParagraph"/>
        <w:ind w:left="1080"/>
        <w:rPr>
          <w:rFonts w:ascii="Arial" w:hAnsi="Arial" w:cs="Arial"/>
          <w:sz w:val="24"/>
          <w:szCs w:val="24"/>
        </w:rPr>
      </w:pPr>
    </w:p>
    <w:p w14:paraId="2A22EBAD" w14:textId="77777777" w:rsidR="00FF6DFF" w:rsidRPr="00B74270" w:rsidRDefault="00FF6DFF" w:rsidP="00FF6DFF">
      <w:pPr>
        <w:autoSpaceDE w:val="0"/>
        <w:autoSpaceDN w:val="0"/>
        <w:adjustRightInd w:val="0"/>
        <w:jc w:val="both"/>
        <w:rPr>
          <w:rFonts w:ascii="Arial" w:hAnsi="Arial" w:cs="Arial"/>
          <w:sz w:val="24"/>
          <w:szCs w:val="24"/>
        </w:rPr>
      </w:pPr>
      <w:r w:rsidRPr="00B74270">
        <w:rPr>
          <w:rFonts w:ascii="Arial" w:hAnsi="Arial" w:cs="Arial"/>
          <w:sz w:val="24"/>
          <w:szCs w:val="24"/>
        </w:rPr>
        <w:t xml:space="preserve">COMESA and EU </w:t>
      </w:r>
      <w:proofErr w:type="gramStart"/>
      <w:r w:rsidRPr="00B74270">
        <w:rPr>
          <w:rFonts w:ascii="Arial" w:hAnsi="Arial" w:cs="Arial"/>
          <w:sz w:val="24"/>
          <w:szCs w:val="24"/>
        </w:rPr>
        <w:t>has</w:t>
      </w:r>
      <w:proofErr w:type="gramEnd"/>
      <w:r w:rsidRPr="00B74270">
        <w:rPr>
          <w:rFonts w:ascii="Arial" w:hAnsi="Arial" w:cs="Arial"/>
          <w:sz w:val="24"/>
          <w:szCs w:val="24"/>
        </w:rPr>
        <w:t xml:space="preserve"> agreed that under specific objective 3, the aim is to enhance the capacity of the COMESA Secretariat and member states, including the private sector, to deepen regional integration using up to EUR €7 million. The following policy measures have been agreed upon under the RIP:</w:t>
      </w:r>
    </w:p>
    <w:p w14:paraId="18B81D5F" w14:textId="77777777" w:rsidR="00FF6DFF" w:rsidRDefault="00FF6DFF" w:rsidP="00FF6DFF">
      <w:pPr>
        <w:autoSpaceDE w:val="0"/>
        <w:autoSpaceDN w:val="0"/>
        <w:adjustRightInd w:val="0"/>
        <w:ind w:left="720"/>
        <w:jc w:val="both"/>
        <w:rPr>
          <w:rFonts w:ascii="Arial" w:hAnsi="Arial" w:cs="Arial"/>
          <w:sz w:val="24"/>
          <w:szCs w:val="24"/>
        </w:rPr>
      </w:pPr>
    </w:p>
    <w:p w14:paraId="6A4B90F6" w14:textId="77777777" w:rsidR="00FF6DFF" w:rsidRPr="00B74270" w:rsidRDefault="00FF6DFF" w:rsidP="00FF6DFF">
      <w:pPr>
        <w:numPr>
          <w:ilvl w:val="0"/>
          <w:numId w:val="13"/>
        </w:numPr>
        <w:autoSpaceDE w:val="0"/>
        <w:autoSpaceDN w:val="0"/>
        <w:adjustRightInd w:val="0"/>
        <w:jc w:val="both"/>
        <w:rPr>
          <w:rFonts w:ascii="Arial" w:hAnsi="Arial" w:cs="Arial"/>
          <w:sz w:val="24"/>
          <w:szCs w:val="24"/>
        </w:rPr>
      </w:pPr>
      <w:r w:rsidRPr="00B74270">
        <w:rPr>
          <w:rFonts w:ascii="Arial" w:hAnsi="Arial" w:cs="Arial"/>
          <w:sz w:val="24"/>
          <w:szCs w:val="24"/>
        </w:rPr>
        <w:t>Support to the roll-out/effective implementation of the COMESA on-line monitoring and evaluation system and to the development of other innovative monitoring and evaluation tools;</w:t>
      </w:r>
    </w:p>
    <w:p w14:paraId="70052A32" w14:textId="77777777" w:rsidR="00FF6DFF" w:rsidRPr="00B74270" w:rsidRDefault="00FF6DFF" w:rsidP="00FF6DFF">
      <w:pPr>
        <w:numPr>
          <w:ilvl w:val="0"/>
          <w:numId w:val="13"/>
        </w:numPr>
        <w:autoSpaceDE w:val="0"/>
        <w:autoSpaceDN w:val="0"/>
        <w:adjustRightInd w:val="0"/>
        <w:jc w:val="both"/>
        <w:rPr>
          <w:rFonts w:ascii="Arial" w:hAnsi="Arial" w:cs="Arial"/>
          <w:sz w:val="24"/>
          <w:szCs w:val="24"/>
        </w:rPr>
      </w:pPr>
      <w:r w:rsidRPr="00B74270">
        <w:rPr>
          <w:rFonts w:ascii="Arial" w:hAnsi="Arial" w:cs="Arial"/>
          <w:sz w:val="24"/>
          <w:szCs w:val="24"/>
        </w:rPr>
        <w:t>Capacity building and awareness-raising/communication activities at national level for private and public sectors;</w:t>
      </w:r>
    </w:p>
    <w:p w14:paraId="1130B189" w14:textId="77777777" w:rsidR="00FF6DFF" w:rsidRPr="00B74270" w:rsidRDefault="00FF6DFF" w:rsidP="00FF6DFF">
      <w:pPr>
        <w:numPr>
          <w:ilvl w:val="0"/>
          <w:numId w:val="13"/>
        </w:numPr>
        <w:autoSpaceDE w:val="0"/>
        <w:autoSpaceDN w:val="0"/>
        <w:adjustRightInd w:val="0"/>
        <w:jc w:val="both"/>
        <w:rPr>
          <w:rFonts w:ascii="Arial" w:hAnsi="Arial" w:cs="Arial"/>
          <w:sz w:val="24"/>
          <w:szCs w:val="24"/>
        </w:rPr>
      </w:pPr>
      <w:r w:rsidRPr="00B74270">
        <w:rPr>
          <w:rFonts w:ascii="Arial" w:hAnsi="Arial" w:cs="Arial"/>
          <w:sz w:val="24"/>
          <w:szCs w:val="24"/>
        </w:rPr>
        <w:lastRenderedPageBreak/>
        <w:t>Secondment of national experts from COMESA member states (and potentially other stakeholders) to the COMESA Secretariat; partnerships/collaboration with region-based and international research institutes and universities working on trade and economic integration;</w:t>
      </w:r>
    </w:p>
    <w:p w14:paraId="14178181" w14:textId="77777777" w:rsidR="00FF6DFF" w:rsidRPr="00B74270" w:rsidRDefault="00FF6DFF" w:rsidP="00FF6DFF">
      <w:pPr>
        <w:numPr>
          <w:ilvl w:val="0"/>
          <w:numId w:val="13"/>
        </w:numPr>
        <w:autoSpaceDE w:val="0"/>
        <w:autoSpaceDN w:val="0"/>
        <w:adjustRightInd w:val="0"/>
        <w:jc w:val="both"/>
        <w:rPr>
          <w:rFonts w:ascii="Arial" w:hAnsi="Arial" w:cs="Arial"/>
          <w:sz w:val="24"/>
          <w:szCs w:val="24"/>
        </w:rPr>
      </w:pPr>
      <w:r w:rsidRPr="00B74270">
        <w:rPr>
          <w:rFonts w:ascii="Arial" w:hAnsi="Arial" w:cs="Arial"/>
          <w:sz w:val="24"/>
          <w:szCs w:val="24"/>
        </w:rPr>
        <w:t>Continuous enhancement of COMESA procurement, financial management and audit systems and processes, in line with international standards.</w:t>
      </w:r>
    </w:p>
    <w:p w14:paraId="64CFF632" w14:textId="77777777" w:rsidR="00FF6DFF" w:rsidRPr="00B74270" w:rsidRDefault="00FF6DFF" w:rsidP="00FF6DFF">
      <w:pPr>
        <w:numPr>
          <w:ilvl w:val="0"/>
          <w:numId w:val="13"/>
        </w:numPr>
        <w:autoSpaceDE w:val="0"/>
        <w:autoSpaceDN w:val="0"/>
        <w:adjustRightInd w:val="0"/>
        <w:jc w:val="both"/>
        <w:rPr>
          <w:rFonts w:ascii="Arial" w:hAnsi="Arial" w:cs="Arial"/>
          <w:sz w:val="24"/>
          <w:szCs w:val="24"/>
        </w:rPr>
      </w:pPr>
      <w:r w:rsidRPr="00B74270">
        <w:rPr>
          <w:rFonts w:ascii="Arial" w:hAnsi="Arial" w:cs="Arial"/>
          <w:sz w:val="24"/>
          <w:szCs w:val="24"/>
        </w:rPr>
        <w:t>Technical assistance and capacity building aiming at producing and disseminating harmonised quality, timely and policy responsive statistics, in line with the COMESA 2014-2017 Statistics Strategy and in close coordination with the support provided to the African Union in that area.</w:t>
      </w:r>
    </w:p>
    <w:p w14:paraId="1924CF2F" w14:textId="77777777" w:rsidR="00FF6DFF" w:rsidRPr="00B74270" w:rsidRDefault="00FF6DFF" w:rsidP="00FF6DFF">
      <w:pPr>
        <w:autoSpaceDE w:val="0"/>
        <w:autoSpaceDN w:val="0"/>
        <w:adjustRightInd w:val="0"/>
        <w:jc w:val="both"/>
        <w:rPr>
          <w:rFonts w:ascii="Arial" w:hAnsi="Arial" w:cs="Arial"/>
          <w:sz w:val="24"/>
          <w:szCs w:val="24"/>
        </w:rPr>
      </w:pPr>
    </w:p>
    <w:p w14:paraId="342CEA95" w14:textId="77777777" w:rsidR="00FF6DFF" w:rsidRPr="00B74270" w:rsidRDefault="00FF6DFF" w:rsidP="00FF6DFF">
      <w:pPr>
        <w:autoSpaceDE w:val="0"/>
        <w:autoSpaceDN w:val="0"/>
        <w:adjustRightInd w:val="0"/>
        <w:jc w:val="both"/>
        <w:rPr>
          <w:rFonts w:ascii="Arial" w:hAnsi="Arial" w:cs="Arial"/>
          <w:sz w:val="24"/>
          <w:szCs w:val="24"/>
        </w:rPr>
      </w:pPr>
      <w:r w:rsidRPr="00B74270">
        <w:rPr>
          <w:rFonts w:ascii="Arial" w:hAnsi="Arial" w:cs="Arial"/>
          <w:sz w:val="24"/>
          <w:szCs w:val="24"/>
        </w:rPr>
        <w:t>The following results are expected to be achieved:</w:t>
      </w:r>
    </w:p>
    <w:p w14:paraId="3A302BEC" w14:textId="77777777" w:rsidR="00FF6DFF" w:rsidRPr="00B74270" w:rsidRDefault="00FF6DFF" w:rsidP="00FF6DFF">
      <w:pPr>
        <w:numPr>
          <w:ilvl w:val="0"/>
          <w:numId w:val="14"/>
        </w:numPr>
        <w:autoSpaceDE w:val="0"/>
        <w:autoSpaceDN w:val="0"/>
        <w:adjustRightInd w:val="0"/>
        <w:ind w:hanging="720"/>
        <w:jc w:val="both"/>
        <w:rPr>
          <w:rFonts w:ascii="Arial" w:hAnsi="Arial" w:cs="Arial"/>
          <w:sz w:val="24"/>
          <w:szCs w:val="24"/>
        </w:rPr>
      </w:pPr>
      <w:r w:rsidRPr="00B74270">
        <w:rPr>
          <w:rFonts w:ascii="Arial" w:hAnsi="Arial" w:cs="Arial"/>
          <w:sz w:val="24"/>
          <w:szCs w:val="24"/>
        </w:rPr>
        <w:t>Capacity, both at Secretariat and country level, to monitor domestication/implementation of regional commitments and to engage in a multi-stakeholder dialogue on regional economic integration (including in the context of the Tripartite) increased;</w:t>
      </w:r>
    </w:p>
    <w:p w14:paraId="6511D5BF" w14:textId="77777777" w:rsidR="00FF6DFF" w:rsidRPr="00B74270" w:rsidRDefault="00FF6DFF" w:rsidP="00FF6DFF">
      <w:pPr>
        <w:numPr>
          <w:ilvl w:val="0"/>
          <w:numId w:val="14"/>
        </w:numPr>
        <w:autoSpaceDE w:val="0"/>
        <w:autoSpaceDN w:val="0"/>
        <w:adjustRightInd w:val="0"/>
        <w:ind w:hanging="720"/>
        <w:jc w:val="both"/>
        <w:rPr>
          <w:rFonts w:ascii="Arial" w:hAnsi="Arial" w:cs="Arial"/>
          <w:sz w:val="24"/>
          <w:szCs w:val="24"/>
        </w:rPr>
      </w:pPr>
      <w:r w:rsidRPr="00B74270">
        <w:rPr>
          <w:rFonts w:ascii="Arial" w:hAnsi="Arial" w:cs="Arial"/>
          <w:sz w:val="24"/>
          <w:szCs w:val="24"/>
        </w:rPr>
        <w:t>COMESA Secretariat procurement and financial management capacity enhanced;</w:t>
      </w:r>
    </w:p>
    <w:p w14:paraId="7841F87E" w14:textId="77777777" w:rsidR="00FF6DFF" w:rsidRPr="00B74270" w:rsidRDefault="00FF6DFF" w:rsidP="00FF6DFF">
      <w:pPr>
        <w:numPr>
          <w:ilvl w:val="0"/>
          <w:numId w:val="14"/>
        </w:numPr>
        <w:autoSpaceDE w:val="0"/>
        <w:autoSpaceDN w:val="0"/>
        <w:adjustRightInd w:val="0"/>
        <w:ind w:hanging="720"/>
        <w:jc w:val="both"/>
        <w:rPr>
          <w:rFonts w:ascii="Arial" w:hAnsi="Arial" w:cs="Arial"/>
          <w:sz w:val="24"/>
          <w:szCs w:val="24"/>
        </w:rPr>
      </w:pPr>
      <w:r w:rsidRPr="00B74270">
        <w:rPr>
          <w:rFonts w:ascii="Arial" w:hAnsi="Arial" w:cs="Arial"/>
          <w:sz w:val="24"/>
          <w:szCs w:val="24"/>
        </w:rPr>
        <w:t>Production and dissemination of harmonised regional statistics improved.</w:t>
      </w:r>
    </w:p>
    <w:p w14:paraId="15E7007F" w14:textId="77777777" w:rsidR="00FF6DFF" w:rsidRPr="00B74270" w:rsidRDefault="00FF6DFF" w:rsidP="00FF6DFF">
      <w:pPr>
        <w:autoSpaceDE w:val="0"/>
        <w:autoSpaceDN w:val="0"/>
        <w:adjustRightInd w:val="0"/>
        <w:jc w:val="both"/>
        <w:rPr>
          <w:rFonts w:ascii="Arial" w:hAnsi="Arial" w:cs="Arial"/>
          <w:sz w:val="24"/>
          <w:szCs w:val="24"/>
        </w:rPr>
      </w:pPr>
    </w:p>
    <w:p w14:paraId="5A0AD264" w14:textId="77777777" w:rsidR="00FF6DFF" w:rsidRPr="00B74270" w:rsidRDefault="00FF6DFF" w:rsidP="00FF6DFF">
      <w:pPr>
        <w:pStyle w:val="Heading3"/>
        <w:numPr>
          <w:ilvl w:val="0"/>
          <w:numId w:val="16"/>
        </w:numPr>
        <w:ind w:left="1440" w:hanging="720"/>
      </w:pPr>
      <w:bookmarkStart w:id="13" w:name="_Toc22326984"/>
      <w:r>
        <w:t>USAID funded institutional capacity programme</w:t>
      </w:r>
      <w:bookmarkEnd w:id="13"/>
    </w:p>
    <w:p w14:paraId="6C362064" w14:textId="77777777" w:rsidR="00FF6DFF" w:rsidRPr="00B74270" w:rsidRDefault="00FF6DFF" w:rsidP="00FF6DFF">
      <w:pPr>
        <w:pStyle w:val="ListParagraph"/>
        <w:ind w:left="1080"/>
        <w:rPr>
          <w:rFonts w:ascii="Arial" w:hAnsi="Arial" w:cs="Arial"/>
          <w:sz w:val="24"/>
          <w:szCs w:val="24"/>
        </w:rPr>
      </w:pPr>
    </w:p>
    <w:p w14:paraId="738582E7" w14:textId="170B70EC" w:rsidR="00FF6DFF" w:rsidRDefault="00FF6DFF" w:rsidP="00FF6DFF">
      <w:pPr>
        <w:autoSpaceDE w:val="0"/>
        <w:autoSpaceDN w:val="0"/>
        <w:adjustRightInd w:val="0"/>
        <w:jc w:val="both"/>
        <w:rPr>
          <w:rFonts w:ascii="Arial" w:hAnsi="Arial" w:cs="Arial"/>
          <w:sz w:val="24"/>
          <w:szCs w:val="24"/>
        </w:rPr>
      </w:pPr>
      <w:r w:rsidRPr="00B74270">
        <w:rPr>
          <w:rFonts w:ascii="Arial" w:hAnsi="Arial" w:cs="Arial"/>
          <w:sz w:val="24"/>
          <w:szCs w:val="24"/>
        </w:rPr>
        <w:t xml:space="preserve">COMESA and </w:t>
      </w:r>
      <w:r>
        <w:rPr>
          <w:rFonts w:ascii="Arial" w:hAnsi="Arial" w:cs="Arial"/>
          <w:sz w:val="24"/>
          <w:szCs w:val="24"/>
        </w:rPr>
        <w:t xml:space="preserve">USAID </w:t>
      </w:r>
      <w:r w:rsidRPr="00B74270">
        <w:rPr>
          <w:rFonts w:ascii="Arial" w:hAnsi="Arial" w:cs="Arial"/>
          <w:sz w:val="24"/>
          <w:szCs w:val="24"/>
        </w:rPr>
        <w:t xml:space="preserve">agreed </w:t>
      </w:r>
      <w:r>
        <w:rPr>
          <w:rFonts w:ascii="Arial" w:hAnsi="Arial" w:cs="Arial"/>
          <w:sz w:val="24"/>
          <w:szCs w:val="24"/>
        </w:rPr>
        <w:t xml:space="preserve">on </w:t>
      </w:r>
      <w:r>
        <w:rPr>
          <w:rFonts w:ascii="Arial" w:hAnsi="Arial" w:cs="Arial"/>
          <w:sz w:val="24"/>
          <w:szCs w:val="24"/>
        </w:rPr>
        <w:t xml:space="preserve">the following </w:t>
      </w:r>
      <w:r>
        <w:rPr>
          <w:rFonts w:ascii="Arial" w:hAnsi="Arial" w:cs="Arial"/>
          <w:sz w:val="24"/>
          <w:szCs w:val="24"/>
        </w:rPr>
        <w:t>areas for support: -</w:t>
      </w:r>
    </w:p>
    <w:p w14:paraId="63FBCB61" w14:textId="77777777" w:rsidR="00FF6DFF" w:rsidRDefault="00FF6DFF" w:rsidP="00FF6DFF">
      <w:pPr>
        <w:autoSpaceDE w:val="0"/>
        <w:autoSpaceDN w:val="0"/>
        <w:adjustRightInd w:val="0"/>
        <w:jc w:val="both"/>
        <w:rPr>
          <w:rFonts w:ascii="Arial" w:hAnsi="Arial" w:cs="Arial"/>
          <w:sz w:val="24"/>
          <w:szCs w:val="24"/>
        </w:rPr>
      </w:pPr>
    </w:p>
    <w:p w14:paraId="4DB644FE"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Human resources management</w:t>
      </w:r>
    </w:p>
    <w:p w14:paraId="6481AEAB"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Organisational management</w:t>
      </w:r>
    </w:p>
    <w:p w14:paraId="5E16D3A0"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Procurement</w:t>
      </w:r>
    </w:p>
    <w:p w14:paraId="2CC1847B"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Project performance management, with a focus on M&amp;E systems</w:t>
      </w:r>
    </w:p>
    <w:p w14:paraId="170436FB"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Integration of business processes and performance management using ICT</w:t>
      </w:r>
    </w:p>
    <w:p w14:paraId="17BDFBED" w14:textId="77777777" w:rsidR="00FF6DFF" w:rsidRDefault="00FF6DFF" w:rsidP="00FF6DFF">
      <w:pPr>
        <w:autoSpaceDE w:val="0"/>
        <w:autoSpaceDN w:val="0"/>
        <w:adjustRightInd w:val="0"/>
        <w:jc w:val="both"/>
        <w:rPr>
          <w:rFonts w:ascii="Arial" w:hAnsi="Arial" w:cs="Arial"/>
          <w:sz w:val="24"/>
          <w:szCs w:val="24"/>
        </w:rPr>
      </w:pPr>
    </w:p>
    <w:p w14:paraId="6E76642C" w14:textId="40E3CB1F" w:rsidR="00FF6DFF" w:rsidRDefault="00FF6DFF" w:rsidP="00FF6DFF">
      <w:pPr>
        <w:autoSpaceDE w:val="0"/>
        <w:autoSpaceDN w:val="0"/>
        <w:adjustRightInd w:val="0"/>
        <w:jc w:val="both"/>
        <w:rPr>
          <w:rFonts w:ascii="Arial" w:hAnsi="Arial" w:cs="Arial"/>
          <w:sz w:val="24"/>
          <w:szCs w:val="24"/>
        </w:rPr>
      </w:pPr>
      <w:r>
        <w:rPr>
          <w:rFonts w:ascii="Arial" w:hAnsi="Arial" w:cs="Arial"/>
          <w:sz w:val="24"/>
          <w:szCs w:val="24"/>
        </w:rPr>
        <w:t>Actual amount committed by USAID is as follows: -</w:t>
      </w:r>
    </w:p>
    <w:p w14:paraId="7DF42A2B" w14:textId="77777777" w:rsidR="00FF6DFF" w:rsidRDefault="00FF6DFF" w:rsidP="00FF6DFF">
      <w:pPr>
        <w:autoSpaceDE w:val="0"/>
        <w:autoSpaceDN w:val="0"/>
        <w:adjustRightInd w:val="0"/>
        <w:jc w:val="both"/>
        <w:rPr>
          <w:rFonts w:ascii="Arial" w:hAnsi="Arial" w:cs="Arial"/>
          <w:sz w:val="24"/>
          <w:szCs w:val="24"/>
        </w:rPr>
      </w:pPr>
    </w:p>
    <w:p w14:paraId="4EEDEB36"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USAID funding:</w:t>
      </w:r>
      <w:r>
        <w:rPr>
          <w:rFonts w:ascii="Arial" w:hAnsi="Arial" w:cs="Arial"/>
          <w:sz w:val="24"/>
          <w:szCs w:val="24"/>
        </w:rPr>
        <w:tab/>
        <w:t>US$463,250</w:t>
      </w:r>
    </w:p>
    <w:p w14:paraId="186560F1"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Member States:</w:t>
      </w:r>
      <w:r>
        <w:rPr>
          <w:rFonts w:ascii="Arial" w:hAnsi="Arial" w:cs="Arial"/>
          <w:sz w:val="24"/>
          <w:szCs w:val="24"/>
        </w:rPr>
        <w:tab/>
        <w:t>US$217,250</w:t>
      </w:r>
    </w:p>
    <w:p w14:paraId="0444CDBA" w14:textId="77777777" w:rsidR="00FF6DFF" w:rsidRDefault="00FF6DFF" w:rsidP="00FF6DFF">
      <w:pPr>
        <w:numPr>
          <w:ilvl w:val="0"/>
          <w:numId w:val="13"/>
        </w:numPr>
        <w:autoSpaceDE w:val="0"/>
        <w:autoSpaceDN w:val="0"/>
        <w:adjustRightInd w:val="0"/>
        <w:jc w:val="both"/>
        <w:rPr>
          <w:rFonts w:ascii="Arial" w:hAnsi="Arial" w:cs="Arial"/>
          <w:sz w:val="24"/>
          <w:szCs w:val="24"/>
        </w:rPr>
      </w:pPr>
      <w:r>
        <w:rPr>
          <w:rFonts w:ascii="Arial" w:hAnsi="Arial" w:cs="Arial"/>
          <w:sz w:val="24"/>
          <w:szCs w:val="24"/>
        </w:rPr>
        <w:t>Funding gap:</w:t>
      </w:r>
      <w:r>
        <w:rPr>
          <w:rFonts w:ascii="Arial" w:hAnsi="Arial" w:cs="Arial"/>
          <w:sz w:val="24"/>
          <w:szCs w:val="24"/>
        </w:rPr>
        <w:tab/>
      </w:r>
      <w:r>
        <w:rPr>
          <w:rFonts w:ascii="Arial" w:hAnsi="Arial" w:cs="Arial"/>
          <w:sz w:val="24"/>
          <w:szCs w:val="24"/>
        </w:rPr>
        <w:tab/>
        <w:t>US$1,480,000</w:t>
      </w:r>
    </w:p>
    <w:p w14:paraId="5E9519AE" w14:textId="77777777" w:rsidR="00FF6DFF" w:rsidRPr="00B74270" w:rsidRDefault="00FF6DFF" w:rsidP="00FF6DFF">
      <w:pPr>
        <w:pStyle w:val="Heading1"/>
        <w:rPr>
          <w:rFonts w:ascii="Arial" w:hAnsi="Arial" w:cs="Arial"/>
          <w:sz w:val="24"/>
          <w:szCs w:val="24"/>
        </w:rPr>
      </w:pPr>
      <w:bookmarkStart w:id="14" w:name="_Toc22326985"/>
      <w:r>
        <w:rPr>
          <w:rFonts w:ascii="Arial" w:hAnsi="Arial" w:cs="Arial"/>
          <w:sz w:val="24"/>
          <w:szCs w:val="24"/>
        </w:rPr>
        <w:t>RECOMMENDATIONS</w:t>
      </w:r>
      <w:bookmarkEnd w:id="14"/>
    </w:p>
    <w:p w14:paraId="1907227F" w14:textId="77777777" w:rsidR="00FF6DFF" w:rsidRDefault="00FF6DFF" w:rsidP="00FF6DFF">
      <w:pPr>
        <w:tabs>
          <w:tab w:val="left" w:pos="1440"/>
        </w:tabs>
        <w:jc w:val="both"/>
        <w:rPr>
          <w:rFonts w:ascii="Arial" w:hAnsi="Arial" w:cs="Arial"/>
          <w:sz w:val="24"/>
          <w:szCs w:val="24"/>
        </w:rPr>
      </w:pPr>
      <w:r>
        <w:rPr>
          <w:rFonts w:ascii="Arial" w:hAnsi="Arial" w:cs="Arial"/>
          <w:sz w:val="24"/>
          <w:szCs w:val="24"/>
        </w:rPr>
        <w:t>It is recommended that: -</w:t>
      </w:r>
    </w:p>
    <w:p w14:paraId="41C32666" w14:textId="77777777" w:rsidR="00FF6DFF" w:rsidRDefault="00FF6DFF" w:rsidP="00FF6DFF">
      <w:pPr>
        <w:pStyle w:val="ListParagraph"/>
        <w:numPr>
          <w:ilvl w:val="0"/>
          <w:numId w:val="17"/>
        </w:numPr>
        <w:shd w:val="clear" w:color="auto" w:fill="D9D9D9" w:themeFill="background1" w:themeFillShade="D9"/>
        <w:tabs>
          <w:tab w:val="left" w:pos="1440"/>
        </w:tabs>
        <w:contextualSpacing/>
        <w:jc w:val="both"/>
        <w:rPr>
          <w:rFonts w:ascii="Arial" w:hAnsi="Arial" w:cs="Arial"/>
          <w:sz w:val="24"/>
          <w:szCs w:val="24"/>
        </w:rPr>
      </w:pPr>
      <w:r>
        <w:rPr>
          <w:rFonts w:ascii="Arial" w:hAnsi="Arial" w:cs="Arial"/>
          <w:sz w:val="24"/>
          <w:szCs w:val="24"/>
        </w:rPr>
        <w:t>S</w:t>
      </w:r>
      <w:r w:rsidRPr="003B2A62">
        <w:rPr>
          <w:rFonts w:ascii="Arial" w:hAnsi="Arial" w:cs="Arial"/>
          <w:sz w:val="24"/>
          <w:szCs w:val="24"/>
        </w:rPr>
        <w:t>ustenance of institutional capacity should remain a key focus of COMESA</w:t>
      </w:r>
      <w:r>
        <w:rPr>
          <w:rFonts w:ascii="Arial" w:hAnsi="Arial" w:cs="Arial"/>
          <w:sz w:val="24"/>
          <w:szCs w:val="24"/>
        </w:rPr>
        <w:t>; and</w:t>
      </w:r>
    </w:p>
    <w:p w14:paraId="76A4DCBC" w14:textId="77777777" w:rsidR="00FF6DFF" w:rsidRDefault="00FF6DFF" w:rsidP="00FF6DFF">
      <w:pPr>
        <w:pStyle w:val="ListParagraph"/>
        <w:shd w:val="clear" w:color="auto" w:fill="D9D9D9" w:themeFill="background1" w:themeFillShade="D9"/>
        <w:tabs>
          <w:tab w:val="left" w:pos="1440"/>
        </w:tabs>
        <w:ind w:left="1080"/>
        <w:jc w:val="both"/>
        <w:rPr>
          <w:rFonts w:ascii="Arial" w:hAnsi="Arial" w:cs="Arial"/>
          <w:sz w:val="24"/>
          <w:szCs w:val="24"/>
        </w:rPr>
      </w:pPr>
    </w:p>
    <w:p w14:paraId="2DB515A7" w14:textId="77777777" w:rsidR="00FF6DFF" w:rsidRPr="003B2A62" w:rsidRDefault="00FF6DFF" w:rsidP="00FF6DFF">
      <w:pPr>
        <w:pStyle w:val="ListParagraph"/>
        <w:numPr>
          <w:ilvl w:val="0"/>
          <w:numId w:val="17"/>
        </w:numPr>
        <w:shd w:val="clear" w:color="auto" w:fill="D9D9D9" w:themeFill="background1" w:themeFillShade="D9"/>
        <w:tabs>
          <w:tab w:val="left" w:pos="1440"/>
        </w:tabs>
        <w:contextualSpacing/>
        <w:jc w:val="both"/>
        <w:rPr>
          <w:rFonts w:ascii="Arial" w:hAnsi="Arial" w:cs="Arial"/>
          <w:sz w:val="24"/>
          <w:szCs w:val="24"/>
        </w:rPr>
      </w:pPr>
      <w:r>
        <w:rPr>
          <w:rFonts w:ascii="Arial" w:hAnsi="Arial" w:cs="Arial"/>
          <w:sz w:val="24"/>
          <w:szCs w:val="24"/>
        </w:rPr>
        <w:t>Resources from Cooperating Partners be underpinned by the finalization of the new COMESA Secretariat organizational structure and the accompanying staff compliment.</w:t>
      </w:r>
    </w:p>
    <w:sectPr w:rsidR="00FF6DFF" w:rsidRPr="003B2A62" w:rsidSect="002B0DD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C3E71" w14:textId="77777777" w:rsidR="00552D9A" w:rsidRDefault="00552D9A" w:rsidP="008E7CE9">
      <w:r>
        <w:separator/>
      </w:r>
    </w:p>
  </w:endnote>
  <w:endnote w:type="continuationSeparator" w:id="0">
    <w:p w14:paraId="4019D516" w14:textId="77777777" w:rsidR="00552D9A" w:rsidRDefault="00552D9A" w:rsidP="008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EYInterstate Light">
    <w:altName w:val="Calibri"/>
    <w:charset w:val="00"/>
    <w:family w:val="auto"/>
    <w:pitch w:val="variable"/>
    <w:sig w:usb0="A00002AF" w:usb1="5000206A" w:usb2="00000000" w:usb3="00000000" w:csb0="0000009F" w:csb1="00000000"/>
  </w:font>
  <w:font w:name="EYInterstate Light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815989"/>
      <w:docPartObj>
        <w:docPartGallery w:val="Page Numbers (Bottom of Page)"/>
        <w:docPartUnique/>
      </w:docPartObj>
    </w:sdtPr>
    <w:sdtEndPr>
      <w:rPr>
        <w:noProof/>
      </w:rPr>
    </w:sdtEndPr>
    <w:sdtContent>
      <w:p w14:paraId="2B60BD88" w14:textId="337C5879" w:rsidR="00FF6DFF" w:rsidRDefault="00FF6D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0BD88" w14:textId="337C5879" w:rsidR="00FF6DFF" w:rsidRDefault="00FF6DFF" w:rsidP="001F0C8F">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9309" w14:textId="77777777" w:rsidR="00552D9A" w:rsidRDefault="00552D9A" w:rsidP="008E7CE9">
      <w:r>
        <w:separator/>
      </w:r>
    </w:p>
  </w:footnote>
  <w:footnote w:type="continuationSeparator" w:id="0">
    <w:p w14:paraId="1E7E32E3" w14:textId="77777777" w:rsidR="00552D9A" w:rsidRDefault="00552D9A" w:rsidP="008E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6FC5" w14:textId="77777777" w:rsidR="00FF6DFF" w:rsidRDefault="00FF6DFF" w:rsidP="00FF6DFF">
    <w:pPr>
      <w:pStyle w:val="Header"/>
      <w:jc w:val="right"/>
    </w:pPr>
    <w:r>
      <w:t>COMESA Secretariat/ADM/SC/XXII/2.4</w:t>
    </w:r>
  </w:p>
  <w:p w14:paraId="332CCDAE" w14:textId="77777777" w:rsidR="00FF6DFF" w:rsidRDefault="00FF6DFF" w:rsidP="00FF6DFF">
    <w:pPr>
      <w:pStyle w:val="Header"/>
      <w:jc w:val="right"/>
    </w:pPr>
    <w:r>
      <w:t xml:space="preserve">Page </w:t>
    </w:r>
    <w:sdt>
      <w:sdtPr>
        <w:id w:val="-174918318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789812B" w14:textId="77777777" w:rsidR="002B0252" w:rsidRDefault="002B0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F7C6A" w14:textId="65124EF0" w:rsidR="00596739" w:rsidRDefault="00596739" w:rsidP="002A423E">
    <w:pPr>
      <w:pStyle w:val="Header"/>
      <w:jc w:val="right"/>
    </w:pPr>
    <w:r>
      <w:t>COMESA Secretariat/ADM/SC/XXII/2.</w:t>
    </w:r>
    <w:r w:rsidR="00FF6DFF">
      <w:t>4</w:t>
    </w:r>
  </w:p>
  <w:p w14:paraId="0F07F24E" w14:textId="0E97680D" w:rsidR="002B0252" w:rsidRDefault="002B0252" w:rsidP="002A423E">
    <w:pPr>
      <w:pStyle w:val="Header"/>
      <w:jc w:val="right"/>
    </w:pPr>
    <w:r>
      <w:t xml:space="preserve">Page </w:t>
    </w:r>
    <w:sdt>
      <w:sdtPr>
        <w:id w:val="-176545227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B18FA37" w14:textId="77777777" w:rsidR="002B0252" w:rsidRPr="00DF4D21" w:rsidRDefault="002B0252" w:rsidP="00DF4D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88D0" w14:textId="1849D2BE" w:rsidR="002B0252" w:rsidRDefault="002B0252" w:rsidP="006372F4">
    <w:pPr>
      <w:pStyle w:val="Header"/>
      <w:tabs>
        <w:tab w:val="left" w:pos="1208"/>
        <w:tab w:val="right" w:pos="9026"/>
      </w:tabs>
    </w:pPr>
    <w:r>
      <w:tab/>
    </w:r>
    <w:r>
      <w:tab/>
    </w:r>
    <w:r>
      <w:tab/>
      <w:t>COMESA Secretariat/ADM/SC/XXII/2.</w:t>
    </w:r>
    <w:r w:rsidR="00FF6DFF">
      <w:t>4</w:t>
    </w:r>
  </w:p>
  <w:p w14:paraId="27018D79" w14:textId="77777777" w:rsidR="002B0252" w:rsidRDefault="002B0252" w:rsidP="002A423E">
    <w:pPr>
      <w:pStyle w:val="Header"/>
      <w:jc w:val="right"/>
    </w:pPr>
    <w:r>
      <w:t xml:space="preserve">Page </w:t>
    </w:r>
    <w:sdt>
      <w:sdtPr>
        <w:id w:val="-10848397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3B1C0997" w14:textId="77777777" w:rsidR="002B0252" w:rsidRDefault="002B0252" w:rsidP="0089538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AB100" w14:textId="77777777" w:rsidR="00FF6DFF" w:rsidRDefault="00FF6DFF" w:rsidP="00FF6DFF">
    <w:pPr>
      <w:pStyle w:val="Header"/>
      <w:jc w:val="right"/>
    </w:pPr>
    <w:r>
      <w:t>COMESA Secretariat/ADM/SC/XXII/2.4</w:t>
    </w:r>
  </w:p>
  <w:p w14:paraId="69B53393" w14:textId="77777777" w:rsidR="00FF6DFF" w:rsidRDefault="00FF6DFF" w:rsidP="00FF6DFF">
    <w:pPr>
      <w:pStyle w:val="Header"/>
      <w:jc w:val="right"/>
    </w:pPr>
    <w:r>
      <w:t xml:space="preserve">Page </w:t>
    </w:r>
    <w:sdt>
      <w:sdtPr>
        <w:id w:val="-77085751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60B795EF" w14:textId="77777777" w:rsidR="00FF6DFF" w:rsidRDefault="00FF6DFF" w:rsidP="00FF6DFF">
    <w:pPr>
      <w:pStyle w:val="Header"/>
      <w:jc w:val="right"/>
    </w:pPr>
    <w:r w:rsidRPr="003237D9">
      <w:rPr>
        <w:rFonts w:ascii="Arial" w:hAnsi="Arial" w:cs="Arial"/>
        <w:noProof/>
      </w:rPr>
      <w:t xml:space="preserve"> </w:t>
    </w:r>
    <w:r w:rsidRPr="003237D9">
      <w:rPr>
        <w:rFonts w:ascii="Arial" w:hAnsi="Arial" w:cs="Arial"/>
        <w:noProof/>
      </w:rPr>
      <w:drawing>
        <wp:inline distT="0" distB="0" distL="0" distR="0" wp14:anchorId="22313F74" wp14:editId="565C01FB">
          <wp:extent cx="376237" cy="376237"/>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383477" cy="383477"/>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95EF" w14:textId="77777777" w:rsidR="00FF6DFF" w:rsidRDefault="00FF6DFF" w:rsidP="00FF6DFF">
    <w:pPr>
      <w:pStyle w:val="Header"/>
      <w:jc w:val="right"/>
    </w:pPr>
    <w:r>
      <w:t>COMESA Secretariat/ADM/SC/XXII/2.4</w:t>
    </w:r>
  </w:p>
  <w:p w14:paraId="7DFFD8FF" w14:textId="77777777" w:rsidR="00FF6DFF" w:rsidRDefault="00FF6DFF" w:rsidP="00FF6DFF">
    <w:pPr>
      <w:pStyle w:val="Header"/>
      <w:jc w:val="right"/>
    </w:pPr>
    <w:r>
      <w:t xml:space="preserve">Page </w:t>
    </w:r>
    <w:sdt>
      <w:sdtPr>
        <w:id w:val="21366814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066EE203" w14:textId="63FB6DBF" w:rsidR="00FF6DFF" w:rsidRPr="00FF6DFF" w:rsidRDefault="00FF6DFF" w:rsidP="00FF6D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D6E9" w14:textId="77777777" w:rsidR="00FF6DFF" w:rsidRDefault="00FF6DF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6CA03" w14:textId="77777777" w:rsidR="00FF6DFF" w:rsidRDefault="00FF6DFF" w:rsidP="00FF6DFF">
    <w:pPr>
      <w:pStyle w:val="Header"/>
      <w:jc w:val="right"/>
    </w:pPr>
    <w:r>
      <w:t>COMESA Secretariat/ADM/SC/XXII/2.4</w:t>
    </w:r>
  </w:p>
  <w:p w14:paraId="3F30BA2B" w14:textId="77777777" w:rsidR="00FF6DFF" w:rsidRDefault="00FF6DFF" w:rsidP="00FF6DFF">
    <w:pPr>
      <w:pStyle w:val="Header"/>
      <w:jc w:val="right"/>
    </w:pPr>
    <w:r>
      <w:t xml:space="preserve">Page </w:t>
    </w:r>
    <w:sdt>
      <w:sdtPr>
        <w:id w:val="-12346901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76DB1B42" w14:textId="77777777" w:rsidR="00B74270" w:rsidRDefault="00552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4EC"/>
    <w:multiLevelType w:val="hybridMultilevel"/>
    <w:tmpl w:val="BE02F05C"/>
    <w:lvl w:ilvl="0" w:tplc="49CA29A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9C01E0"/>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3E8C"/>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1341A"/>
    <w:multiLevelType w:val="multilevel"/>
    <w:tmpl w:val="1A082EE8"/>
    <w:lvl w:ilvl="0">
      <w:start w:val="1"/>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A51"/>
    <w:multiLevelType w:val="hybridMultilevel"/>
    <w:tmpl w:val="338E1684"/>
    <w:lvl w:ilvl="0" w:tplc="49EAFB9A">
      <w:start w:val="1"/>
      <w:numFmt w:val="lowerRoman"/>
      <w:lvlText w:val="(%1)"/>
      <w:lvlJc w:val="left"/>
      <w:pPr>
        <w:ind w:left="720" w:hanging="360"/>
      </w:pPr>
      <w:rPr>
        <w:rFonts w:eastAsia="Batang"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E499B"/>
    <w:multiLevelType w:val="hybridMultilevel"/>
    <w:tmpl w:val="0AD6F8DC"/>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97597"/>
    <w:multiLevelType w:val="hybridMultilevel"/>
    <w:tmpl w:val="5F66361E"/>
    <w:lvl w:ilvl="0" w:tplc="CC88F2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4E3FB0"/>
    <w:multiLevelType w:val="hybridMultilevel"/>
    <w:tmpl w:val="DA08034E"/>
    <w:lvl w:ilvl="0" w:tplc="7550F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13B40"/>
    <w:multiLevelType w:val="hybridMultilevel"/>
    <w:tmpl w:val="1F2A0656"/>
    <w:lvl w:ilvl="0" w:tplc="6A0225A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1665B"/>
    <w:multiLevelType w:val="hybridMultilevel"/>
    <w:tmpl w:val="057824DC"/>
    <w:lvl w:ilvl="0" w:tplc="7B8C33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7F7A61"/>
    <w:multiLevelType w:val="hybridMultilevel"/>
    <w:tmpl w:val="6E66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3910EC"/>
    <w:multiLevelType w:val="hybridMultilevel"/>
    <w:tmpl w:val="C4883542"/>
    <w:lvl w:ilvl="0" w:tplc="9C6E9C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3067BD"/>
    <w:multiLevelType w:val="hybridMultilevel"/>
    <w:tmpl w:val="8454154A"/>
    <w:lvl w:ilvl="0" w:tplc="6B3C4D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650404"/>
    <w:multiLevelType w:val="hybridMultilevel"/>
    <w:tmpl w:val="B62892B6"/>
    <w:lvl w:ilvl="0" w:tplc="DE04FD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C36DF6"/>
    <w:multiLevelType w:val="hybridMultilevel"/>
    <w:tmpl w:val="5CE093C2"/>
    <w:lvl w:ilvl="0" w:tplc="049AE9DC">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C5F7E"/>
    <w:multiLevelType w:val="hybridMultilevel"/>
    <w:tmpl w:val="4AA8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D7BE1"/>
    <w:multiLevelType w:val="hybridMultilevel"/>
    <w:tmpl w:val="4A006D6C"/>
    <w:lvl w:ilvl="0" w:tplc="8280DC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8"/>
  </w:num>
  <w:num w:numId="3">
    <w:abstractNumId w:val="3"/>
  </w:num>
  <w:num w:numId="4">
    <w:abstractNumId w:val="16"/>
  </w:num>
  <w:num w:numId="5">
    <w:abstractNumId w:val="15"/>
  </w:num>
  <w:num w:numId="6">
    <w:abstractNumId w:val="1"/>
  </w:num>
  <w:num w:numId="7">
    <w:abstractNumId w:val="2"/>
  </w:num>
  <w:num w:numId="8">
    <w:abstractNumId w:val="9"/>
  </w:num>
  <w:num w:numId="9">
    <w:abstractNumId w:val="6"/>
  </w:num>
  <w:num w:numId="10">
    <w:abstractNumId w:val="12"/>
  </w:num>
  <w:num w:numId="11">
    <w:abstractNumId w:val="0"/>
  </w:num>
  <w:num w:numId="12">
    <w:abstractNumId w:val="5"/>
  </w:num>
  <w:num w:numId="13">
    <w:abstractNumId w:val="10"/>
  </w:num>
  <w:num w:numId="14">
    <w:abstractNumId w:val="14"/>
  </w:num>
  <w:num w:numId="15">
    <w:abstractNumId w:val="13"/>
  </w:num>
  <w:num w:numId="16">
    <w:abstractNumId w:val="4"/>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CE"/>
    <w:rsid w:val="00002145"/>
    <w:rsid w:val="000032A5"/>
    <w:rsid w:val="00010CB9"/>
    <w:rsid w:val="00010F6D"/>
    <w:rsid w:val="00014CF1"/>
    <w:rsid w:val="00021397"/>
    <w:rsid w:val="0002150F"/>
    <w:rsid w:val="00030584"/>
    <w:rsid w:val="000317C9"/>
    <w:rsid w:val="00031AF5"/>
    <w:rsid w:val="00031C44"/>
    <w:rsid w:val="00034478"/>
    <w:rsid w:val="0003747F"/>
    <w:rsid w:val="00045F92"/>
    <w:rsid w:val="00047BF0"/>
    <w:rsid w:val="00051487"/>
    <w:rsid w:val="00051FC7"/>
    <w:rsid w:val="000560C6"/>
    <w:rsid w:val="00056750"/>
    <w:rsid w:val="000618ED"/>
    <w:rsid w:val="00062F73"/>
    <w:rsid w:val="00067746"/>
    <w:rsid w:val="00070DF0"/>
    <w:rsid w:val="00074871"/>
    <w:rsid w:val="000765A1"/>
    <w:rsid w:val="00076E71"/>
    <w:rsid w:val="000813FB"/>
    <w:rsid w:val="00082BCA"/>
    <w:rsid w:val="00085501"/>
    <w:rsid w:val="00087BB8"/>
    <w:rsid w:val="00090D47"/>
    <w:rsid w:val="00092045"/>
    <w:rsid w:val="00092E72"/>
    <w:rsid w:val="000932C8"/>
    <w:rsid w:val="000946D7"/>
    <w:rsid w:val="000A0980"/>
    <w:rsid w:val="000A155C"/>
    <w:rsid w:val="000A1989"/>
    <w:rsid w:val="000A5503"/>
    <w:rsid w:val="000A55DA"/>
    <w:rsid w:val="000A6258"/>
    <w:rsid w:val="000A76D6"/>
    <w:rsid w:val="000B2273"/>
    <w:rsid w:val="000B4205"/>
    <w:rsid w:val="000B4AFC"/>
    <w:rsid w:val="000C03E0"/>
    <w:rsid w:val="000C11F6"/>
    <w:rsid w:val="000C1712"/>
    <w:rsid w:val="000C41AD"/>
    <w:rsid w:val="000C51F6"/>
    <w:rsid w:val="000C6734"/>
    <w:rsid w:val="000C6EC2"/>
    <w:rsid w:val="000C7CE8"/>
    <w:rsid w:val="000D487B"/>
    <w:rsid w:val="000D5D1A"/>
    <w:rsid w:val="000D6D3D"/>
    <w:rsid w:val="000D77FB"/>
    <w:rsid w:val="000D7D2F"/>
    <w:rsid w:val="000D7E7F"/>
    <w:rsid w:val="000E0BF4"/>
    <w:rsid w:val="000E1BCF"/>
    <w:rsid w:val="000E21DF"/>
    <w:rsid w:val="000E2E32"/>
    <w:rsid w:val="000F13EE"/>
    <w:rsid w:val="000F43B4"/>
    <w:rsid w:val="000F4950"/>
    <w:rsid w:val="000F4CE4"/>
    <w:rsid w:val="000F6D4D"/>
    <w:rsid w:val="00112CCD"/>
    <w:rsid w:val="00113A34"/>
    <w:rsid w:val="00114651"/>
    <w:rsid w:val="00114D51"/>
    <w:rsid w:val="001205F5"/>
    <w:rsid w:val="001226D9"/>
    <w:rsid w:val="00123373"/>
    <w:rsid w:val="00123438"/>
    <w:rsid w:val="00125B1D"/>
    <w:rsid w:val="00125BA5"/>
    <w:rsid w:val="0012662B"/>
    <w:rsid w:val="00126889"/>
    <w:rsid w:val="0013189F"/>
    <w:rsid w:val="0013448B"/>
    <w:rsid w:val="00135A7D"/>
    <w:rsid w:val="001361BB"/>
    <w:rsid w:val="00137C7E"/>
    <w:rsid w:val="00140589"/>
    <w:rsid w:val="0014411E"/>
    <w:rsid w:val="00144912"/>
    <w:rsid w:val="001460A8"/>
    <w:rsid w:val="0014735C"/>
    <w:rsid w:val="00152832"/>
    <w:rsid w:val="00156162"/>
    <w:rsid w:val="00161140"/>
    <w:rsid w:val="00162211"/>
    <w:rsid w:val="00166F78"/>
    <w:rsid w:val="0016714E"/>
    <w:rsid w:val="0016730E"/>
    <w:rsid w:val="00172A1C"/>
    <w:rsid w:val="00174A8B"/>
    <w:rsid w:val="001825CE"/>
    <w:rsid w:val="001837DC"/>
    <w:rsid w:val="00186F0A"/>
    <w:rsid w:val="00191B1C"/>
    <w:rsid w:val="0019260A"/>
    <w:rsid w:val="00192D02"/>
    <w:rsid w:val="00194AF4"/>
    <w:rsid w:val="00195688"/>
    <w:rsid w:val="00196DF9"/>
    <w:rsid w:val="001A0605"/>
    <w:rsid w:val="001A44F8"/>
    <w:rsid w:val="001B11A3"/>
    <w:rsid w:val="001B1643"/>
    <w:rsid w:val="001B3669"/>
    <w:rsid w:val="001B46B1"/>
    <w:rsid w:val="001B693B"/>
    <w:rsid w:val="001C667C"/>
    <w:rsid w:val="001C7A78"/>
    <w:rsid w:val="001D1B7D"/>
    <w:rsid w:val="001D4EC2"/>
    <w:rsid w:val="001E178E"/>
    <w:rsid w:val="001E1C4F"/>
    <w:rsid w:val="001E35ED"/>
    <w:rsid w:val="001E3652"/>
    <w:rsid w:val="001E4388"/>
    <w:rsid w:val="001E639F"/>
    <w:rsid w:val="001E6DA5"/>
    <w:rsid w:val="001E78B1"/>
    <w:rsid w:val="001F16F5"/>
    <w:rsid w:val="001F730D"/>
    <w:rsid w:val="0020002A"/>
    <w:rsid w:val="00200A2A"/>
    <w:rsid w:val="00204506"/>
    <w:rsid w:val="00204BF6"/>
    <w:rsid w:val="0020791B"/>
    <w:rsid w:val="00216040"/>
    <w:rsid w:val="00216CCF"/>
    <w:rsid w:val="0022072F"/>
    <w:rsid w:val="0022078F"/>
    <w:rsid w:val="00227172"/>
    <w:rsid w:val="00227D08"/>
    <w:rsid w:val="00232239"/>
    <w:rsid w:val="00233AC1"/>
    <w:rsid w:val="00237041"/>
    <w:rsid w:val="002409DA"/>
    <w:rsid w:val="002421E7"/>
    <w:rsid w:val="002431B5"/>
    <w:rsid w:val="00246B52"/>
    <w:rsid w:val="002509F2"/>
    <w:rsid w:val="002535B2"/>
    <w:rsid w:val="002561CF"/>
    <w:rsid w:val="002565EA"/>
    <w:rsid w:val="00257A8D"/>
    <w:rsid w:val="002620EF"/>
    <w:rsid w:val="0026259A"/>
    <w:rsid w:val="00273966"/>
    <w:rsid w:val="00274775"/>
    <w:rsid w:val="00281946"/>
    <w:rsid w:val="00281C86"/>
    <w:rsid w:val="0028347E"/>
    <w:rsid w:val="0028373C"/>
    <w:rsid w:val="002854FC"/>
    <w:rsid w:val="00287311"/>
    <w:rsid w:val="00287E90"/>
    <w:rsid w:val="00292966"/>
    <w:rsid w:val="00292F4F"/>
    <w:rsid w:val="00293C21"/>
    <w:rsid w:val="00294739"/>
    <w:rsid w:val="00294C31"/>
    <w:rsid w:val="002A16FB"/>
    <w:rsid w:val="002A1C78"/>
    <w:rsid w:val="002A423E"/>
    <w:rsid w:val="002A433D"/>
    <w:rsid w:val="002A44C2"/>
    <w:rsid w:val="002A4C8E"/>
    <w:rsid w:val="002A508E"/>
    <w:rsid w:val="002A648E"/>
    <w:rsid w:val="002A777B"/>
    <w:rsid w:val="002B011F"/>
    <w:rsid w:val="002B0252"/>
    <w:rsid w:val="002B1917"/>
    <w:rsid w:val="002C050F"/>
    <w:rsid w:val="002C2E08"/>
    <w:rsid w:val="002C34C5"/>
    <w:rsid w:val="002C5176"/>
    <w:rsid w:val="002C7881"/>
    <w:rsid w:val="002C7AC0"/>
    <w:rsid w:val="002D1019"/>
    <w:rsid w:val="002E2F1E"/>
    <w:rsid w:val="002E4EC3"/>
    <w:rsid w:val="002E7D66"/>
    <w:rsid w:val="002F15B0"/>
    <w:rsid w:val="002F2138"/>
    <w:rsid w:val="002F67F3"/>
    <w:rsid w:val="003033EC"/>
    <w:rsid w:val="003034B7"/>
    <w:rsid w:val="00303B53"/>
    <w:rsid w:val="0030777A"/>
    <w:rsid w:val="00307A2F"/>
    <w:rsid w:val="003109ED"/>
    <w:rsid w:val="00311875"/>
    <w:rsid w:val="00312670"/>
    <w:rsid w:val="00316214"/>
    <w:rsid w:val="00316FEC"/>
    <w:rsid w:val="00317B75"/>
    <w:rsid w:val="00323550"/>
    <w:rsid w:val="003257D2"/>
    <w:rsid w:val="003353D3"/>
    <w:rsid w:val="00342070"/>
    <w:rsid w:val="003620AB"/>
    <w:rsid w:val="0036238B"/>
    <w:rsid w:val="00363EAB"/>
    <w:rsid w:val="00365B47"/>
    <w:rsid w:val="003669E1"/>
    <w:rsid w:val="00366DB1"/>
    <w:rsid w:val="00370E4F"/>
    <w:rsid w:val="00374BFA"/>
    <w:rsid w:val="00376CFB"/>
    <w:rsid w:val="00382879"/>
    <w:rsid w:val="00386FE7"/>
    <w:rsid w:val="00387710"/>
    <w:rsid w:val="003A317F"/>
    <w:rsid w:val="003A3EE4"/>
    <w:rsid w:val="003B3384"/>
    <w:rsid w:val="003B602B"/>
    <w:rsid w:val="003C0D75"/>
    <w:rsid w:val="003C1766"/>
    <w:rsid w:val="003C180B"/>
    <w:rsid w:val="003C2CA8"/>
    <w:rsid w:val="003C2F43"/>
    <w:rsid w:val="003C30B5"/>
    <w:rsid w:val="003C7D4C"/>
    <w:rsid w:val="003D367C"/>
    <w:rsid w:val="003E0905"/>
    <w:rsid w:val="003E0B04"/>
    <w:rsid w:val="003E23B1"/>
    <w:rsid w:val="003F0C38"/>
    <w:rsid w:val="003F225C"/>
    <w:rsid w:val="0040136E"/>
    <w:rsid w:val="00402B05"/>
    <w:rsid w:val="004042AE"/>
    <w:rsid w:val="00410A58"/>
    <w:rsid w:val="00412EF5"/>
    <w:rsid w:val="00413E1D"/>
    <w:rsid w:val="00415CE5"/>
    <w:rsid w:val="0042021D"/>
    <w:rsid w:val="00421DD8"/>
    <w:rsid w:val="004263A4"/>
    <w:rsid w:val="00430F2B"/>
    <w:rsid w:val="00434E4A"/>
    <w:rsid w:val="00436E8A"/>
    <w:rsid w:val="00441732"/>
    <w:rsid w:val="00441FCF"/>
    <w:rsid w:val="0044564F"/>
    <w:rsid w:val="004472B7"/>
    <w:rsid w:val="00450C9F"/>
    <w:rsid w:val="004511CB"/>
    <w:rsid w:val="00452FC5"/>
    <w:rsid w:val="00461635"/>
    <w:rsid w:val="0046198E"/>
    <w:rsid w:val="00461FF1"/>
    <w:rsid w:val="00462286"/>
    <w:rsid w:val="00462DE3"/>
    <w:rsid w:val="004669A2"/>
    <w:rsid w:val="0047060F"/>
    <w:rsid w:val="004716A0"/>
    <w:rsid w:val="004773AC"/>
    <w:rsid w:val="0047768A"/>
    <w:rsid w:val="00477B0E"/>
    <w:rsid w:val="00482773"/>
    <w:rsid w:val="0048295B"/>
    <w:rsid w:val="00490DAE"/>
    <w:rsid w:val="004929F6"/>
    <w:rsid w:val="00493238"/>
    <w:rsid w:val="00493849"/>
    <w:rsid w:val="00494D01"/>
    <w:rsid w:val="0049633F"/>
    <w:rsid w:val="00497FFC"/>
    <w:rsid w:val="004A23E9"/>
    <w:rsid w:val="004A3910"/>
    <w:rsid w:val="004A5C78"/>
    <w:rsid w:val="004A5D96"/>
    <w:rsid w:val="004A6822"/>
    <w:rsid w:val="004B04B8"/>
    <w:rsid w:val="004B37CD"/>
    <w:rsid w:val="004B38D3"/>
    <w:rsid w:val="004B5A67"/>
    <w:rsid w:val="004B6E7B"/>
    <w:rsid w:val="004B7CF8"/>
    <w:rsid w:val="004B7F3F"/>
    <w:rsid w:val="004C03B1"/>
    <w:rsid w:val="004C1696"/>
    <w:rsid w:val="004C24E2"/>
    <w:rsid w:val="004C5618"/>
    <w:rsid w:val="004C5C8B"/>
    <w:rsid w:val="004C646F"/>
    <w:rsid w:val="004C6AD0"/>
    <w:rsid w:val="004C7A77"/>
    <w:rsid w:val="004D2E1E"/>
    <w:rsid w:val="004D2E2E"/>
    <w:rsid w:val="004D304C"/>
    <w:rsid w:val="004D610B"/>
    <w:rsid w:val="004E0127"/>
    <w:rsid w:val="004E2BDE"/>
    <w:rsid w:val="004E666D"/>
    <w:rsid w:val="004E7578"/>
    <w:rsid w:val="004F0AFB"/>
    <w:rsid w:val="004F19C6"/>
    <w:rsid w:val="004F2AEA"/>
    <w:rsid w:val="004F46CB"/>
    <w:rsid w:val="004F4BB3"/>
    <w:rsid w:val="004F5C76"/>
    <w:rsid w:val="00501448"/>
    <w:rsid w:val="00505024"/>
    <w:rsid w:val="00506FF7"/>
    <w:rsid w:val="00507575"/>
    <w:rsid w:val="00510C4B"/>
    <w:rsid w:val="00520D7C"/>
    <w:rsid w:val="00521C77"/>
    <w:rsid w:val="00523ED3"/>
    <w:rsid w:val="00524C64"/>
    <w:rsid w:val="0052524B"/>
    <w:rsid w:val="0053154C"/>
    <w:rsid w:val="0053228E"/>
    <w:rsid w:val="00532947"/>
    <w:rsid w:val="005376DD"/>
    <w:rsid w:val="00541085"/>
    <w:rsid w:val="00546549"/>
    <w:rsid w:val="0055021A"/>
    <w:rsid w:val="0055167C"/>
    <w:rsid w:val="0055178A"/>
    <w:rsid w:val="0055269B"/>
    <w:rsid w:val="00552D9A"/>
    <w:rsid w:val="00552F5A"/>
    <w:rsid w:val="00553B03"/>
    <w:rsid w:val="00562C83"/>
    <w:rsid w:val="005640C9"/>
    <w:rsid w:val="00564E18"/>
    <w:rsid w:val="00571B70"/>
    <w:rsid w:val="00572BBC"/>
    <w:rsid w:val="005739EE"/>
    <w:rsid w:val="005764EC"/>
    <w:rsid w:val="005844B9"/>
    <w:rsid w:val="00584D24"/>
    <w:rsid w:val="00585D04"/>
    <w:rsid w:val="00587EC8"/>
    <w:rsid w:val="00594501"/>
    <w:rsid w:val="00596739"/>
    <w:rsid w:val="005A2745"/>
    <w:rsid w:val="005A3F0F"/>
    <w:rsid w:val="005A4B84"/>
    <w:rsid w:val="005A7826"/>
    <w:rsid w:val="005B308F"/>
    <w:rsid w:val="005B38AA"/>
    <w:rsid w:val="005B3AF8"/>
    <w:rsid w:val="005B4213"/>
    <w:rsid w:val="005B618E"/>
    <w:rsid w:val="005B640E"/>
    <w:rsid w:val="005B65AA"/>
    <w:rsid w:val="005B672A"/>
    <w:rsid w:val="005B7F09"/>
    <w:rsid w:val="005C11A2"/>
    <w:rsid w:val="005C1339"/>
    <w:rsid w:val="005C4BC6"/>
    <w:rsid w:val="005C6A47"/>
    <w:rsid w:val="005C7CE2"/>
    <w:rsid w:val="005C7EED"/>
    <w:rsid w:val="005D30EC"/>
    <w:rsid w:val="005D3C7F"/>
    <w:rsid w:val="005D55B8"/>
    <w:rsid w:val="005E4B3D"/>
    <w:rsid w:val="005E65AE"/>
    <w:rsid w:val="005F20F0"/>
    <w:rsid w:val="005F2AD4"/>
    <w:rsid w:val="005F7467"/>
    <w:rsid w:val="005F7572"/>
    <w:rsid w:val="00601A78"/>
    <w:rsid w:val="00606944"/>
    <w:rsid w:val="00611B67"/>
    <w:rsid w:val="00611E40"/>
    <w:rsid w:val="0061562F"/>
    <w:rsid w:val="00621CF1"/>
    <w:rsid w:val="00625386"/>
    <w:rsid w:val="0062791A"/>
    <w:rsid w:val="0063010E"/>
    <w:rsid w:val="00633800"/>
    <w:rsid w:val="00633DAD"/>
    <w:rsid w:val="00635F6C"/>
    <w:rsid w:val="00636C6D"/>
    <w:rsid w:val="0063711F"/>
    <w:rsid w:val="006372EC"/>
    <w:rsid w:val="006372F4"/>
    <w:rsid w:val="00637FE1"/>
    <w:rsid w:val="0064014D"/>
    <w:rsid w:val="00640643"/>
    <w:rsid w:val="00640F62"/>
    <w:rsid w:val="006472F5"/>
    <w:rsid w:val="00647FAA"/>
    <w:rsid w:val="00652302"/>
    <w:rsid w:val="0065304C"/>
    <w:rsid w:val="00653A60"/>
    <w:rsid w:val="00654531"/>
    <w:rsid w:val="00662BB0"/>
    <w:rsid w:val="0066698F"/>
    <w:rsid w:val="006705D7"/>
    <w:rsid w:val="00677919"/>
    <w:rsid w:val="0068027C"/>
    <w:rsid w:val="0068211C"/>
    <w:rsid w:val="00682742"/>
    <w:rsid w:val="00685F93"/>
    <w:rsid w:val="00687DAF"/>
    <w:rsid w:val="00692AB3"/>
    <w:rsid w:val="006A3DFE"/>
    <w:rsid w:val="006A5E8F"/>
    <w:rsid w:val="006B2443"/>
    <w:rsid w:val="006B3EEC"/>
    <w:rsid w:val="006C0E36"/>
    <w:rsid w:val="006C6661"/>
    <w:rsid w:val="006C7C2C"/>
    <w:rsid w:val="006D1095"/>
    <w:rsid w:val="006D3860"/>
    <w:rsid w:val="006D3D26"/>
    <w:rsid w:val="006D66D4"/>
    <w:rsid w:val="006D6B09"/>
    <w:rsid w:val="006D7EFF"/>
    <w:rsid w:val="006E3069"/>
    <w:rsid w:val="006E3077"/>
    <w:rsid w:val="006E39F6"/>
    <w:rsid w:val="006E7EEB"/>
    <w:rsid w:val="006F6092"/>
    <w:rsid w:val="006F7A64"/>
    <w:rsid w:val="00701CFB"/>
    <w:rsid w:val="00704E92"/>
    <w:rsid w:val="00705EE6"/>
    <w:rsid w:val="007060AD"/>
    <w:rsid w:val="00706D93"/>
    <w:rsid w:val="007146AB"/>
    <w:rsid w:val="00717630"/>
    <w:rsid w:val="00717A1A"/>
    <w:rsid w:val="007204BE"/>
    <w:rsid w:val="00726F21"/>
    <w:rsid w:val="00727AA6"/>
    <w:rsid w:val="00733823"/>
    <w:rsid w:val="00736013"/>
    <w:rsid w:val="007363D3"/>
    <w:rsid w:val="007364DA"/>
    <w:rsid w:val="007366D9"/>
    <w:rsid w:val="007426D2"/>
    <w:rsid w:val="00746153"/>
    <w:rsid w:val="007468A4"/>
    <w:rsid w:val="00751E36"/>
    <w:rsid w:val="007608DB"/>
    <w:rsid w:val="007612F7"/>
    <w:rsid w:val="007637F6"/>
    <w:rsid w:val="0076614F"/>
    <w:rsid w:val="0077272E"/>
    <w:rsid w:val="007728A7"/>
    <w:rsid w:val="007749B2"/>
    <w:rsid w:val="00775779"/>
    <w:rsid w:val="0078307B"/>
    <w:rsid w:val="00783357"/>
    <w:rsid w:val="00786361"/>
    <w:rsid w:val="00792DA5"/>
    <w:rsid w:val="007960F1"/>
    <w:rsid w:val="007A14D5"/>
    <w:rsid w:val="007A2268"/>
    <w:rsid w:val="007A33F8"/>
    <w:rsid w:val="007A4A82"/>
    <w:rsid w:val="007A695E"/>
    <w:rsid w:val="007B25DA"/>
    <w:rsid w:val="007B7EB1"/>
    <w:rsid w:val="007C01DA"/>
    <w:rsid w:val="007C1083"/>
    <w:rsid w:val="007C1D2E"/>
    <w:rsid w:val="007C2B06"/>
    <w:rsid w:val="007C5E8C"/>
    <w:rsid w:val="007D0115"/>
    <w:rsid w:val="007D386E"/>
    <w:rsid w:val="007D3C14"/>
    <w:rsid w:val="007E36A4"/>
    <w:rsid w:val="007E55AD"/>
    <w:rsid w:val="007F118A"/>
    <w:rsid w:val="007F1DA8"/>
    <w:rsid w:val="007F51A2"/>
    <w:rsid w:val="007F62F8"/>
    <w:rsid w:val="007F68FE"/>
    <w:rsid w:val="007F6C3E"/>
    <w:rsid w:val="0080430A"/>
    <w:rsid w:val="00806C87"/>
    <w:rsid w:val="00810B25"/>
    <w:rsid w:val="008142DD"/>
    <w:rsid w:val="00814394"/>
    <w:rsid w:val="00815A5A"/>
    <w:rsid w:val="00816782"/>
    <w:rsid w:val="008171CD"/>
    <w:rsid w:val="00820307"/>
    <w:rsid w:val="008212A3"/>
    <w:rsid w:val="00826E54"/>
    <w:rsid w:val="00826F8A"/>
    <w:rsid w:val="00830E88"/>
    <w:rsid w:val="008329BB"/>
    <w:rsid w:val="00835CD2"/>
    <w:rsid w:val="008459B1"/>
    <w:rsid w:val="0085249C"/>
    <w:rsid w:val="008571FF"/>
    <w:rsid w:val="00860CC1"/>
    <w:rsid w:val="008615C1"/>
    <w:rsid w:val="00861DB7"/>
    <w:rsid w:val="008714E0"/>
    <w:rsid w:val="00872477"/>
    <w:rsid w:val="0087392C"/>
    <w:rsid w:val="0087411A"/>
    <w:rsid w:val="00875778"/>
    <w:rsid w:val="00882957"/>
    <w:rsid w:val="008832EB"/>
    <w:rsid w:val="00884CAB"/>
    <w:rsid w:val="00886130"/>
    <w:rsid w:val="008867D0"/>
    <w:rsid w:val="00886AD7"/>
    <w:rsid w:val="00890E94"/>
    <w:rsid w:val="00892F24"/>
    <w:rsid w:val="0089318E"/>
    <w:rsid w:val="008939DC"/>
    <w:rsid w:val="00894E5E"/>
    <w:rsid w:val="00895384"/>
    <w:rsid w:val="008A10AA"/>
    <w:rsid w:val="008A1F44"/>
    <w:rsid w:val="008A35A9"/>
    <w:rsid w:val="008A3CB2"/>
    <w:rsid w:val="008B0735"/>
    <w:rsid w:val="008B0C7B"/>
    <w:rsid w:val="008B0F52"/>
    <w:rsid w:val="008B7791"/>
    <w:rsid w:val="008B7DC9"/>
    <w:rsid w:val="008C170C"/>
    <w:rsid w:val="008C47FE"/>
    <w:rsid w:val="008C5CAC"/>
    <w:rsid w:val="008C77C4"/>
    <w:rsid w:val="008D0408"/>
    <w:rsid w:val="008D1551"/>
    <w:rsid w:val="008D5A45"/>
    <w:rsid w:val="008E154F"/>
    <w:rsid w:val="008E223F"/>
    <w:rsid w:val="008E342A"/>
    <w:rsid w:val="008E447E"/>
    <w:rsid w:val="008E448A"/>
    <w:rsid w:val="008E5A9E"/>
    <w:rsid w:val="008E5B11"/>
    <w:rsid w:val="008E7CE9"/>
    <w:rsid w:val="008F351E"/>
    <w:rsid w:val="008F40D3"/>
    <w:rsid w:val="008F640F"/>
    <w:rsid w:val="009021F6"/>
    <w:rsid w:val="00903A80"/>
    <w:rsid w:val="00904CF5"/>
    <w:rsid w:val="00907223"/>
    <w:rsid w:val="009075A3"/>
    <w:rsid w:val="00911B2F"/>
    <w:rsid w:val="00915A4B"/>
    <w:rsid w:val="00916697"/>
    <w:rsid w:val="00917C15"/>
    <w:rsid w:val="00917C48"/>
    <w:rsid w:val="00917D4B"/>
    <w:rsid w:val="00923071"/>
    <w:rsid w:val="00924211"/>
    <w:rsid w:val="00930142"/>
    <w:rsid w:val="00930511"/>
    <w:rsid w:val="0093084D"/>
    <w:rsid w:val="0093339C"/>
    <w:rsid w:val="0093484D"/>
    <w:rsid w:val="0093499E"/>
    <w:rsid w:val="00936684"/>
    <w:rsid w:val="00936938"/>
    <w:rsid w:val="0093741F"/>
    <w:rsid w:val="00943EF4"/>
    <w:rsid w:val="009441E0"/>
    <w:rsid w:val="00944E59"/>
    <w:rsid w:val="00951662"/>
    <w:rsid w:val="009566AB"/>
    <w:rsid w:val="00966D8D"/>
    <w:rsid w:val="00970D91"/>
    <w:rsid w:val="0097618F"/>
    <w:rsid w:val="009764FE"/>
    <w:rsid w:val="00976907"/>
    <w:rsid w:val="00985AEF"/>
    <w:rsid w:val="00986B28"/>
    <w:rsid w:val="0099061D"/>
    <w:rsid w:val="009923A2"/>
    <w:rsid w:val="00994691"/>
    <w:rsid w:val="00997788"/>
    <w:rsid w:val="009A6D8F"/>
    <w:rsid w:val="009A7C94"/>
    <w:rsid w:val="009B0FAF"/>
    <w:rsid w:val="009B40C8"/>
    <w:rsid w:val="009C719A"/>
    <w:rsid w:val="009D1034"/>
    <w:rsid w:val="009D1D5B"/>
    <w:rsid w:val="009D2C2C"/>
    <w:rsid w:val="009D4A64"/>
    <w:rsid w:val="009D6FF4"/>
    <w:rsid w:val="009E41C9"/>
    <w:rsid w:val="009E41CC"/>
    <w:rsid w:val="009E5898"/>
    <w:rsid w:val="009E60F2"/>
    <w:rsid w:val="009E7396"/>
    <w:rsid w:val="009F2B3F"/>
    <w:rsid w:val="009F2FB5"/>
    <w:rsid w:val="009F473D"/>
    <w:rsid w:val="009F477E"/>
    <w:rsid w:val="009F57FF"/>
    <w:rsid w:val="00A0022E"/>
    <w:rsid w:val="00A0220D"/>
    <w:rsid w:val="00A0465C"/>
    <w:rsid w:val="00A07ACE"/>
    <w:rsid w:val="00A07F89"/>
    <w:rsid w:val="00A13FDE"/>
    <w:rsid w:val="00A14BD5"/>
    <w:rsid w:val="00A165A6"/>
    <w:rsid w:val="00A17BD5"/>
    <w:rsid w:val="00A21F5F"/>
    <w:rsid w:val="00A22780"/>
    <w:rsid w:val="00A238F7"/>
    <w:rsid w:val="00A24F67"/>
    <w:rsid w:val="00A26869"/>
    <w:rsid w:val="00A276BB"/>
    <w:rsid w:val="00A3033A"/>
    <w:rsid w:val="00A32375"/>
    <w:rsid w:val="00A3252E"/>
    <w:rsid w:val="00A32BBD"/>
    <w:rsid w:val="00A3496B"/>
    <w:rsid w:val="00A34B86"/>
    <w:rsid w:val="00A35B72"/>
    <w:rsid w:val="00A36033"/>
    <w:rsid w:val="00A367E6"/>
    <w:rsid w:val="00A3729E"/>
    <w:rsid w:val="00A379EE"/>
    <w:rsid w:val="00A41AA3"/>
    <w:rsid w:val="00A41D3E"/>
    <w:rsid w:val="00A42072"/>
    <w:rsid w:val="00A43652"/>
    <w:rsid w:val="00A47781"/>
    <w:rsid w:val="00A54CF4"/>
    <w:rsid w:val="00A6403E"/>
    <w:rsid w:val="00A6454D"/>
    <w:rsid w:val="00A6469D"/>
    <w:rsid w:val="00A664E8"/>
    <w:rsid w:val="00A67FE9"/>
    <w:rsid w:val="00A70E46"/>
    <w:rsid w:val="00A76D73"/>
    <w:rsid w:val="00A81909"/>
    <w:rsid w:val="00A83656"/>
    <w:rsid w:val="00A91E20"/>
    <w:rsid w:val="00AA02BE"/>
    <w:rsid w:val="00AA0CB7"/>
    <w:rsid w:val="00AA1C48"/>
    <w:rsid w:val="00AA49A0"/>
    <w:rsid w:val="00AA53F4"/>
    <w:rsid w:val="00AB04B3"/>
    <w:rsid w:val="00AB0937"/>
    <w:rsid w:val="00AB2DE2"/>
    <w:rsid w:val="00AB469C"/>
    <w:rsid w:val="00AB5076"/>
    <w:rsid w:val="00AB6A69"/>
    <w:rsid w:val="00AC3F87"/>
    <w:rsid w:val="00AC4231"/>
    <w:rsid w:val="00AC445B"/>
    <w:rsid w:val="00AD14AD"/>
    <w:rsid w:val="00AD2396"/>
    <w:rsid w:val="00AD3C30"/>
    <w:rsid w:val="00AD74C9"/>
    <w:rsid w:val="00AE0EE6"/>
    <w:rsid w:val="00AE4426"/>
    <w:rsid w:val="00AE7141"/>
    <w:rsid w:val="00B02566"/>
    <w:rsid w:val="00B053EF"/>
    <w:rsid w:val="00B05F9B"/>
    <w:rsid w:val="00B069BE"/>
    <w:rsid w:val="00B1066C"/>
    <w:rsid w:val="00B1159B"/>
    <w:rsid w:val="00B1406C"/>
    <w:rsid w:val="00B20A72"/>
    <w:rsid w:val="00B214F8"/>
    <w:rsid w:val="00B25DD0"/>
    <w:rsid w:val="00B26020"/>
    <w:rsid w:val="00B34E46"/>
    <w:rsid w:val="00B35714"/>
    <w:rsid w:val="00B45812"/>
    <w:rsid w:val="00B50306"/>
    <w:rsid w:val="00B515C6"/>
    <w:rsid w:val="00B55665"/>
    <w:rsid w:val="00B6257E"/>
    <w:rsid w:val="00B63DA3"/>
    <w:rsid w:val="00B63E15"/>
    <w:rsid w:val="00B640D3"/>
    <w:rsid w:val="00B66641"/>
    <w:rsid w:val="00B714DF"/>
    <w:rsid w:val="00B742C1"/>
    <w:rsid w:val="00B749AD"/>
    <w:rsid w:val="00B75CBF"/>
    <w:rsid w:val="00B77C86"/>
    <w:rsid w:val="00B81738"/>
    <w:rsid w:val="00B826E0"/>
    <w:rsid w:val="00B83338"/>
    <w:rsid w:val="00B86A32"/>
    <w:rsid w:val="00B8745C"/>
    <w:rsid w:val="00B910F5"/>
    <w:rsid w:val="00B9374F"/>
    <w:rsid w:val="00B93B65"/>
    <w:rsid w:val="00B94B9C"/>
    <w:rsid w:val="00B95915"/>
    <w:rsid w:val="00B9791B"/>
    <w:rsid w:val="00BA0196"/>
    <w:rsid w:val="00BA14C2"/>
    <w:rsid w:val="00BA2610"/>
    <w:rsid w:val="00BA4C74"/>
    <w:rsid w:val="00BA6853"/>
    <w:rsid w:val="00BA7C4A"/>
    <w:rsid w:val="00BB0C26"/>
    <w:rsid w:val="00BB0EB5"/>
    <w:rsid w:val="00BB309A"/>
    <w:rsid w:val="00BB37C1"/>
    <w:rsid w:val="00BB5A94"/>
    <w:rsid w:val="00BC08A5"/>
    <w:rsid w:val="00BC31C4"/>
    <w:rsid w:val="00BD3800"/>
    <w:rsid w:val="00BD46F5"/>
    <w:rsid w:val="00BD6617"/>
    <w:rsid w:val="00BE2246"/>
    <w:rsid w:val="00BE2D89"/>
    <w:rsid w:val="00BE3CE4"/>
    <w:rsid w:val="00BE4864"/>
    <w:rsid w:val="00BE6725"/>
    <w:rsid w:val="00BE69B9"/>
    <w:rsid w:val="00BF61CD"/>
    <w:rsid w:val="00C01A1F"/>
    <w:rsid w:val="00C027CB"/>
    <w:rsid w:val="00C050B5"/>
    <w:rsid w:val="00C0611E"/>
    <w:rsid w:val="00C06532"/>
    <w:rsid w:val="00C12469"/>
    <w:rsid w:val="00C12C8F"/>
    <w:rsid w:val="00C14362"/>
    <w:rsid w:val="00C15066"/>
    <w:rsid w:val="00C157F8"/>
    <w:rsid w:val="00C15E4C"/>
    <w:rsid w:val="00C17FA2"/>
    <w:rsid w:val="00C229BC"/>
    <w:rsid w:val="00C2464C"/>
    <w:rsid w:val="00C26DB4"/>
    <w:rsid w:val="00C274AA"/>
    <w:rsid w:val="00C3296A"/>
    <w:rsid w:val="00C33D89"/>
    <w:rsid w:val="00C33FF6"/>
    <w:rsid w:val="00C36D20"/>
    <w:rsid w:val="00C400F2"/>
    <w:rsid w:val="00C41952"/>
    <w:rsid w:val="00C4214C"/>
    <w:rsid w:val="00C462A7"/>
    <w:rsid w:val="00C46AF7"/>
    <w:rsid w:val="00C47BB2"/>
    <w:rsid w:val="00C505EB"/>
    <w:rsid w:val="00C5086D"/>
    <w:rsid w:val="00C50FB6"/>
    <w:rsid w:val="00C517EE"/>
    <w:rsid w:val="00C525A4"/>
    <w:rsid w:val="00C5432B"/>
    <w:rsid w:val="00C63FD9"/>
    <w:rsid w:val="00C64939"/>
    <w:rsid w:val="00C65826"/>
    <w:rsid w:val="00C65946"/>
    <w:rsid w:val="00C75180"/>
    <w:rsid w:val="00C757B2"/>
    <w:rsid w:val="00C76217"/>
    <w:rsid w:val="00C814E6"/>
    <w:rsid w:val="00C91BDF"/>
    <w:rsid w:val="00C93170"/>
    <w:rsid w:val="00CA0935"/>
    <w:rsid w:val="00CA27F4"/>
    <w:rsid w:val="00CA30D3"/>
    <w:rsid w:val="00CA5524"/>
    <w:rsid w:val="00CA62B7"/>
    <w:rsid w:val="00CA6DAC"/>
    <w:rsid w:val="00CA79E3"/>
    <w:rsid w:val="00CB0FB9"/>
    <w:rsid w:val="00CB282A"/>
    <w:rsid w:val="00CB3704"/>
    <w:rsid w:val="00CB4D63"/>
    <w:rsid w:val="00CB4FFB"/>
    <w:rsid w:val="00CB55CB"/>
    <w:rsid w:val="00CB6FA9"/>
    <w:rsid w:val="00CB71D6"/>
    <w:rsid w:val="00CB7882"/>
    <w:rsid w:val="00CC15E9"/>
    <w:rsid w:val="00CC2742"/>
    <w:rsid w:val="00CD56FC"/>
    <w:rsid w:val="00CD6278"/>
    <w:rsid w:val="00CD6A45"/>
    <w:rsid w:val="00CD7A0C"/>
    <w:rsid w:val="00CE0323"/>
    <w:rsid w:val="00CE0930"/>
    <w:rsid w:val="00CE1B31"/>
    <w:rsid w:val="00CE7EF6"/>
    <w:rsid w:val="00CF2568"/>
    <w:rsid w:val="00CF2884"/>
    <w:rsid w:val="00CF3F66"/>
    <w:rsid w:val="00CF664D"/>
    <w:rsid w:val="00CF6705"/>
    <w:rsid w:val="00D01F54"/>
    <w:rsid w:val="00D02582"/>
    <w:rsid w:val="00D04351"/>
    <w:rsid w:val="00D05325"/>
    <w:rsid w:val="00D06966"/>
    <w:rsid w:val="00D06DCD"/>
    <w:rsid w:val="00D13A2C"/>
    <w:rsid w:val="00D20D06"/>
    <w:rsid w:val="00D21333"/>
    <w:rsid w:val="00D21516"/>
    <w:rsid w:val="00D30EE6"/>
    <w:rsid w:val="00D33CC0"/>
    <w:rsid w:val="00D36AF9"/>
    <w:rsid w:val="00D43EBB"/>
    <w:rsid w:val="00D5005D"/>
    <w:rsid w:val="00D53655"/>
    <w:rsid w:val="00D65EDB"/>
    <w:rsid w:val="00D71AF5"/>
    <w:rsid w:val="00D73193"/>
    <w:rsid w:val="00D753B8"/>
    <w:rsid w:val="00D7639D"/>
    <w:rsid w:val="00D7662B"/>
    <w:rsid w:val="00D82369"/>
    <w:rsid w:val="00D84D85"/>
    <w:rsid w:val="00D86684"/>
    <w:rsid w:val="00D87D41"/>
    <w:rsid w:val="00D91E86"/>
    <w:rsid w:val="00D9628B"/>
    <w:rsid w:val="00D965D6"/>
    <w:rsid w:val="00DA29B2"/>
    <w:rsid w:val="00DA2E47"/>
    <w:rsid w:val="00DB0F9E"/>
    <w:rsid w:val="00DB1B41"/>
    <w:rsid w:val="00DB1F7E"/>
    <w:rsid w:val="00DB6E4C"/>
    <w:rsid w:val="00DC1D54"/>
    <w:rsid w:val="00DC2BB8"/>
    <w:rsid w:val="00DC3EA1"/>
    <w:rsid w:val="00DC43E8"/>
    <w:rsid w:val="00DC73F6"/>
    <w:rsid w:val="00DD0C57"/>
    <w:rsid w:val="00DD1704"/>
    <w:rsid w:val="00DD1C85"/>
    <w:rsid w:val="00DD26F2"/>
    <w:rsid w:val="00DD3D9C"/>
    <w:rsid w:val="00DD58A8"/>
    <w:rsid w:val="00DD5D44"/>
    <w:rsid w:val="00DD7BB1"/>
    <w:rsid w:val="00DE2B19"/>
    <w:rsid w:val="00DE2D5A"/>
    <w:rsid w:val="00DE32B6"/>
    <w:rsid w:val="00DE66D5"/>
    <w:rsid w:val="00DF0AC0"/>
    <w:rsid w:val="00DF1B4B"/>
    <w:rsid w:val="00DF2758"/>
    <w:rsid w:val="00DF44FE"/>
    <w:rsid w:val="00DF4D21"/>
    <w:rsid w:val="00DF5276"/>
    <w:rsid w:val="00DF6485"/>
    <w:rsid w:val="00E00E42"/>
    <w:rsid w:val="00E0129E"/>
    <w:rsid w:val="00E0421B"/>
    <w:rsid w:val="00E06A48"/>
    <w:rsid w:val="00E120A3"/>
    <w:rsid w:val="00E12B6A"/>
    <w:rsid w:val="00E14867"/>
    <w:rsid w:val="00E1529E"/>
    <w:rsid w:val="00E15432"/>
    <w:rsid w:val="00E166F1"/>
    <w:rsid w:val="00E22FF4"/>
    <w:rsid w:val="00E230C6"/>
    <w:rsid w:val="00E2432A"/>
    <w:rsid w:val="00E25E70"/>
    <w:rsid w:val="00E26DF2"/>
    <w:rsid w:val="00E3056B"/>
    <w:rsid w:val="00E32962"/>
    <w:rsid w:val="00E36230"/>
    <w:rsid w:val="00E4364F"/>
    <w:rsid w:val="00E44819"/>
    <w:rsid w:val="00E448F9"/>
    <w:rsid w:val="00E46E83"/>
    <w:rsid w:val="00E47C18"/>
    <w:rsid w:val="00E5288F"/>
    <w:rsid w:val="00E52A0F"/>
    <w:rsid w:val="00E5380C"/>
    <w:rsid w:val="00E54AD0"/>
    <w:rsid w:val="00E57A94"/>
    <w:rsid w:val="00E6137E"/>
    <w:rsid w:val="00E6243B"/>
    <w:rsid w:val="00E629D5"/>
    <w:rsid w:val="00E70CA6"/>
    <w:rsid w:val="00E73029"/>
    <w:rsid w:val="00E74DA8"/>
    <w:rsid w:val="00E76AD9"/>
    <w:rsid w:val="00E77365"/>
    <w:rsid w:val="00E77A73"/>
    <w:rsid w:val="00E81877"/>
    <w:rsid w:val="00E84E0A"/>
    <w:rsid w:val="00E87125"/>
    <w:rsid w:val="00E87F78"/>
    <w:rsid w:val="00E90193"/>
    <w:rsid w:val="00E92BE0"/>
    <w:rsid w:val="00E9586A"/>
    <w:rsid w:val="00EA47AF"/>
    <w:rsid w:val="00EA4A9F"/>
    <w:rsid w:val="00EA6131"/>
    <w:rsid w:val="00EA7462"/>
    <w:rsid w:val="00EB0F28"/>
    <w:rsid w:val="00EB2B6F"/>
    <w:rsid w:val="00EB4513"/>
    <w:rsid w:val="00EB47CE"/>
    <w:rsid w:val="00EB6D7D"/>
    <w:rsid w:val="00EC1372"/>
    <w:rsid w:val="00ED4254"/>
    <w:rsid w:val="00EE431C"/>
    <w:rsid w:val="00EE5731"/>
    <w:rsid w:val="00EF0DC4"/>
    <w:rsid w:val="00EF2A9E"/>
    <w:rsid w:val="00EF3CEF"/>
    <w:rsid w:val="00EF7C41"/>
    <w:rsid w:val="00F0013C"/>
    <w:rsid w:val="00F016EC"/>
    <w:rsid w:val="00F01793"/>
    <w:rsid w:val="00F026E3"/>
    <w:rsid w:val="00F03BCA"/>
    <w:rsid w:val="00F0559B"/>
    <w:rsid w:val="00F156B3"/>
    <w:rsid w:val="00F16F95"/>
    <w:rsid w:val="00F17546"/>
    <w:rsid w:val="00F24685"/>
    <w:rsid w:val="00F30FA2"/>
    <w:rsid w:val="00F31D45"/>
    <w:rsid w:val="00F34390"/>
    <w:rsid w:val="00F35466"/>
    <w:rsid w:val="00F40785"/>
    <w:rsid w:val="00F42677"/>
    <w:rsid w:val="00F42AFB"/>
    <w:rsid w:val="00F43B76"/>
    <w:rsid w:val="00F46373"/>
    <w:rsid w:val="00F53778"/>
    <w:rsid w:val="00F54569"/>
    <w:rsid w:val="00F54E29"/>
    <w:rsid w:val="00F557C3"/>
    <w:rsid w:val="00F55C4D"/>
    <w:rsid w:val="00F566CA"/>
    <w:rsid w:val="00F615C8"/>
    <w:rsid w:val="00F61F97"/>
    <w:rsid w:val="00F62F4E"/>
    <w:rsid w:val="00F63A11"/>
    <w:rsid w:val="00F63E3E"/>
    <w:rsid w:val="00F70B49"/>
    <w:rsid w:val="00F71E76"/>
    <w:rsid w:val="00F758DA"/>
    <w:rsid w:val="00F76F6F"/>
    <w:rsid w:val="00F7764D"/>
    <w:rsid w:val="00F77D40"/>
    <w:rsid w:val="00F81C5C"/>
    <w:rsid w:val="00F8258C"/>
    <w:rsid w:val="00F8341D"/>
    <w:rsid w:val="00F85A34"/>
    <w:rsid w:val="00F87E6A"/>
    <w:rsid w:val="00F93779"/>
    <w:rsid w:val="00F97C74"/>
    <w:rsid w:val="00FA05D4"/>
    <w:rsid w:val="00FA1205"/>
    <w:rsid w:val="00FA250D"/>
    <w:rsid w:val="00FA59C6"/>
    <w:rsid w:val="00FA6027"/>
    <w:rsid w:val="00FA6214"/>
    <w:rsid w:val="00FA63BC"/>
    <w:rsid w:val="00FA63F4"/>
    <w:rsid w:val="00FA652E"/>
    <w:rsid w:val="00FB08F7"/>
    <w:rsid w:val="00FB24AD"/>
    <w:rsid w:val="00FB3C08"/>
    <w:rsid w:val="00FB53B5"/>
    <w:rsid w:val="00FB5A5A"/>
    <w:rsid w:val="00FB6A4C"/>
    <w:rsid w:val="00FC1272"/>
    <w:rsid w:val="00FC32EF"/>
    <w:rsid w:val="00FC36F6"/>
    <w:rsid w:val="00FC6222"/>
    <w:rsid w:val="00FD49E9"/>
    <w:rsid w:val="00FD7A03"/>
    <w:rsid w:val="00FE1A0F"/>
    <w:rsid w:val="00FE1D4D"/>
    <w:rsid w:val="00FE2DB6"/>
    <w:rsid w:val="00FE4420"/>
    <w:rsid w:val="00FE5F55"/>
    <w:rsid w:val="00FE7197"/>
    <w:rsid w:val="00FF0E43"/>
    <w:rsid w:val="00FF254C"/>
    <w:rsid w:val="00FF4C71"/>
    <w:rsid w:val="00FF509D"/>
    <w:rsid w:val="00FF563B"/>
    <w:rsid w:val="00FF572C"/>
    <w:rsid w:val="00FF588A"/>
    <w:rsid w:val="00FF6DFF"/>
    <w:rsid w:val="00FF7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563C"/>
  <w15:docId w15:val="{10FBB6BF-3137-4E25-9FE8-FCE41AFC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742"/>
    <w:pPr>
      <w:spacing w:after="0" w:line="240" w:lineRule="auto"/>
    </w:pPr>
    <w:rPr>
      <w:rFonts w:ascii="Calibri" w:hAnsi="Calibri" w:cs="Calibri"/>
      <w:lang w:val="en-GB"/>
    </w:rPr>
  </w:style>
  <w:style w:type="paragraph" w:styleId="Heading1">
    <w:name w:val="heading 1"/>
    <w:basedOn w:val="Normal"/>
    <w:next w:val="Normal"/>
    <w:link w:val="Heading1Char"/>
    <w:uiPriority w:val="9"/>
    <w:qFormat/>
    <w:rsid w:val="00B069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57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3FD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qFormat/>
    <w:rsid w:val="005A7826"/>
    <w:pPr>
      <w:keepNext/>
      <w:pBdr>
        <w:top w:val="nil"/>
        <w:left w:val="nil"/>
        <w:bottom w:val="nil"/>
        <w:right w:val="nil"/>
        <w:between w:val="nil"/>
        <w:bar w:val="nil"/>
      </w:pBdr>
      <w:spacing w:after="0" w:line="240" w:lineRule="auto"/>
      <w:outlineLvl w:val="3"/>
    </w:pPr>
    <w:rPr>
      <w:rFonts w:ascii="Arial" w:eastAsia="Arial" w:hAnsi="Arial" w:cs="Arial"/>
      <w:b/>
      <w:bCs/>
      <w:color w:val="000000"/>
      <w:u w:color="000000"/>
      <w:bdr w:val="nil"/>
    </w:rPr>
  </w:style>
  <w:style w:type="paragraph" w:styleId="Heading6">
    <w:name w:val="heading 6"/>
    <w:basedOn w:val="Normal"/>
    <w:next w:val="Normal"/>
    <w:link w:val="Heading6Char"/>
    <w:uiPriority w:val="9"/>
    <w:semiHidden/>
    <w:unhideWhenUsed/>
    <w:qFormat/>
    <w:rsid w:val="00C63FD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1825CE"/>
    <w:pPr>
      <w:ind w:left="720"/>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8E7CE9"/>
    <w:rPr>
      <w:rFonts w:ascii="Calibri" w:hAnsi="Calibri" w:cs="Calibri"/>
    </w:rPr>
  </w:style>
  <w:style w:type="paragraph" w:styleId="Header">
    <w:name w:val="header"/>
    <w:aliases w:val="ContentsHeader"/>
    <w:basedOn w:val="Normal"/>
    <w:link w:val="HeaderChar"/>
    <w:uiPriority w:val="99"/>
    <w:unhideWhenUsed/>
    <w:rsid w:val="008E7CE9"/>
    <w:pPr>
      <w:tabs>
        <w:tab w:val="center" w:pos="4680"/>
        <w:tab w:val="right" w:pos="9360"/>
      </w:tabs>
    </w:pPr>
    <w:rPr>
      <w:rFonts w:asciiTheme="minorHAnsi" w:hAnsiTheme="minorHAnsi" w:cstheme="minorBidi"/>
    </w:rPr>
  </w:style>
  <w:style w:type="character" w:customStyle="1" w:styleId="HeaderChar">
    <w:name w:val="Header Char"/>
    <w:aliases w:val="ContentsHeader Char"/>
    <w:basedOn w:val="DefaultParagraphFont"/>
    <w:link w:val="Header"/>
    <w:uiPriority w:val="99"/>
    <w:rsid w:val="008E7CE9"/>
    <w:rPr>
      <w:lang w:val="en-US"/>
    </w:rPr>
  </w:style>
  <w:style w:type="paragraph" w:styleId="NoSpacing">
    <w:name w:val="No Spacing"/>
    <w:qFormat/>
    <w:rsid w:val="008E7CE9"/>
    <w:pPr>
      <w:spacing w:after="0" w:line="240" w:lineRule="auto"/>
    </w:pPr>
  </w:style>
  <w:style w:type="table" w:styleId="TableGrid">
    <w:name w:val="Table Grid"/>
    <w:basedOn w:val="TableNormal"/>
    <w:uiPriority w:val="59"/>
    <w:rsid w:val="008E7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ft"/>
    <w:basedOn w:val="Normal"/>
    <w:link w:val="FooterChar"/>
    <w:uiPriority w:val="99"/>
    <w:unhideWhenUsed/>
    <w:rsid w:val="008E7CE9"/>
    <w:pPr>
      <w:tabs>
        <w:tab w:val="center" w:pos="4513"/>
        <w:tab w:val="right" w:pos="9026"/>
      </w:tabs>
    </w:pPr>
  </w:style>
  <w:style w:type="character" w:customStyle="1" w:styleId="FooterChar">
    <w:name w:val="Footer Char"/>
    <w:aliases w:val="EOI Header Char,ft Char"/>
    <w:basedOn w:val="DefaultParagraphFont"/>
    <w:link w:val="Footer"/>
    <w:uiPriority w:val="99"/>
    <w:rsid w:val="008E7CE9"/>
    <w:rPr>
      <w:rFonts w:ascii="Calibri" w:hAnsi="Calibri" w:cs="Calibri"/>
    </w:rPr>
  </w:style>
  <w:style w:type="paragraph" w:styleId="BalloonText">
    <w:name w:val="Balloon Text"/>
    <w:basedOn w:val="Normal"/>
    <w:link w:val="BalloonTextChar"/>
    <w:uiPriority w:val="99"/>
    <w:semiHidden/>
    <w:unhideWhenUsed/>
    <w:rsid w:val="008143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94"/>
    <w:rPr>
      <w:rFonts w:ascii="Segoe UI" w:hAnsi="Segoe UI" w:cs="Segoe UI"/>
      <w:sz w:val="18"/>
      <w:szCs w:val="18"/>
    </w:rPr>
  </w:style>
  <w:style w:type="paragraph" w:styleId="FootnoteText">
    <w:name w:val="footnote text"/>
    <w:basedOn w:val="Normal"/>
    <w:link w:val="FootnoteTextChar"/>
    <w:uiPriority w:val="99"/>
    <w:semiHidden/>
    <w:unhideWhenUsed/>
    <w:rsid w:val="009923A2"/>
    <w:rPr>
      <w:rFonts w:cs="Times New Roman"/>
      <w:sz w:val="20"/>
      <w:szCs w:val="20"/>
    </w:rPr>
  </w:style>
  <w:style w:type="character" w:customStyle="1" w:styleId="FootnoteTextChar">
    <w:name w:val="Footnote Text Char"/>
    <w:basedOn w:val="DefaultParagraphFont"/>
    <w:link w:val="FootnoteText"/>
    <w:uiPriority w:val="99"/>
    <w:semiHidden/>
    <w:rsid w:val="009923A2"/>
    <w:rPr>
      <w:rFonts w:ascii="Calibri" w:hAnsi="Calibri" w:cs="Times New Roman"/>
      <w:sz w:val="20"/>
      <w:szCs w:val="20"/>
    </w:rPr>
  </w:style>
  <w:style w:type="character" w:styleId="FootnoteReference">
    <w:name w:val="footnote reference"/>
    <w:basedOn w:val="DefaultParagraphFont"/>
    <w:uiPriority w:val="99"/>
    <w:semiHidden/>
    <w:unhideWhenUsed/>
    <w:rsid w:val="009923A2"/>
    <w:rPr>
      <w:vertAlign w:val="superscript"/>
    </w:rPr>
  </w:style>
  <w:style w:type="paragraph" w:customStyle="1" w:styleId="Default">
    <w:name w:val="Default"/>
    <w:rsid w:val="00652302"/>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rsid w:val="005A7826"/>
    <w:rPr>
      <w:rFonts w:ascii="Arial" w:eastAsia="Arial" w:hAnsi="Arial" w:cs="Arial"/>
      <w:b/>
      <w:bCs/>
      <w:color w:val="000000"/>
      <w:u w:color="000000"/>
      <w:bdr w:val="nil"/>
    </w:rPr>
  </w:style>
  <w:style w:type="paragraph" w:customStyle="1" w:styleId="ColorfulList-Accent11">
    <w:name w:val="Colorful List - Accent 11"/>
    <w:basedOn w:val="Normal"/>
    <w:uiPriority w:val="34"/>
    <w:qFormat/>
    <w:rsid w:val="0066698F"/>
    <w:pPr>
      <w:spacing w:after="200" w:line="276" w:lineRule="auto"/>
      <w:ind w:left="720"/>
      <w:contextualSpacing/>
    </w:pPr>
    <w:rPr>
      <w:rFonts w:eastAsia="Times New Roman" w:cs="Times New Roman"/>
      <w:lang w:eastAsia="en-GB"/>
    </w:rPr>
  </w:style>
  <w:style w:type="character" w:customStyle="1" w:styleId="Heading1Char">
    <w:name w:val="Heading 1 Char"/>
    <w:basedOn w:val="DefaultParagraphFont"/>
    <w:link w:val="Heading1"/>
    <w:uiPriority w:val="9"/>
    <w:rsid w:val="00B069BE"/>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B069BE"/>
    <w:pPr>
      <w:spacing w:line="259" w:lineRule="auto"/>
      <w:outlineLvl w:val="9"/>
    </w:pPr>
    <w:rPr>
      <w:lang w:val="en-US"/>
    </w:rPr>
  </w:style>
  <w:style w:type="paragraph" w:styleId="TOC1">
    <w:name w:val="toc 1"/>
    <w:basedOn w:val="Normal"/>
    <w:next w:val="Normal"/>
    <w:autoRedefine/>
    <w:uiPriority w:val="39"/>
    <w:unhideWhenUsed/>
    <w:rsid w:val="00B069BE"/>
    <w:pPr>
      <w:spacing w:after="100"/>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069BE"/>
    <w:rPr>
      <w:color w:val="0563C1" w:themeColor="hyperlink"/>
      <w:u w:val="single"/>
    </w:rPr>
  </w:style>
  <w:style w:type="paragraph" w:customStyle="1" w:styleId="Bodycopy">
    <w:name w:val="Body copy"/>
    <w:uiPriority w:val="99"/>
    <w:rsid w:val="00EE5731"/>
    <w:pPr>
      <w:spacing w:after="240" w:line="260" w:lineRule="exact"/>
    </w:pPr>
    <w:rPr>
      <w:rFonts w:ascii="EYInterstate Light" w:eastAsia="Times New Roman" w:hAnsi="EYInterstate Light" w:cs="Times New Roman"/>
      <w:color w:val="000000"/>
      <w:sz w:val="20"/>
      <w:szCs w:val="18"/>
    </w:rPr>
  </w:style>
  <w:style w:type="paragraph" w:customStyle="1" w:styleId="NumberedHeading2">
    <w:name w:val="Numbered Heading 2"/>
    <w:basedOn w:val="Heading2"/>
    <w:uiPriority w:val="99"/>
    <w:rsid w:val="00EE5731"/>
    <w:pPr>
      <w:keepNext w:val="0"/>
      <w:keepLines w:val="0"/>
      <w:spacing w:before="0" w:after="240" w:line="470" w:lineRule="exact"/>
    </w:pPr>
    <w:rPr>
      <w:rFonts w:ascii="EYInterstate Light Bold" w:eastAsia="Times New Roman" w:hAnsi="EYInterstate Light Bold" w:cs="Arial"/>
      <w:b/>
      <w:bCs/>
      <w:color w:val="auto"/>
      <w:spacing w:val="-6"/>
      <w:kern w:val="32"/>
      <w:sz w:val="28"/>
      <w:szCs w:val="48"/>
    </w:rPr>
  </w:style>
  <w:style w:type="character" w:customStyle="1" w:styleId="Heading2Char">
    <w:name w:val="Heading 2 Char"/>
    <w:basedOn w:val="DefaultParagraphFont"/>
    <w:link w:val="Heading2"/>
    <w:uiPriority w:val="9"/>
    <w:rsid w:val="00EE5731"/>
    <w:rPr>
      <w:rFonts w:asciiTheme="majorHAnsi" w:eastAsiaTheme="majorEastAsia" w:hAnsiTheme="majorHAnsi" w:cstheme="majorBidi"/>
      <w:color w:val="2F5496" w:themeColor="accent1" w:themeShade="BF"/>
      <w:sz w:val="26"/>
      <w:szCs w:val="26"/>
      <w:lang w:val="en-GB"/>
    </w:rPr>
  </w:style>
  <w:style w:type="paragraph" w:styleId="TOC2">
    <w:name w:val="toc 2"/>
    <w:basedOn w:val="Normal"/>
    <w:next w:val="Normal"/>
    <w:autoRedefine/>
    <w:uiPriority w:val="39"/>
    <w:unhideWhenUsed/>
    <w:rsid w:val="00D21516"/>
    <w:pPr>
      <w:spacing w:after="100"/>
      <w:ind w:left="220"/>
    </w:pPr>
  </w:style>
  <w:style w:type="character" w:customStyle="1" w:styleId="Heading3Char">
    <w:name w:val="Heading 3 Char"/>
    <w:basedOn w:val="DefaultParagraphFont"/>
    <w:link w:val="Heading3"/>
    <w:uiPriority w:val="9"/>
    <w:rsid w:val="00C63FD9"/>
    <w:rPr>
      <w:rFonts w:asciiTheme="majorHAnsi" w:eastAsiaTheme="majorEastAsia" w:hAnsiTheme="majorHAnsi" w:cstheme="majorBidi"/>
      <w:color w:val="1F3763" w:themeColor="accent1" w:themeShade="7F"/>
      <w:sz w:val="24"/>
      <w:szCs w:val="24"/>
      <w:lang w:val="en-GB"/>
    </w:rPr>
  </w:style>
  <w:style w:type="character" w:customStyle="1" w:styleId="Heading6Char">
    <w:name w:val="Heading 6 Char"/>
    <w:basedOn w:val="DefaultParagraphFont"/>
    <w:link w:val="Heading6"/>
    <w:uiPriority w:val="9"/>
    <w:semiHidden/>
    <w:rsid w:val="00C63FD9"/>
    <w:rPr>
      <w:rFonts w:asciiTheme="majorHAnsi" w:eastAsiaTheme="majorEastAsia" w:hAnsiTheme="majorHAnsi" w:cstheme="majorBidi"/>
      <w:color w:val="1F3763" w:themeColor="accent1" w:themeShade="7F"/>
      <w:lang w:val="en-GB"/>
    </w:rPr>
  </w:style>
  <w:style w:type="paragraph" w:styleId="NormalWeb">
    <w:name w:val="Normal (Web)"/>
    <w:basedOn w:val="Normal"/>
    <w:uiPriority w:val="99"/>
    <w:unhideWhenUsed/>
    <w:rsid w:val="00C63FD9"/>
    <w:pPr>
      <w:spacing w:before="100" w:beforeAutospacing="1" w:after="100" w:afterAutospacing="1"/>
    </w:pPr>
    <w:rPr>
      <w:lang w:val="en-US"/>
    </w:rPr>
  </w:style>
  <w:style w:type="table" w:customStyle="1" w:styleId="TableGrid1">
    <w:name w:val="Table Grid1"/>
    <w:basedOn w:val="TableNormal"/>
    <w:next w:val="TableGrid"/>
    <w:uiPriority w:val="59"/>
    <w:rsid w:val="00BD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 2 Char Char"/>
    <w:basedOn w:val="Normal"/>
    <w:link w:val="BodyText2Char"/>
    <w:rsid w:val="00A32375"/>
    <w:pPr>
      <w:jc w:val="both"/>
    </w:pPr>
    <w:rPr>
      <w:rFonts w:ascii="Arial" w:eastAsia="Times New Roman" w:hAnsi="Arial" w:cs="Arial"/>
      <w:sz w:val="24"/>
      <w:szCs w:val="24"/>
      <w:lang w:val="en-US" w:eastAsia="en-GB"/>
    </w:rPr>
  </w:style>
  <w:style w:type="character" w:customStyle="1" w:styleId="BodyText2Char">
    <w:name w:val="Body Text 2 Char"/>
    <w:aliases w:val="Body Text 2 Char Char Char"/>
    <w:basedOn w:val="DefaultParagraphFont"/>
    <w:link w:val="BodyText2"/>
    <w:rsid w:val="00A32375"/>
    <w:rPr>
      <w:rFonts w:ascii="Arial" w:eastAsia="Times New Roman" w:hAnsi="Arial" w:cs="Arial"/>
      <w:sz w:val="24"/>
      <w:szCs w:val="24"/>
      <w:lang w:eastAsia="en-GB"/>
    </w:rPr>
  </w:style>
  <w:style w:type="character" w:styleId="Strong">
    <w:name w:val="Strong"/>
    <w:basedOn w:val="DefaultParagraphFont"/>
    <w:uiPriority w:val="22"/>
    <w:qFormat/>
    <w:rsid w:val="00A07ACE"/>
    <w:rPr>
      <w:b/>
      <w:bCs/>
    </w:rPr>
  </w:style>
  <w:style w:type="paragraph" w:styleId="TOC3">
    <w:name w:val="toc 3"/>
    <w:basedOn w:val="Normal"/>
    <w:next w:val="Normal"/>
    <w:autoRedefine/>
    <w:uiPriority w:val="39"/>
    <w:unhideWhenUsed/>
    <w:rsid w:val="00FF6DFF"/>
    <w:pPr>
      <w:spacing w:after="100"/>
      <w:ind w:left="440"/>
    </w:pPr>
  </w:style>
  <w:style w:type="paragraph" w:customStyle="1" w:styleId="Text1">
    <w:name w:val="Text 1"/>
    <w:basedOn w:val="Normal"/>
    <w:rsid w:val="00FF6DFF"/>
    <w:pPr>
      <w:spacing w:before="120" w:after="120"/>
      <w:ind w:left="85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508737">
      <w:bodyDiv w:val="1"/>
      <w:marLeft w:val="0"/>
      <w:marRight w:val="0"/>
      <w:marTop w:val="0"/>
      <w:marBottom w:val="0"/>
      <w:divBdr>
        <w:top w:val="none" w:sz="0" w:space="0" w:color="auto"/>
        <w:left w:val="none" w:sz="0" w:space="0" w:color="auto"/>
        <w:bottom w:val="none" w:sz="0" w:space="0" w:color="auto"/>
        <w:right w:val="none" w:sz="0" w:space="0" w:color="auto"/>
      </w:divBdr>
    </w:div>
    <w:div w:id="617957581">
      <w:bodyDiv w:val="1"/>
      <w:marLeft w:val="0"/>
      <w:marRight w:val="0"/>
      <w:marTop w:val="0"/>
      <w:marBottom w:val="0"/>
      <w:divBdr>
        <w:top w:val="none" w:sz="0" w:space="0" w:color="auto"/>
        <w:left w:val="none" w:sz="0" w:space="0" w:color="auto"/>
        <w:bottom w:val="none" w:sz="0" w:space="0" w:color="auto"/>
        <w:right w:val="none" w:sz="0" w:space="0" w:color="auto"/>
      </w:divBdr>
    </w:div>
    <w:div w:id="631715074">
      <w:bodyDiv w:val="1"/>
      <w:marLeft w:val="0"/>
      <w:marRight w:val="0"/>
      <w:marTop w:val="0"/>
      <w:marBottom w:val="0"/>
      <w:divBdr>
        <w:top w:val="none" w:sz="0" w:space="0" w:color="auto"/>
        <w:left w:val="none" w:sz="0" w:space="0" w:color="auto"/>
        <w:bottom w:val="none" w:sz="0" w:space="0" w:color="auto"/>
        <w:right w:val="none" w:sz="0" w:space="0" w:color="auto"/>
      </w:divBdr>
    </w:div>
    <w:div w:id="700210660">
      <w:bodyDiv w:val="1"/>
      <w:marLeft w:val="0"/>
      <w:marRight w:val="0"/>
      <w:marTop w:val="0"/>
      <w:marBottom w:val="0"/>
      <w:divBdr>
        <w:top w:val="none" w:sz="0" w:space="0" w:color="auto"/>
        <w:left w:val="none" w:sz="0" w:space="0" w:color="auto"/>
        <w:bottom w:val="none" w:sz="0" w:space="0" w:color="auto"/>
        <w:right w:val="none" w:sz="0" w:space="0" w:color="auto"/>
      </w:divBdr>
    </w:div>
    <w:div w:id="807548758">
      <w:bodyDiv w:val="1"/>
      <w:marLeft w:val="0"/>
      <w:marRight w:val="0"/>
      <w:marTop w:val="0"/>
      <w:marBottom w:val="0"/>
      <w:divBdr>
        <w:top w:val="none" w:sz="0" w:space="0" w:color="auto"/>
        <w:left w:val="none" w:sz="0" w:space="0" w:color="auto"/>
        <w:bottom w:val="none" w:sz="0" w:space="0" w:color="auto"/>
        <w:right w:val="none" w:sz="0" w:space="0" w:color="auto"/>
      </w:divBdr>
    </w:div>
    <w:div w:id="1332222043">
      <w:bodyDiv w:val="1"/>
      <w:marLeft w:val="0"/>
      <w:marRight w:val="0"/>
      <w:marTop w:val="0"/>
      <w:marBottom w:val="0"/>
      <w:divBdr>
        <w:top w:val="none" w:sz="0" w:space="0" w:color="auto"/>
        <w:left w:val="none" w:sz="0" w:space="0" w:color="auto"/>
        <w:bottom w:val="none" w:sz="0" w:space="0" w:color="auto"/>
        <w:right w:val="none" w:sz="0" w:space="0" w:color="auto"/>
      </w:divBdr>
    </w:div>
    <w:div w:id="1634940356">
      <w:bodyDiv w:val="1"/>
      <w:marLeft w:val="0"/>
      <w:marRight w:val="0"/>
      <w:marTop w:val="0"/>
      <w:marBottom w:val="0"/>
      <w:divBdr>
        <w:top w:val="none" w:sz="0" w:space="0" w:color="auto"/>
        <w:left w:val="none" w:sz="0" w:space="0" w:color="auto"/>
        <w:bottom w:val="none" w:sz="0" w:space="0" w:color="auto"/>
        <w:right w:val="none" w:sz="0" w:space="0" w:color="auto"/>
      </w:divBdr>
    </w:div>
    <w:div w:id="1700735265">
      <w:bodyDiv w:val="1"/>
      <w:marLeft w:val="0"/>
      <w:marRight w:val="0"/>
      <w:marTop w:val="0"/>
      <w:marBottom w:val="0"/>
      <w:divBdr>
        <w:top w:val="none" w:sz="0" w:space="0" w:color="auto"/>
        <w:left w:val="none" w:sz="0" w:space="0" w:color="auto"/>
        <w:bottom w:val="none" w:sz="0" w:space="0" w:color="auto"/>
        <w:right w:val="none" w:sz="0" w:space="0" w:color="auto"/>
      </w:divBdr>
    </w:div>
    <w:div w:id="19328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9A8698339FF24FAE3F9546E80573A4" ma:contentTypeVersion="9" ma:contentTypeDescription="Create a new document." ma:contentTypeScope="" ma:versionID="939c4130c84091626a6ee5b98bd4847b">
  <xsd:schema xmlns:xsd="http://www.w3.org/2001/XMLSchema" xmlns:xs="http://www.w3.org/2001/XMLSchema" xmlns:p="http://schemas.microsoft.com/office/2006/metadata/properties" xmlns:ns3="b2cf299d-b019-4f4e-8d37-cd798ba5b4f4" xmlns:ns4="1409bde5-0268-43c3-b9d4-3586f2d9f36e" targetNamespace="http://schemas.microsoft.com/office/2006/metadata/properties" ma:root="true" ma:fieldsID="e1d635728bc6c527f108e18f9fc7226d" ns3:_="" ns4:_="">
    <xsd:import namespace="b2cf299d-b019-4f4e-8d37-cd798ba5b4f4"/>
    <xsd:import namespace="1409bde5-0268-43c3-b9d4-3586f2d9f3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f299d-b019-4f4e-8d37-cd798ba5b4f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9bde5-0268-43c3-b9d4-3586f2d9f36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E5549-F13C-4B79-B3C1-B4D803429A27}">
  <ds:schemaRefs>
    <ds:schemaRef ds:uri="http://schemas.microsoft.com/sharepoint/v3/contenttype/forms"/>
  </ds:schemaRefs>
</ds:datastoreItem>
</file>

<file path=customXml/itemProps2.xml><?xml version="1.0" encoding="utf-8"?>
<ds:datastoreItem xmlns:ds="http://schemas.openxmlformats.org/officeDocument/2006/customXml" ds:itemID="{93123550-8B6E-4385-A977-2DD6FCFCB2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338A7E-F173-4015-88E4-CC65357AE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f299d-b019-4f4e-8d37-cd798ba5b4f4"/>
    <ds:schemaRef ds:uri="1409bde5-0268-43c3-b9d4-3586f2d9f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03246-2177-4215-977A-B52E7180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Nengela Nalumino</dc:creator>
  <cp:lastModifiedBy>Clement Kanyama</cp:lastModifiedBy>
  <cp:revision>3</cp:revision>
  <cp:lastPrinted>2019-10-10T20:38:00Z</cp:lastPrinted>
  <dcterms:created xsi:type="dcterms:W3CDTF">2019-10-18T18:43:00Z</dcterms:created>
  <dcterms:modified xsi:type="dcterms:W3CDTF">2019-10-18T19:36:00Z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0x010100009A8698339FF24FAE3F9546E80573A4</vt:lpwstr>
  </property>
</Properties>
</file>