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23" w:rsidRPr="00AA1EDA" w:rsidRDefault="003D3B23" w:rsidP="003A00D6">
      <w:pPr>
        <w:jc w:val="both"/>
        <w:rPr>
          <w:sz w:val="20"/>
          <w:szCs w:val="20"/>
        </w:rPr>
      </w:pPr>
    </w:p>
    <w:tbl>
      <w:tblPr>
        <w:tblW w:w="1389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6480"/>
        <w:gridCol w:w="3690"/>
      </w:tblGrid>
      <w:tr w:rsidR="003A00D6" w:rsidRPr="007606F6" w:rsidTr="003A00D6">
        <w:trPr>
          <w:tblHeader/>
        </w:trPr>
        <w:tc>
          <w:tcPr>
            <w:tcW w:w="3727" w:type="dxa"/>
            <w:tcBorders>
              <w:bottom w:val="single" w:sz="4" w:space="0" w:color="auto"/>
            </w:tcBorders>
            <w:shd w:val="clear" w:color="auto" w:fill="BFBFBF"/>
          </w:tcPr>
          <w:p w:rsidR="003A00D6" w:rsidRDefault="003A00D6" w:rsidP="003D3B23">
            <w:pPr>
              <w:rPr>
                <w:rFonts w:cs="Calibri"/>
                <w:b/>
                <w:sz w:val="20"/>
              </w:rPr>
            </w:pPr>
            <w:r>
              <w:rPr>
                <w:rFonts w:cs="Calibri"/>
                <w:b/>
                <w:sz w:val="20"/>
              </w:rPr>
              <w:t>Results chain:</w:t>
            </w:r>
          </w:p>
          <w:p w:rsidR="003A00D6" w:rsidRPr="007606F6" w:rsidRDefault="003A00D6" w:rsidP="003D3B23">
            <w:pPr>
              <w:rPr>
                <w:rFonts w:cs="Calibri"/>
                <w:b/>
                <w:sz w:val="20"/>
              </w:rPr>
            </w:pPr>
            <w:r>
              <w:rPr>
                <w:rFonts w:cs="Calibri"/>
                <w:b/>
                <w:sz w:val="20"/>
              </w:rPr>
              <w:t>Main expected results (maximum 10)</w:t>
            </w:r>
          </w:p>
        </w:tc>
        <w:tc>
          <w:tcPr>
            <w:tcW w:w="6480" w:type="dxa"/>
            <w:tcBorders>
              <w:bottom w:val="single" w:sz="4" w:space="0" w:color="auto"/>
            </w:tcBorders>
            <w:shd w:val="clear" w:color="auto" w:fill="BFBFBF"/>
          </w:tcPr>
          <w:p w:rsidR="003A00D6" w:rsidRDefault="003A00D6" w:rsidP="003D3B23">
            <w:pPr>
              <w:rPr>
                <w:rFonts w:cs="Calibri"/>
                <w:b/>
                <w:sz w:val="20"/>
              </w:rPr>
            </w:pPr>
            <w:r>
              <w:rPr>
                <w:rFonts w:cs="Calibri"/>
                <w:b/>
                <w:sz w:val="20"/>
              </w:rPr>
              <w:t>Indicators</w:t>
            </w:r>
          </w:p>
          <w:p w:rsidR="003A00D6" w:rsidRPr="007606F6" w:rsidRDefault="003A00D6" w:rsidP="003D3B23">
            <w:pPr>
              <w:rPr>
                <w:rFonts w:cs="Calibri"/>
                <w:b/>
                <w:sz w:val="20"/>
              </w:rPr>
            </w:pPr>
            <w:r>
              <w:rPr>
                <w:rFonts w:cs="Calibri"/>
                <w:b/>
                <w:sz w:val="20"/>
              </w:rPr>
              <w:t>(</w:t>
            </w:r>
            <w:r w:rsidRPr="00BA7511">
              <w:rPr>
                <w:rFonts w:cs="Calibri"/>
                <w:b/>
                <w:sz w:val="20"/>
              </w:rPr>
              <w:t xml:space="preserve">at least one indicator per </w:t>
            </w:r>
            <w:r>
              <w:rPr>
                <w:rFonts w:cs="Calibri"/>
                <w:b/>
                <w:sz w:val="20"/>
              </w:rPr>
              <w:t xml:space="preserve">expected </w:t>
            </w:r>
            <w:r w:rsidRPr="00BA7511">
              <w:rPr>
                <w:rFonts w:cs="Calibri"/>
                <w:b/>
                <w:sz w:val="20"/>
              </w:rPr>
              <w:t>result</w:t>
            </w:r>
            <w:r>
              <w:rPr>
                <w:rFonts w:cs="Calibri"/>
                <w:b/>
                <w:sz w:val="20"/>
              </w:rPr>
              <w:t>)</w:t>
            </w:r>
          </w:p>
        </w:tc>
        <w:tc>
          <w:tcPr>
            <w:tcW w:w="3690" w:type="dxa"/>
            <w:tcBorders>
              <w:bottom w:val="single" w:sz="4" w:space="0" w:color="auto"/>
            </w:tcBorders>
            <w:shd w:val="clear" w:color="auto" w:fill="BFBFBF"/>
          </w:tcPr>
          <w:p w:rsidR="003A00D6" w:rsidRDefault="003A00D6" w:rsidP="003A00D6">
            <w:pPr>
              <w:jc w:val="right"/>
              <w:rPr>
                <w:rFonts w:cs="Calibri"/>
                <w:b/>
                <w:sz w:val="20"/>
              </w:rPr>
            </w:pPr>
            <w:r>
              <w:rPr>
                <w:rFonts w:cs="Calibri"/>
                <w:b/>
                <w:sz w:val="20"/>
              </w:rPr>
              <w:t xml:space="preserve">Budget allocation </w:t>
            </w:r>
          </w:p>
          <w:p w:rsidR="003A00D6" w:rsidRDefault="003A00D6" w:rsidP="003A00D6">
            <w:pPr>
              <w:jc w:val="right"/>
              <w:rPr>
                <w:rFonts w:cs="Calibri"/>
                <w:b/>
                <w:sz w:val="20"/>
              </w:rPr>
            </w:pPr>
            <w:r>
              <w:rPr>
                <w:rFonts w:cs="Calibri"/>
                <w:b/>
                <w:sz w:val="20"/>
              </w:rPr>
              <w:t>[Euro]</w:t>
            </w:r>
          </w:p>
        </w:tc>
      </w:tr>
      <w:tr w:rsidR="003A00D6" w:rsidRPr="00E63A95" w:rsidTr="003A00D6">
        <w:tc>
          <w:tcPr>
            <w:tcW w:w="3727" w:type="dxa"/>
            <w:shd w:val="clear" w:color="auto" w:fill="auto"/>
          </w:tcPr>
          <w:p w:rsidR="003A00D6" w:rsidRDefault="003A00D6" w:rsidP="002B64E9">
            <w:pPr>
              <w:autoSpaceDE w:val="0"/>
              <w:autoSpaceDN w:val="0"/>
              <w:adjustRightInd w:val="0"/>
              <w:jc w:val="both"/>
              <w:outlineLvl w:val="5"/>
              <w:rPr>
                <w:rFonts w:cs="Calibri"/>
                <w:sz w:val="20"/>
              </w:rPr>
            </w:pPr>
            <w:r w:rsidRPr="000F0ADA">
              <w:rPr>
                <w:rFonts w:cs="Calibri"/>
                <w:sz w:val="20"/>
              </w:rPr>
              <w:t xml:space="preserve">Enhanced capacity of the COMESA </w:t>
            </w:r>
            <w:r>
              <w:rPr>
                <w:rFonts w:cs="Calibri"/>
                <w:sz w:val="20"/>
              </w:rPr>
              <w:t>S</w:t>
            </w:r>
            <w:r w:rsidRPr="000F0ADA">
              <w:rPr>
                <w:rFonts w:cs="Calibri"/>
                <w:sz w:val="20"/>
              </w:rPr>
              <w:t xml:space="preserve">ecretariat and its </w:t>
            </w:r>
            <w:r>
              <w:rPr>
                <w:rFonts w:cs="Calibri"/>
                <w:sz w:val="20"/>
              </w:rPr>
              <w:t>M</w:t>
            </w:r>
            <w:r w:rsidRPr="000F0ADA">
              <w:rPr>
                <w:rFonts w:cs="Calibri"/>
                <w:sz w:val="20"/>
              </w:rPr>
              <w:t xml:space="preserve">ember </w:t>
            </w:r>
            <w:r>
              <w:rPr>
                <w:rFonts w:cs="Calibri"/>
                <w:sz w:val="20"/>
              </w:rPr>
              <w:t>S</w:t>
            </w:r>
            <w:r w:rsidRPr="000F0ADA">
              <w:rPr>
                <w:rFonts w:cs="Calibri"/>
                <w:sz w:val="20"/>
              </w:rPr>
              <w:t>tates, including the private sector, to deepen regional integration</w:t>
            </w:r>
          </w:p>
          <w:p w:rsidR="003A00D6" w:rsidRPr="000F0ADA" w:rsidRDefault="003A00D6" w:rsidP="002B64E9">
            <w:pPr>
              <w:pStyle w:val="Text1"/>
              <w:spacing w:before="0" w:after="0"/>
              <w:rPr>
                <w:rFonts w:cs="Calibri"/>
                <w:sz w:val="20"/>
                <w:highlight w:val="yellow"/>
              </w:rPr>
            </w:pPr>
          </w:p>
        </w:tc>
        <w:tc>
          <w:tcPr>
            <w:tcW w:w="6480" w:type="dxa"/>
            <w:shd w:val="clear" w:color="auto" w:fill="auto"/>
          </w:tcPr>
          <w:p w:rsidR="003A00D6" w:rsidRPr="000F0ADA" w:rsidRDefault="003A00D6" w:rsidP="003D3B23">
            <w:pPr>
              <w:autoSpaceDE w:val="0"/>
              <w:autoSpaceDN w:val="0"/>
              <w:adjustRightInd w:val="0"/>
              <w:ind w:left="601" w:hanging="601"/>
              <w:rPr>
                <w:rFonts w:cs="Calibri"/>
                <w:sz w:val="20"/>
              </w:rPr>
            </w:pPr>
            <w:r w:rsidRPr="00B124D4">
              <w:rPr>
                <w:rFonts w:cs="Calibri"/>
                <w:b/>
                <w:sz w:val="20"/>
              </w:rPr>
              <w:t xml:space="preserve">O.O </w:t>
            </w:r>
            <w:r>
              <w:rPr>
                <w:rFonts w:cs="Calibri"/>
                <w:b/>
                <w:sz w:val="20"/>
              </w:rPr>
              <w:t>.</w:t>
            </w:r>
            <w:r w:rsidRPr="00B124D4">
              <w:rPr>
                <w:rFonts w:cs="Calibri"/>
                <w:b/>
                <w:sz w:val="20"/>
              </w:rPr>
              <w:t>1</w:t>
            </w:r>
            <w:r>
              <w:rPr>
                <w:rFonts w:cs="Calibri"/>
                <w:sz w:val="20"/>
              </w:rPr>
              <w:t xml:space="preserve"> </w:t>
            </w:r>
            <w:r w:rsidRPr="000F0ADA">
              <w:rPr>
                <w:rFonts w:cs="Calibri"/>
                <w:sz w:val="20"/>
              </w:rPr>
              <w:t>Exports of goods and services as % of regional GDP (EVAL 1.16)</w:t>
            </w:r>
          </w:p>
          <w:p w:rsidR="003A00D6" w:rsidRPr="009B7B89" w:rsidRDefault="003A00D6" w:rsidP="003D3B23">
            <w:pPr>
              <w:autoSpaceDE w:val="0"/>
              <w:autoSpaceDN w:val="0"/>
              <w:adjustRightInd w:val="0"/>
              <w:ind w:left="601" w:hanging="601"/>
              <w:rPr>
                <w:rFonts w:cs="Calibri"/>
                <w:sz w:val="20"/>
              </w:rPr>
            </w:pPr>
            <w:r>
              <w:rPr>
                <w:rFonts w:cs="Calibri"/>
                <w:b/>
                <w:sz w:val="20"/>
              </w:rPr>
              <w:t>O</w:t>
            </w:r>
            <w:r w:rsidRPr="00B124D4">
              <w:rPr>
                <w:rFonts w:cs="Calibri"/>
                <w:b/>
                <w:sz w:val="20"/>
              </w:rPr>
              <w:t>.</w:t>
            </w:r>
            <w:r>
              <w:rPr>
                <w:rFonts w:cs="Calibri"/>
                <w:b/>
                <w:sz w:val="20"/>
              </w:rPr>
              <w:t>O</w:t>
            </w:r>
            <w:r w:rsidRPr="00B124D4">
              <w:rPr>
                <w:rFonts w:cs="Calibri"/>
                <w:b/>
                <w:sz w:val="20"/>
              </w:rPr>
              <w:t>.2</w:t>
            </w:r>
            <w:r>
              <w:rPr>
                <w:rFonts w:cs="Calibri"/>
                <w:sz w:val="20"/>
              </w:rPr>
              <w:t xml:space="preserve"> 1</w:t>
            </w:r>
            <w:r w:rsidRPr="00263506">
              <w:rPr>
                <w:rFonts w:cs="Calibri"/>
                <w:sz w:val="20"/>
              </w:rPr>
              <w:t>. % increase in overall and</w:t>
            </w:r>
            <w:r w:rsidRPr="009B7B89">
              <w:rPr>
                <w:rFonts w:cs="Calibri"/>
                <w:sz w:val="20"/>
              </w:rPr>
              <w:t xml:space="preserve"> intra-COMESA trade</w:t>
            </w:r>
          </w:p>
          <w:p w:rsidR="003A00D6" w:rsidRPr="00E63A95" w:rsidRDefault="003A00D6" w:rsidP="003D3B23">
            <w:pPr>
              <w:autoSpaceDE w:val="0"/>
              <w:autoSpaceDN w:val="0"/>
              <w:adjustRightInd w:val="0"/>
              <w:rPr>
                <w:rFonts w:cs="Calibri"/>
                <w:i/>
                <w:sz w:val="20"/>
                <w:highlight w:val="yellow"/>
              </w:rPr>
            </w:pPr>
            <w:r w:rsidRPr="00B124D4">
              <w:rPr>
                <w:rFonts w:cs="Calibri"/>
                <w:b/>
                <w:sz w:val="20"/>
              </w:rPr>
              <w:t>O.O.3</w:t>
            </w:r>
            <w:r w:rsidRPr="003C1373">
              <w:rPr>
                <w:rFonts w:cs="Calibri"/>
                <w:sz w:val="20"/>
              </w:rPr>
              <w:t xml:space="preserve"> Number</w:t>
            </w:r>
            <w:r w:rsidRPr="009B7B89">
              <w:rPr>
                <w:rFonts w:cs="Calibri"/>
                <w:sz w:val="20"/>
              </w:rPr>
              <w:t xml:space="preserve"> of countries ratification </w:t>
            </w:r>
            <w:r>
              <w:rPr>
                <w:rFonts w:cs="Calibri"/>
                <w:sz w:val="20"/>
              </w:rPr>
              <w:t>the TFTA</w:t>
            </w:r>
          </w:p>
        </w:tc>
        <w:tc>
          <w:tcPr>
            <w:tcW w:w="3690" w:type="dxa"/>
          </w:tcPr>
          <w:p w:rsidR="003A00D6" w:rsidRPr="00B124D4" w:rsidRDefault="003A00D6" w:rsidP="003A00D6">
            <w:pPr>
              <w:autoSpaceDE w:val="0"/>
              <w:autoSpaceDN w:val="0"/>
              <w:adjustRightInd w:val="0"/>
              <w:ind w:left="601" w:hanging="601"/>
              <w:jc w:val="right"/>
              <w:rPr>
                <w:rFonts w:cs="Calibri"/>
                <w:b/>
                <w:sz w:val="20"/>
              </w:rPr>
            </w:pPr>
          </w:p>
        </w:tc>
      </w:tr>
      <w:tr w:rsidR="003A00D6" w:rsidRPr="00623BA1" w:rsidTr="003A00D6">
        <w:trPr>
          <w:trHeight w:val="350"/>
        </w:trPr>
        <w:tc>
          <w:tcPr>
            <w:tcW w:w="3727" w:type="dxa"/>
            <w:tcBorders>
              <w:bottom w:val="single" w:sz="4" w:space="0" w:color="auto"/>
            </w:tcBorders>
            <w:shd w:val="clear" w:color="auto" w:fill="auto"/>
          </w:tcPr>
          <w:p w:rsidR="003A00D6" w:rsidRDefault="003A00D6" w:rsidP="002B64E9">
            <w:pPr>
              <w:autoSpaceDE w:val="0"/>
              <w:autoSpaceDN w:val="0"/>
              <w:adjustRightInd w:val="0"/>
              <w:jc w:val="both"/>
              <w:rPr>
                <w:i/>
                <w:sz w:val="20"/>
                <w:szCs w:val="20"/>
                <w:highlight w:val="yellow"/>
              </w:rPr>
            </w:pPr>
            <w:r>
              <w:rPr>
                <w:rFonts w:cs="Calibri"/>
                <w:sz w:val="20"/>
              </w:rPr>
              <w:t>T</w:t>
            </w:r>
            <w:r w:rsidRPr="009B7B89">
              <w:rPr>
                <w:rFonts w:cs="Calibri"/>
                <w:sz w:val="20"/>
              </w:rPr>
              <w:t>o enhance the capacity of the COMESA Secretariat to effectively and efficiently implement regional cooperation projects and engage with its Member States</w:t>
            </w:r>
          </w:p>
          <w:p w:rsidR="003A00D6" w:rsidRPr="00D87D7C" w:rsidRDefault="003A00D6" w:rsidP="002B64E9">
            <w:pPr>
              <w:autoSpaceDE w:val="0"/>
              <w:autoSpaceDN w:val="0"/>
              <w:adjustRightInd w:val="0"/>
              <w:jc w:val="both"/>
              <w:rPr>
                <w:rFonts w:cs="Calibri"/>
                <w:i/>
                <w:sz w:val="20"/>
                <w:highlight w:val="yellow"/>
              </w:rPr>
            </w:pPr>
          </w:p>
        </w:tc>
        <w:tc>
          <w:tcPr>
            <w:tcW w:w="6480" w:type="dxa"/>
            <w:tcBorders>
              <w:bottom w:val="single" w:sz="4" w:space="0" w:color="auto"/>
            </w:tcBorders>
            <w:shd w:val="clear" w:color="auto" w:fill="auto"/>
          </w:tcPr>
          <w:p w:rsidR="003A00D6" w:rsidRPr="000F0ADA" w:rsidRDefault="003A00D6" w:rsidP="002B64E9">
            <w:pPr>
              <w:autoSpaceDE w:val="0"/>
              <w:autoSpaceDN w:val="0"/>
              <w:adjustRightInd w:val="0"/>
              <w:rPr>
                <w:rFonts w:cs="Calibri"/>
                <w:sz w:val="20"/>
              </w:rPr>
            </w:pPr>
            <w:r w:rsidRPr="00B124D4">
              <w:rPr>
                <w:rFonts w:cs="Calibri"/>
                <w:b/>
                <w:sz w:val="20"/>
              </w:rPr>
              <w:t>S</w:t>
            </w:r>
            <w:r>
              <w:rPr>
                <w:rFonts w:cs="Calibri"/>
                <w:b/>
                <w:sz w:val="20"/>
              </w:rPr>
              <w:t>.O.</w:t>
            </w:r>
            <w:r w:rsidRPr="00B124D4">
              <w:rPr>
                <w:rFonts w:cs="Calibri"/>
                <w:b/>
                <w:sz w:val="20"/>
              </w:rPr>
              <w:t>1</w:t>
            </w:r>
            <w:r>
              <w:rPr>
                <w:rFonts w:cs="Calibri"/>
                <w:sz w:val="20"/>
              </w:rPr>
              <w:t xml:space="preserve"> Secretariat</w:t>
            </w:r>
            <w:r w:rsidRPr="000F0ADA">
              <w:rPr>
                <w:rFonts w:cs="Calibri"/>
                <w:sz w:val="20"/>
              </w:rPr>
              <w:t xml:space="preserve"> implementation of regional priorities with MS increases (% by 2020)</w:t>
            </w:r>
          </w:p>
          <w:p w:rsidR="003A00D6" w:rsidRPr="00E63A95" w:rsidRDefault="003A00D6" w:rsidP="003D3B23">
            <w:pPr>
              <w:autoSpaceDE w:val="0"/>
              <w:autoSpaceDN w:val="0"/>
              <w:adjustRightInd w:val="0"/>
              <w:ind w:left="601" w:hanging="601"/>
              <w:rPr>
                <w:rFonts w:cs="Calibri"/>
                <w:i/>
                <w:sz w:val="20"/>
                <w:highlight w:val="yellow"/>
              </w:rPr>
            </w:pPr>
            <w:r w:rsidRPr="00B124D4">
              <w:rPr>
                <w:rFonts w:cs="Calibri"/>
                <w:b/>
                <w:sz w:val="20"/>
              </w:rPr>
              <w:t>S.O.2</w:t>
            </w:r>
            <w:r>
              <w:rPr>
                <w:rFonts w:cs="Calibri"/>
                <w:sz w:val="20"/>
              </w:rPr>
              <w:t xml:space="preserve"> </w:t>
            </w:r>
            <w:r w:rsidRPr="000F0ADA">
              <w:rPr>
                <w:rFonts w:cs="Calibri"/>
                <w:sz w:val="20"/>
              </w:rPr>
              <w:t xml:space="preserve">Number of </w:t>
            </w:r>
            <w:r>
              <w:rPr>
                <w:rFonts w:cs="Calibri"/>
                <w:sz w:val="20"/>
              </w:rPr>
              <w:t>M</w:t>
            </w:r>
            <w:r w:rsidRPr="000F0ADA">
              <w:rPr>
                <w:rFonts w:cs="Calibri"/>
                <w:sz w:val="20"/>
              </w:rPr>
              <w:t xml:space="preserve">ember </w:t>
            </w:r>
            <w:r>
              <w:rPr>
                <w:rFonts w:cs="Calibri"/>
                <w:sz w:val="20"/>
              </w:rPr>
              <w:t>S</w:t>
            </w:r>
            <w:r w:rsidRPr="000F0ADA">
              <w:rPr>
                <w:rFonts w:cs="Calibri"/>
                <w:sz w:val="20"/>
              </w:rPr>
              <w:t>tates domesticating the regional priorities</w:t>
            </w:r>
          </w:p>
        </w:tc>
        <w:tc>
          <w:tcPr>
            <w:tcW w:w="3690" w:type="dxa"/>
            <w:tcBorders>
              <w:bottom w:val="single" w:sz="4" w:space="0" w:color="auto"/>
            </w:tcBorders>
          </w:tcPr>
          <w:p w:rsidR="003A00D6" w:rsidRPr="00B124D4" w:rsidRDefault="003A00D6" w:rsidP="003A00D6">
            <w:pPr>
              <w:autoSpaceDE w:val="0"/>
              <w:autoSpaceDN w:val="0"/>
              <w:adjustRightInd w:val="0"/>
              <w:jc w:val="right"/>
              <w:rPr>
                <w:rFonts w:cs="Calibri"/>
                <w:b/>
                <w:sz w:val="20"/>
              </w:rPr>
            </w:pPr>
          </w:p>
        </w:tc>
      </w:tr>
      <w:tr w:rsidR="003A00D6" w:rsidRPr="00623BA1" w:rsidTr="003A00D6">
        <w:trPr>
          <w:trHeight w:val="935"/>
        </w:trPr>
        <w:tc>
          <w:tcPr>
            <w:tcW w:w="3727" w:type="dxa"/>
            <w:shd w:val="clear" w:color="auto" w:fill="FFFFFF"/>
          </w:tcPr>
          <w:p w:rsidR="003A00D6" w:rsidRPr="00E63A95" w:rsidRDefault="003A00D6" w:rsidP="002B64E9">
            <w:pPr>
              <w:autoSpaceDE w:val="0"/>
              <w:autoSpaceDN w:val="0"/>
              <w:adjustRightInd w:val="0"/>
              <w:jc w:val="both"/>
              <w:rPr>
                <w:rFonts w:cs="Calibri"/>
                <w:i/>
                <w:sz w:val="20"/>
                <w:highlight w:val="yellow"/>
              </w:rPr>
            </w:pPr>
            <w:r w:rsidRPr="000F0ADA">
              <w:rPr>
                <w:rFonts w:cs="Calibri"/>
                <w:b/>
                <w:sz w:val="20"/>
                <w:u w:val="single"/>
              </w:rPr>
              <w:t>Output 1.</w:t>
            </w:r>
            <w:r w:rsidRPr="00FB42A0">
              <w:rPr>
                <w:rFonts w:cs="Calibri"/>
                <w:sz w:val="20"/>
              </w:rPr>
              <w:t xml:space="preserve"> </w:t>
            </w:r>
            <w:r>
              <w:rPr>
                <w:rFonts w:cs="Calibri"/>
                <w:i/>
                <w:sz w:val="20"/>
              </w:rPr>
              <w:t xml:space="preserve"> </w:t>
            </w:r>
            <w:r w:rsidRPr="00B124D4">
              <w:rPr>
                <w:rFonts w:cs="Calibri"/>
                <w:sz w:val="20"/>
              </w:rPr>
              <w:t>Improved Monitoring and Evaluation capacities for implementation of regional commitments at regional and at national level, including in terms of gender mainstreaming</w:t>
            </w:r>
            <w:r w:rsidRPr="00F6629F">
              <w:rPr>
                <w:rFonts w:cs="Calibri"/>
                <w:i/>
                <w:sz w:val="20"/>
              </w:rPr>
              <w:t>.</w:t>
            </w:r>
          </w:p>
          <w:p w:rsidR="003A00D6" w:rsidRPr="003D493D" w:rsidRDefault="003A00D6" w:rsidP="002B64E9">
            <w:pPr>
              <w:autoSpaceDE w:val="0"/>
              <w:autoSpaceDN w:val="0"/>
              <w:adjustRightInd w:val="0"/>
              <w:jc w:val="both"/>
              <w:rPr>
                <w:rFonts w:cs="Calibri"/>
                <w:sz w:val="20"/>
                <w:highlight w:val="yellow"/>
              </w:rPr>
            </w:pPr>
          </w:p>
        </w:tc>
        <w:tc>
          <w:tcPr>
            <w:tcW w:w="6480" w:type="dxa"/>
            <w:shd w:val="clear" w:color="auto" w:fill="FFFFFF"/>
          </w:tcPr>
          <w:p w:rsidR="003A00D6" w:rsidRPr="00FB42A0" w:rsidRDefault="003A00D6" w:rsidP="002B64E9">
            <w:pPr>
              <w:autoSpaceDE w:val="0"/>
              <w:autoSpaceDN w:val="0"/>
              <w:adjustRightInd w:val="0"/>
              <w:jc w:val="both"/>
              <w:rPr>
                <w:rFonts w:cs="Calibri"/>
                <w:sz w:val="20"/>
              </w:rPr>
            </w:pPr>
            <w:r w:rsidRPr="00B124D4">
              <w:rPr>
                <w:rFonts w:cs="Calibri"/>
                <w:b/>
                <w:sz w:val="20"/>
              </w:rPr>
              <w:t>1.1</w:t>
            </w:r>
            <w:r>
              <w:rPr>
                <w:rFonts w:cs="Calibri"/>
                <w:sz w:val="20"/>
              </w:rPr>
              <w:t xml:space="preserve"> </w:t>
            </w:r>
            <w:r w:rsidRPr="00FB42A0">
              <w:rPr>
                <w:rFonts w:cs="Calibri"/>
                <w:sz w:val="20"/>
              </w:rPr>
              <w:t>An integrated, functional</w:t>
            </w:r>
            <w:r>
              <w:rPr>
                <w:rFonts w:cs="Calibri"/>
                <w:sz w:val="20"/>
              </w:rPr>
              <w:t>, gender sensitive</w:t>
            </w:r>
            <w:r w:rsidRPr="00FB42A0">
              <w:rPr>
                <w:rFonts w:cs="Calibri"/>
                <w:sz w:val="20"/>
              </w:rPr>
              <w:t xml:space="preserve"> and </w:t>
            </w:r>
            <w:proofErr w:type="spellStart"/>
            <w:r w:rsidRPr="00FB42A0">
              <w:rPr>
                <w:rFonts w:cs="Calibri"/>
                <w:sz w:val="20"/>
              </w:rPr>
              <w:t>operationalisation</w:t>
            </w:r>
            <w:proofErr w:type="spellEnd"/>
            <w:r w:rsidRPr="00FB42A0">
              <w:rPr>
                <w:rFonts w:cs="Calibri"/>
                <w:sz w:val="20"/>
              </w:rPr>
              <w:t xml:space="preserve"> on-line monitoring and evaluation system </w:t>
            </w:r>
            <w:r>
              <w:rPr>
                <w:rFonts w:cs="Calibri"/>
                <w:sz w:val="20"/>
              </w:rPr>
              <w:t xml:space="preserve">is in place </w:t>
            </w:r>
          </w:p>
          <w:p w:rsidR="003A00D6" w:rsidRPr="00FB42A0" w:rsidRDefault="003A00D6" w:rsidP="002B64E9">
            <w:pPr>
              <w:autoSpaceDE w:val="0"/>
              <w:autoSpaceDN w:val="0"/>
              <w:adjustRightInd w:val="0"/>
              <w:jc w:val="both"/>
              <w:rPr>
                <w:rFonts w:cs="Calibri"/>
                <w:sz w:val="20"/>
              </w:rPr>
            </w:pPr>
            <w:r w:rsidRPr="00B124D4">
              <w:rPr>
                <w:rFonts w:cs="Calibri"/>
                <w:b/>
                <w:sz w:val="20"/>
              </w:rPr>
              <w:t>1.</w:t>
            </w:r>
            <w:r>
              <w:rPr>
                <w:rFonts w:cs="Calibri"/>
                <w:b/>
                <w:sz w:val="20"/>
              </w:rPr>
              <w:t xml:space="preserve">2 </w:t>
            </w:r>
            <w:r w:rsidRPr="00FB42A0">
              <w:rPr>
                <w:rFonts w:cs="Calibri"/>
                <w:sz w:val="20"/>
              </w:rPr>
              <w:t xml:space="preserve">Number of </w:t>
            </w:r>
            <w:proofErr w:type="gramStart"/>
            <w:r w:rsidRPr="00FB42A0">
              <w:rPr>
                <w:rFonts w:cs="Calibri"/>
                <w:sz w:val="20"/>
              </w:rPr>
              <w:t>staff</w:t>
            </w:r>
            <w:proofErr w:type="gramEnd"/>
            <w:r w:rsidRPr="00FB42A0">
              <w:rPr>
                <w:rFonts w:cs="Calibri"/>
                <w:sz w:val="20"/>
              </w:rPr>
              <w:t xml:space="preserve"> trained on M&amp;E skills competence, result-based planning, </w:t>
            </w:r>
            <w:r>
              <w:rPr>
                <w:rFonts w:cs="Calibri"/>
                <w:sz w:val="20"/>
              </w:rPr>
              <w:t xml:space="preserve">gender sensitive </w:t>
            </w:r>
            <w:r w:rsidRPr="00FB42A0">
              <w:rPr>
                <w:rFonts w:cs="Calibri"/>
                <w:sz w:val="20"/>
              </w:rPr>
              <w:t xml:space="preserve">programme implementation and monitoring </w:t>
            </w:r>
            <w:r>
              <w:rPr>
                <w:rFonts w:cs="Calibri"/>
                <w:sz w:val="20"/>
              </w:rPr>
              <w:t>(disaggregated by sex)</w:t>
            </w:r>
          </w:p>
          <w:p w:rsidR="003A00D6" w:rsidRDefault="003A00D6" w:rsidP="003D3B23">
            <w:pPr>
              <w:autoSpaceDE w:val="0"/>
              <w:autoSpaceDN w:val="0"/>
              <w:adjustRightInd w:val="0"/>
              <w:jc w:val="both"/>
              <w:rPr>
                <w:rFonts w:cs="Calibri"/>
                <w:sz w:val="20"/>
              </w:rPr>
            </w:pPr>
            <w:r w:rsidRPr="00B124D4">
              <w:rPr>
                <w:rFonts w:cs="Calibri"/>
                <w:b/>
                <w:sz w:val="20"/>
              </w:rPr>
              <w:t xml:space="preserve">1.3 </w:t>
            </w:r>
            <w:r w:rsidRPr="00BD2C65">
              <w:rPr>
                <w:rFonts w:cs="Calibri"/>
                <w:sz w:val="20"/>
              </w:rPr>
              <w:t>Number of Member States reporting on transpositions of regional policies and domestication in the system</w:t>
            </w:r>
          </w:p>
          <w:p w:rsidR="003A00D6" w:rsidRPr="00E63A95" w:rsidRDefault="003A00D6" w:rsidP="003D3B23">
            <w:pPr>
              <w:autoSpaceDE w:val="0"/>
              <w:autoSpaceDN w:val="0"/>
              <w:adjustRightInd w:val="0"/>
              <w:ind w:left="317" w:hanging="317"/>
              <w:jc w:val="both"/>
              <w:rPr>
                <w:rFonts w:cs="Calibri"/>
                <w:i/>
                <w:sz w:val="20"/>
                <w:highlight w:val="yellow"/>
              </w:rPr>
            </w:pPr>
            <w:r w:rsidRPr="00B124D4">
              <w:rPr>
                <w:rFonts w:cs="Calibri"/>
                <w:b/>
                <w:sz w:val="20"/>
              </w:rPr>
              <w:t>1.4</w:t>
            </w:r>
            <w:r>
              <w:rPr>
                <w:rFonts w:cs="Calibri"/>
                <w:b/>
                <w:sz w:val="20"/>
              </w:rPr>
              <w:t xml:space="preserve"> </w:t>
            </w:r>
            <w:r w:rsidRPr="00BD2C65">
              <w:rPr>
                <w:rFonts w:cs="Calibri"/>
                <w:sz w:val="20"/>
              </w:rPr>
              <w:t>Number of reports that include sex disaggregated data</w:t>
            </w:r>
          </w:p>
        </w:tc>
        <w:tc>
          <w:tcPr>
            <w:tcW w:w="3690" w:type="dxa"/>
            <w:shd w:val="clear" w:color="auto" w:fill="FFFFFF"/>
          </w:tcPr>
          <w:p w:rsidR="003A00D6" w:rsidRPr="00B124D4" w:rsidRDefault="003A00D6" w:rsidP="003A00D6">
            <w:pPr>
              <w:autoSpaceDE w:val="0"/>
              <w:autoSpaceDN w:val="0"/>
              <w:adjustRightInd w:val="0"/>
              <w:jc w:val="right"/>
              <w:rPr>
                <w:rFonts w:cs="Calibri"/>
                <w:b/>
                <w:sz w:val="20"/>
              </w:rPr>
            </w:pPr>
            <w:r>
              <w:rPr>
                <w:rFonts w:cs="Calibri"/>
                <w:b/>
                <w:sz w:val="20"/>
              </w:rPr>
              <w:t>3,378,375</w:t>
            </w:r>
          </w:p>
        </w:tc>
      </w:tr>
      <w:tr w:rsidR="003A00D6" w:rsidRPr="00623BA1" w:rsidTr="003A00D6">
        <w:tc>
          <w:tcPr>
            <w:tcW w:w="3727" w:type="dxa"/>
            <w:shd w:val="clear" w:color="auto" w:fill="FFFFFF"/>
          </w:tcPr>
          <w:p w:rsidR="003A00D6" w:rsidRPr="00FB42A0" w:rsidRDefault="003A00D6" w:rsidP="003D3B23">
            <w:pPr>
              <w:autoSpaceDE w:val="0"/>
              <w:autoSpaceDN w:val="0"/>
              <w:adjustRightInd w:val="0"/>
              <w:jc w:val="both"/>
              <w:rPr>
                <w:rFonts w:cs="Calibri"/>
                <w:sz w:val="20"/>
              </w:rPr>
            </w:pPr>
            <w:r w:rsidRPr="000F0ADA">
              <w:rPr>
                <w:rFonts w:cs="Calibri"/>
                <w:b/>
                <w:sz w:val="20"/>
                <w:u w:val="single"/>
              </w:rPr>
              <w:t>Output 2</w:t>
            </w:r>
            <w:r w:rsidRPr="00F3550D">
              <w:rPr>
                <w:rFonts w:cs="Calibri"/>
                <w:sz w:val="20"/>
              </w:rPr>
              <w:t>,</w:t>
            </w:r>
            <w:r>
              <w:t xml:space="preserve"> </w:t>
            </w:r>
            <w:r w:rsidRPr="00263506">
              <w:rPr>
                <w:rFonts w:cs="Calibri"/>
                <w:sz w:val="20"/>
              </w:rPr>
              <w:t>Improved COMESA financial and audit processes in line with international standards and with the 9-pillar assessment requirements,</w:t>
            </w:r>
          </w:p>
        </w:tc>
        <w:tc>
          <w:tcPr>
            <w:tcW w:w="6480" w:type="dxa"/>
            <w:shd w:val="clear" w:color="auto" w:fill="FFFFFF"/>
          </w:tcPr>
          <w:p w:rsidR="003A00D6" w:rsidRPr="00BD2C65" w:rsidRDefault="003A00D6" w:rsidP="002B64E9">
            <w:pPr>
              <w:autoSpaceDE w:val="0"/>
              <w:autoSpaceDN w:val="0"/>
              <w:adjustRightInd w:val="0"/>
              <w:rPr>
                <w:rFonts w:cs="Calibri"/>
                <w:sz w:val="20"/>
              </w:rPr>
            </w:pPr>
            <w:r w:rsidRPr="00B124D4">
              <w:rPr>
                <w:rFonts w:cs="Calibri"/>
                <w:b/>
                <w:sz w:val="20"/>
              </w:rPr>
              <w:t xml:space="preserve">2.1. </w:t>
            </w:r>
            <w:r w:rsidRPr="00BD2C65">
              <w:rPr>
                <w:rFonts w:cs="Calibri"/>
                <w:sz w:val="20"/>
              </w:rPr>
              <w:t xml:space="preserve">Number of procurement plan activities implemented with use of automated and integrated system </w:t>
            </w:r>
          </w:p>
          <w:p w:rsidR="003A00D6" w:rsidRPr="00BD2C65" w:rsidRDefault="003A00D6" w:rsidP="002B64E9">
            <w:pPr>
              <w:autoSpaceDE w:val="0"/>
              <w:autoSpaceDN w:val="0"/>
              <w:adjustRightInd w:val="0"/>
              <w:rPr>
                <w:rFonts w:cs="Calibri"/>
                <w:sz w:val="20"/>
              </w:rPr>
            </w:pPr>
            <w:r w:rsidRPr="00B124D4">
              <w:rPr>
                <w:rFonts w:cs="Calibri"/>
                <w:b/>
                <w:sz w:val="20"/>
              </w:rPr>
              <w:t xml:space="preserve">2.2 </w:t>
            </w:r>
            <w:r w:rsidRPr="00BD2C65">
              <w:rPr>
                <w:rFonts w:cs="Calibri"/>
                <w:sz w:val="20"/>
              </w:rPr>
              <w:t xml:space="preserve">Enhanced Financial Management capabilities for efficient budgeting and reporting </w:t>
            </w:r>
          </w:p>
          <w:p w:rsidR="003A00D6" w:rsidRPr="00BD2C65" w:rsidRDefault="003A00D6" w:rsidP="002B64E9">
            <w:pPr>
              <w:autoSpaceDE w:val="0"/>
              <w:autoSpaceDN w:val="0"/>
              <w:adjustRightInd w:val="0"/>
              <w:rPr>
                <w:rFonts w:cs="Calibri"/>
                <w:sz w:val="20"/>
              </w:rPr>
            </w:pPr>
            <w:r w:rsidRPr="00B124D4">
              <w:rPr>
                <w:rFonts w:cs="Calibri"/>
                <w:b/>
                <w:sz w:val="20"/>
              </w:rPr>
              <w:t>2.3</w:t>
            </w:r>
            <w:r w:rsidRPr="00BD2C65">
              <w:rPr>
                <w:rFonts w:cs="Calibri"/>
                <w:sz w:val="20"/>
              </w:rPr>
              <w:t xml:space="preserve"> Number of internal audit recommendations implemented </w:t>
            </w:r>
          </w:p>
          <w:p w:rsidR="003A00D6" w:rsidRPr="00E63A95" w:rsidRDefault="003A00D6" w:rsidP="002B64E9">
            <w:pPr>
              <w:autoSpaceDE w:val="0"/>
              <w:autoSpaceDN w:val="0"/>
              <w:adjustRightInd w:val="0"/>
              <w:rPr>
                <w:rFonts w:cs="Calibri"/>
                <w:sz w:val="20"/>
                <w:highlight w:val="yellow"/>
              </w:rPr>
            </w:pPr>
            <w:r w:rsidRPr="00B124D4">
              <w:rPr>
                <w:rFonts w:cs="Calibri"/>
                <w:b/>
                <w:sz w:val="20"/>
              </w:rPr>
              <w:t xml:space="preserve">2.4 </w:t>
            </w:r>
            <w:r>
              <w:rPr>
                <w:rFonts w:cs="Calibri"/>
                <w:sz w:val="20"/>
              </w:rPr>
              <w:t xml:space="preserve">Number of recommendations of pillar assessments implemented by COMESA </w:t>
            </w:r>
          </w:p>
        </w:tc>
        <w:tc>
          <w:tcPr>
            <w:tcW w:w="3690" w:type="dxa"/>
            <w:shd w:val="clear" w:color="auto" w:fill="FFFFFF"/>
          </w:tcPr>
          <w:p w:rsidR="003A00D6" w:rsidRPr="00B124D4" w:rsidRDefault="003A00D6" w:rsidP="003A00D6">
            <w:pPr>
              <w:autoSpaceDE w:val="0"/>
              <w:autoSpaceDN w:val="0"/>
              <w:adjustRightInd w:val="0"/>
              <w:jc w:val="right"/>
              <w:rPr>
                <w:rFonts w:cs="Calibri"/>
                <w:b/>
                <w:sz w:val="20"/>
              </w:rPr>
            </w:pPr>
            <w:r>
              <w:rPr>
                <w:color w:val="000000"/>
                <w:sz w:val="20"/>
                <w:szCs w:val="20"/>
              </w:rPr>
              <w:t>1,455,300</w:t>
            </w:r>
          </w:p>
        </w:tc>
      </w:tr>
      <w:tr w:rsidR="003A00D6" w:rsidRPr="00623BA1" w:rsidTr="003A00D6">
        <w:tc>
          <w:tcPr>
            <w:tcW w:w="3727" w:type="dxa"/>
            <w:shd w:val="clear" w:color="auto" w:fill="FFFFFF"/>
          </w:tcPr>
          <w:p w:rsidR="003A00D6" w:rsidRPr="000F0ADA" w:rsidRDefault="003A00D6" w:rsidP="003D3B23">
            <w:pPr>
              <w:autoSpaceDE w:val="0"/>
              <w:autoSpaceDN w:val="0"/>
              <w:adjustRightInd w:val="0"/>
              <w:jc w:val="both"/>
              <w:rPr>
                <w:rFonts w:cs="Calibri"/>
                <w:sz w:val="20"/>
              </w:rPr>
            </w:pPr>
            <w:r w:rsidRPr="00F3550D">
              <w:rPr>
                <w:rFonts w:cs="Calibri"/>
                <w:b/>
                <w:sz w:val="20"/>
                <w:u w:val="single"/>
              </w:rPr>
              <w:t xml:space="preserve">Output 3 </w:t>
            </w:r>
            <w:r w:rsidRPr="00263506">
              <w:rPr>
                <w:rFonts w:cs="Calibri"/>
                <w:sz w:val="20"/>
              </w:rPr>
              <w:t>Strengthened ability to produce and disseminate regional statistics in line with the COMESA Statistics Strategy ensuring harmonisation and gender responsiveness</w:t>
            </w:r>
          </w:p>
          <w:p w:rsidR="003A00D6" w:rsidRPr="008339FD" w:rsidRDefault="003A00D6" w:rsidP="003D3B23">
            <w:pPr>
              <w:autoSpaceDE w:val="0"/>
              <w:autoSpaceDN w:val="0"/>
              <w:adjustRightInd w:val="0"/>
              <w:jc w:val="both"/>
              <w:rPr>
                <w:rFonts w:cs="Calibri"/>
                <w:b/>
                <w:sz w:val="20"/>
                <w:u w:val="single"/>
              </w:rPr>
            </w:pPr>
          </w:p>
        </w:tc>
        <w:tc>
          <w:tcPr>
            <w:tcW w:w="6480" w:type="dxa"/>
            <w:shd w:val="clear" w:color="auto" w:fill="FFFFFF"/>
          </w:tcPr>
          <w:p w:rsidR="003A00D6" w:rsidRDefault="003A00D6" w:rsidP="002B64E9">
            <w:pPr>
              <w:autoSpaceDE w:val="0"/>
              <w:autoSpaceDN w:val="0"/>
              <w:adjustRightInd w:val="0"/>
              <w:rPr>
                <w:rFonts w:cs="Calibri"/>
                <w:sz w:val="20"/>
              </w:rPr>
            </w:pPr>
            <w:r w:rsidRPr="00B124D4">
              <w:rPr>
                <w:rFonts w:cs="Calibri"/>
                <w:b/>
                <w:sz w:val="20"/>
              </w:rPr>
              <w:t>3.1</w:t>
            </w:r>
            <w:r>
              <w:rPr>
                <w:rFonts w:cs="Calibri"/>
                <w:sz w:val="20"/>
              </w:rPr>
              <w:t xml:space="preserve"> Availability of </w:t>
            </w:r>
            <w:r w:rsidRPr="00F3550D">
              <w:rPr>
                <w:rFonts w:cs="Calibri"/>
                <w:sz w:val="20"/>
              </w:rPr>
              <w:t xml:space="preserve">manual of statistics of international trade in services </w:t>
            </w:r>
          </w:p>
          <w:p w:rsidR="003A00D6" w:rsidRDefault="003A00D6" w:rsidP="002B64E9">
            <w:pPr>
              <w:autoSpaceDE w:val="0"/>
              <w:autoSpaceDN w:val="0"/>
              <w:adjustRightInd w:val="0"/>
              <w:rPr>
                <w:rFonts w:cs="Calibri"/>
                <w:sz w:val="20"/>
              </w:rPr>
            </w:pPr>
            <w:r w:rsidRPr="00B124D4">
              <w:rPr>
                <w:rFonts w:cs="Calibri"/>
                <w:b/>
                <w:sz w:val="20"/>
              </w:rPr>
              <w:t>3.2</w:t>
            </w:r>
            <w:r>
              <w:rPr>
                <w:rFonts w:cs="Calibri"/>
                <w:sz w:val="20"/>
              </w:rPr>
              <w:t xml:space="preserve"> Number of </w:t>
            </w:r>
            <w:r w:rsidRPr="00FE71DB">
              <w:rPr>
                <w:rFonts w:cs="Calibri"/>
                <w:sz w:val="20"/>
              </w:rPr>
              <w:t>Member States</w:t>
            </w:r>
            <w:r>
              <w:rPr>
                <w:rFonts w:cs="Calibri"/>
                <w:sz w:val="20"/>
              </w:rPr>
              <w:t xml:space="preserve"> implementing </w:t>
            </w:r>
            <w:r w:rsidRPr="00F3550D">
              <w:rPr>
                <w:rFonts w:cs="Calibri"/>
                <w:sz w:val="20"/>
              </w:rPr>
              <w:t xml:space="preserve">survey based detailed FDI statistics </w:t>
            </w:r>
          </w:p>
          <w:p w:rsidR="003A00D6" w:rsidRDefault="003A00D6" w:rsidP="002B64E9">
            <w:pPr>
              <w:autoSpaceDE w:val="0"/>
              <w:autoSpaceDN w:val="0"/>
              <w:adjustRightInd w:val="0"/>
              <w:rPr>
                <w:rFonts w:cs="Calibri"/>
                <w:sz w:val="20"/>
              </w:rPr>
            </w:pPr>
            <w:r w:rsidRPr="00B124D4">
              <w:rPr>
                <w:rFonts w:cs="Calibri"/>
                <w:b/>
                <w:sz w:val="20"/>
              </w:rPr>
              <w:t>3.3</w:t>
            </w:r>
            <w:r w:rsidRPr="00BD2C65">
              <w:rPr>
                <w:rFonts w:cs="Calibri"/>
                <w:sz w:val="20"/>
              </w:rPr>
              <w:t xml:space="preserve"> </w:t>
            </w:r>
            <w:r w:rsidRPr="00FE71DB">
              <w:rPr>
                <w:rFonts w:cs="Calibri"/>
                <w:sz w:val="20"/>
              </w:rPr>
              <w:t>Number of Member States implementing COMESA</w:t>
            </w:r>
            <w:r w:rsidRPr="00F3550D">
              <w:rPr>
                <w:rFonts w:cs="Calibri"/>
                <w:sz w:val="20"/>
              </w:rPr>
              <w:t xml:space="preserve"> Industrial Statistics Roadmap.</w:t>
            </w:r>
            <w:r>
              <w:rPr>
                <w:rFonts w:cs="Calibri"/>
                <w:sz w:val="20"/>
              </w:rPr>
              <w:t xml:space="preserve"> </w:t>
            </w:r>
          </w:p>
          <w:p w:rsidR="003A00D6" w:rsidRPr="00F3550D" w:rsidRDefault="003A00D6" w:rsidP="002B64E9">
            <w:pPr>
              <w:autoSpaceDE w:val="0"/>
              <w:autoSpaceDN w:val="0"/>
              <w:adjustRightInd w:val="0"/>
              <w:rPr>
                <w:rFonts w:cs="Calibri"/>
                <w:sz w:val="20"/>
              </w:rPr>
            </w:pPr>
            <w:r w:rsidRPr="00B124D4">
              <w:rPr>
                <w:rFonts w:cs="Calibri"/>
                <w:b/>
                <w:sz w:val="20"/>
              </w:rPr>
              <w:t>3.4</w:t>
            </w:r>
            <w:r>
              <w:rPr>
                <w:rFonts w:cs="Calibri"/>
                <w:sz w:val="20"/>
              </w:rPr>
              <w:t xml:space="preserve"> Number of </w:t>
            </w:r>
            <w:r w:rsidRPr="00F3550D">
              <w:rPr>
                <w:rFonts w:cs="Calibri"/>
                <w:sz w:val="20"/>
              </w:rPr>
              <w:t xml:space="preserve">Member States </w:t>
            </w:r>
            <w:r>
              <w:rPr>
                <w:rFonts w:cs="Calibri"/>
                <w:sz w:val="20"/>
              </w:rPr>
              <w:t>implementing t</w:t>
            </w:r>
            <w:r w:rsidRPr="00F3550D">
              <w:rPr>
                <w:rFonts w:cs="Calibri"/>
                <w:sz w:val="20"/>
              </w:rPr>
              <w:t>he CPI-ICP integration roadmaps.</w:t>
            </w:r>
          </w:p>
          <w:p w:rsidR="003A00D6" w:rsidRDefault="003A00D6" w:rsidP="002B64E9">
            <w:pPr>
              <w:autoSpaceDE w:val="0"/>
              <w:autoSpaceDN w:val="0"/>
              <w:adjustRightInd w:val="0"/>
              <w:rPr>
                <w:rFonts w:cs="Calibri"/>
                <w:sz w:val="20"/>
              </w:rPr>
            </w:pPr>
            <w:r w:rsidRPr="00B124D4">
              <w:rPr>
                <w:rFonts w:cs="Calibri"/>
                <w:b/>
                <w:sz w:val="20"/>
              </w:rPr>
              <w:t>3.5</w:t>
            </w:r>
            <w:r>
              <w:rPr>
                <w:rFonts w:cs="Calibri"/>
                <w:sz w:val="20"/>
              </w:rPr>
              <w:t xml:space="preserve"> </w:t>
            </w:r>
            <w:r w:rsidRPr="00FE71DB">
              <w:rPr>
                <w:rFonts w:cs="Calibri"/>
                <w:sz w:val="20"/>
              </w:rPr>
              <w:t xml:space="preserve">Number of Member States </w:t>
            </w:r>
            <w:r>
              <w:rPr>
                <w:rFonts w:cs="Calibri"/>
                <w:sz w:val="20"/>
              </w:rPr>
              <w:t xml:space="preserve">adopting </w:t>
            </w:r>
            <w:r w:rsidRPr="00F3550D">
              <w:rPr>
                <w:rFonts w:cs="Calibri"/>
                <w:sz w:val="20"/>
              </w:rPr>
              <w:t>Statistical Dat</w:t>
            </w:r>
            <w:r>
              <w:rPr>
                <w:rFonts w:cs="Calibri"/>
                <w:sz w:val="20"/>
              </w:rPr>
              <w:t xml:space="preserve">a and Meta Data Exchange (SDMX) </w:t>
            </w:r>
            <w:r w:rsidRPr="00F3550D">
              <w:rPr>
                <w:rFonts w:cs="Calibri"/>
                <w:sz w:val="20"/>
              </w:rPr>
              <w:t xml:space="preserve">technologies </w:t>
            </w:r>
          </w:p>
          <w:p w:rsidR="003A00D6" w:rsidRDefault="003A00D6" w:rsidP="002B64E9">
            <w:pPr>
              <w:autoSpaceDE w:val="0"/>
              <w:autoSpaceDN w:val="0"/>
              <w:adjustRightInd w:val="0"/>
              <w:ind w:left="34"/>
              <w:rPr>
                <w:rFonts w:cs="Calibri"/>
                <w:sz w:val="20"/>
              </w:rPr>
            </w:pPr>
            <w:r w:rsidRPr="00B124D4">
              <w:rPr>
                <w:rFonts w:cs="Calibri"/>
                <w:b/>
                <w:sz w:val="20"/>
              </w:rPr>
              <w:t>3.6</w:t>
            </w:r>
            <w:r>
              <w:rPr>
                <w:rFonts w:cs="Calibri"/>
                <w:sz w:val="20"/>
              </w:rPr>
              <w:t xml:space="preserve"> Number of Member States producing and disseminating gender responsive statistics </w:t>
            </w:r>
          </w:p>
          <w:p w:rsidR="003A00D6" w:rsidRDefault="003A00D6" w:rsidP="002B64E9">
            <w:pPr>
              <w:autoSpaceDE w:val="0"/>
              <w:autoSpaceDN w:val="0"/>
              <w:adjustRightInd w:val="0"/>
              <w:rPr>
                <w:rFonts w:cs="Calibri"/>
                <w:sz w:val="20"/>
              </w:rPr>
            </w:pPr>
            <w:r w:rsidRPr="00B124D4">
              <w:rPr>
                <w:rFonts w:cs="Calibri"/>
                <w:b/>
                <w:sz w:val="20"/>
              </w:rPr>
              <w:lastRenderedPageBreak/>
              <w:t>3.7</w:t>
            </w:r>
            <w:r w:rsidRPr="00BD2C65">
              <w:rPr>
                <w:rFonts w:cs="Calibri"/>
                <w:sz w:val="20"/>
              </w:rPr>
              <w:t xml:space="preserve"> </w:t>
            </w:r>
            <w:r>
              <w:rPr>
                <w:rFonts w:cs="Calibri"/>
                <w:sz w:val="20"/>
              </w:rPr>
              <w:t xml:space="preserve">Number of new </w:t>
            </w:r>
            <w:r w:rsidRPr="00F3550D">
              <w:rPr>
                <w:rFonts w:cs="Calibri"/>
                <w:sz w:val="20"/>
              </w:rPr>
              <w:t>COMESA statistical products</w:t>
            </w:r>
            <w:r>
              <w:rPr>
                <w:rFonts w:cs="Calibri"/>
                <w:sz w:val="20"/>
              </w:rPr>
              <w:t xml:space="preserve"> produced and disseminated</w:t>
            </w:r>
            <w:r w:rsidRPr="00F3550D">
              <w:rPr>
                <w:rFonts w:cs="Calibri"/>
                <w:sz w:val="20"/>
              </w:rPr>
              <w:t>.</w:t>
            </w:r>
          </w:p>
        </w:tc>
        <w:tc>
          <w:tcPr>
            <w:tcW w:w="3690" w:type="dxa"/>
            <w:shd w:val="clear" w:color="auto" w:fill="FFFFFF"/>
          </w:tcPr>
          <w:p w:rsidR="003A00D6" w:rsidRPr="00B124D4" w:rsidRDefault="003A00D6" w:rsidP="003A00D6">
            <w:pPr>
              <w:autoSpaceDE w:val="0"/>
              <w:autoSpaceDN w:val="0"/>
              <w:adjustRightInd w:val="0"/>
              <w:jc w:val="right"/>
              <w:rPr>
                <w:rFonts w:cs="Calibri"/>
                <w:b/>
                <w:sz w:val="20"/>
              </w:rPr>
            </w:pPr>
            <w:r>
              <w:rPr>
                <w:color w:val="000000"/>
                <w:sz w:val="20"/>
                <w:szCs w:val="20"/>
              </w:rPr>
              <w:lastRenderedPageBreak/>
              <w:t>1,126,125</w:t>
            </w:r>
          </w:p>
        </w:tc>
      </w:tr>
      <w:tr w:rsidR="003A00D6" w:rsidRPr="00623BA1" w:rsidTr="003A00D6">
        <w:tc>
          <w:tcPr>
            <w:tcW w:w="3727" w:type="dxa"/>
            <w:shd w:val="clear" w:color="auto" w:fill="FFFFFF"/>
          </w:tcPr>
          <w:p w:rsidR="003A00D6" w:rsidRPr="00FB42A0" w:rsidRDefault="003A00D6" w:rsidP="003D3B23">
            <w:pPr>
              <w:rPr>
                <w:rFonts w:cs="Calibri"/>
                <w:b/>
                <w:sz w:val="20"/>
              </w:rPr>
            </w:pPr>
            <w:r w:rsidRPr="000F0ADA">
              <w:rPr>
                <w:rFonts w:cs="Calibri"/>
                <w:b/>
                <w:sz w:val="20"/>
                <w:u w:val="single"/>
              </w:rPr>
              <w:t xml:space="preserve">Output </w:t>
            </w:r>
            <w:r>
              <w:rPr>
                <w:rFonts w:cs="Calibri"/>
                <w:b/>
                <w:sz w:val="20"/>
                <w:u w:val="single"/>
              </w:rPr>
              <w:t>4</w:t>
            </w:r>
            <w:r w:rsidRPr="000F0ADA">
              <w:rPr>
                <w:rFonts w:cs="Calibri"/>
                <w:sz w:val="20"/>
              </w:rPr>
              <w:t xml:space="preserve"> </w:t>
            </w:r>
            <w:r w:rsidRPr="00B124D4">
              <w:rPr>
                <w:rFonts w:cs="Calibri"/>
                <w:sz w:val="20"/>
              </w:rPr>
              <w:t>Strengthened partnership, dialogue and communication on COMESA regional integration policies with Member States, key public and private stakeholders as well as with the EU and its Member States.</w:t>
            </w:r>
          </w:p>
        </w:tc>
        <w:tc>
          <w:tcPr>
            <w:tcW w:w="6480" w:type="dxa"/>
            <w:shd w:val="clear" w:color="auto" w:fill="FFFFFF"/>
          </w:tcPr>
          <w:p w:rsidR="003A00D6" w:rsidRPr="008339FD" w:rsidRDefault="003A00D6" w:rsidP="002B64E9">
            <w:pPr>
              <w:autoSpaceDE w:val="0"/>
              <w:autoSpaceDN w:val="0"/>
              <w:adjustRightInd w:val="0"/>
              <w:jc w:val="both"/>
              <w:rPr>
                <w:rFonts w:cs="Calibri"/>
                <w:sz w:val="20"/>
              </w:rPr>
            </w:pPr>
            <w:r w:rsidRPr="00B124D4">
              <w:rPr>
                <w:rFonts w:cs="Calibri"/>
                <w:b/>
                <w:sz w:val="20"/>
              </w:rPr>
              <w:t>4.1</w:t>
            </w:r>
            <w:r>
              <w:rPr>
                <w:rFonts w:cs="Calibri"/>
                <w:sz w:val="20"/>
              </w:rPr>
              <w:t xml:space="preserve"> N</w:t>
            </w:r>
            <w:r w:rsidRPr="008339FD">
              <w:rPr>
                <w:rFonts w:cs="Calibri"/>
                <w:sz w:val="20"/>
              </w:rPr>
              <w:t xml:space="preserve">umber of </w:t>
            </w:r>
            <w:r>
              <w:rPr>
                <w:rFonts w:cs="Calibri"/>
                <w:sz w:val="20"/>
              </w:rPr>
              <w:t xml:space="preserve">gender sensitive </w:t>
            </w:r>
            <w:r w:rsidRPr="008339FD">
              <w:rPr>
                <w:rFonts w:cs="Calibri"/>
                <w:sz w:val="20"/>
              </w:rPr>
              <w:t xml:space="preserve">awareness-raising and communication activities undertaken at regional and national level for private and public sectors </w:t>
            </w:r>
          </w:p>
          <w:p w:rsidR="003A00D6" w:rsidRPr="008339FD" w:rsidRDefault="003A00D6" w:rsidP="003D3B23">
            <w:pPr>
              <w:autoSpaceDE w:val="0"/>
              <w:autoSpaceDN w:val="0"/>
              <w:adjustRightInd w:val="0"/>
              <w:jc w:val="both"/>
              <w:rPr>
                <w:rFonts w:cs="Calibri"/>
                <w:sz w:val="20"/>
              </w:rPr>
            </w:pPr>
          </w:p>
          <w:p w:rsidR="003A00D6" w:rsidRPr="008339FD" w:rsidRDefault="003A00D6" w:rsidP="002B64E9">
            <w:pPr>
              <w:autoSpaceDE w:val="0"/>
              <w:autoSpaceDN w:val="0"/>
              <w:adjustRightInd w:val="0"/>
              <w:jc w:val="both"/>
              <w:rPr>
                <w:rFonts w:cs="Calibri"/>
                <w:sz w:val="20"/>
              </w:rPr>
            </w:pPr>
            <w:r w:rsidRPr="00B124D4">
              <w:rPr>
                <w:rFonts w:cs="Calibri"/>
                <w:b/>
                <w:sz w:val="20"/>
              </w:rPr>
              <w:t>4.2</w:t>
            </w:r>
            <w:r>
              <w:rPr>
                <w:rFonts w:cs="Calibri"/>
                <w:sz w:val="20"/>
              </w:rPr>
              <w:t xml:space="preserve"> N</w:t>
            </w:r>
            <w:r w:rsidRPr="008339FD">
              <w:rPr>
                <w:rFonts w:cs="Calibri"/>
                <w:sz w:val="20"/>
              </w:rPr>
              <w:t>umber of multi-stakeholder dialogue on regional trade and economic integration undertaken</w:t>
            </w:r>
          </w:p>
          <w:p w:rsidR="003A00D6" w:rsidRPr="008339FD" w:rsidRDefault="003A00D6" w:rsidP="003D3B23">
            <w:pPr>
              <w:autoSpaceDE w:val="0"/>
              <w:autoSpaceDN w:val="0"/>
              <w:adjustRightInd w:val="0"/>
              <w:jc w:val="both"/>
              <w:rPr>
                <w:rFonts w:cs="Calibri"/>
                <w:sz w:val="20"/>
              </w:rPr>
            </w:pPr>
          </w:p>
          <w:p w:rsidR="003A00D6" w:rsidRDefault="003A00D6" w:rsidP="002B64E9">
            <w:pPr>
              <w:autoSpaceDE w:val="0"/>
              <w:autoSpaceDN w:val="0"/>
              <w:adjustRightInd w:val="0"/>
              <w:jc w:val="both"/>
              <w:rPr>
                <w:rFonts w:cs="Calibri"/>
                <w:sz w:val="20"/>
              </w:rPr>
            </w:pPr>
            <w:r w:rsidRPr="00B124D4">
              <w:rPr>
                <w:rFonts w:cs="Calibri"/>
                <w:b/>
                <w:sz w:val="20"/>
              </w:rPr>
              <w:t>4.3</w:t>
            </w:r>
            <w:r>
              <w:rPr>
                <w:rFonts w:cs="Calibri"/>
                <w:sz w:val="20"/>
              </w:rPr>
              <w:t xml:space="preserve"> </w:t>
            </w:r>
            <w:r w:rsidRPr="008339FD">
              <w:rPr>
                <w:rFonts w:cs="Calibri"/>
                <w:sz w:val="20"/>
              </w:rPr>
              <w:t>Number of dialogue sessions with private sector and other key stakeholders to raise awareness on regional integration policies.</w:t>
            </w:r>
          </w:p>
          <w:p w:rsidR="003A00D6" w:rsidRDefault="003A00D6" w:rsidP="003D3B23">
            <w:pPr>
              <w:autoSpaceDE w:val="0"/>
              <w:autoSpaceDN w:val="0"/>
              <w:adjustRightInd w:val="0"/>
              <w:jc w:val="both"/>
              <w:rPr>
                <w:rFonts w:cs="Calibri"/>
                <w:sz w:val="20"/>
              </w:rPr>
            </w:pPr>
          </w:p>
          <w:p w:rsidR="003A00D6" w:rsidRDefault="003A00D6" w:rsidP="002B64E9">
            <w:pPr>
              <w:autoSpaceDE w:val="0"/>
              <w:autoSpaceDN w:val="0"/>
              <w:adjustRightInd w:val="0"/>
              <w:jc w:val="both"/>
              <w:rPr>
                <w:rFonts w:cs="Calibri"/>
                <w:sz w:val="20"/>
              </w:rPr>
            </w:pPr>
            <w:r w:rsidRPr="00B124D4">
              <w:rPr>
                <w:rFonts w:cs="Calibri"/>
                <w:b/>
                <w:sz w:val="20"/>
              </w:rPr>
              <w:t xml:space="preserve">4.4 </w:t>
            </w:r>
            <w:r>
              <w:rPr>
                <w:rFonts w:cs="Calibri"/>
                <w:sz w:val="20"/>
              </w:rPr>
              <w:t>Number of COMESA staff, institutions and Member States enrolled in the online course on gender and development (disaggregated by sex)</w:t>
            </w:r>
          </w:p>
          <w:p w:rsidR="003A00D6" w:rsidRDefault="003A00D6" w:rsidP="003D3B23">
            <w:pPr>
              <w:autoSpaceDE w:val="0"/>
              <w:autoSpaceDN w:val="0"/>
              <w:adjustRightInd w:val="0"/>
              <w:jc w:val="both"/>
              <w:rPr>
                <w:rFonts w:cs="Calibri"/>
                <w:sz w:val="20"/>
              </w:rPr>
            </w:pPr>
          </w:p>
          <w:p w:rsidR="003A00D6" w:rsidRPr="008339FD" w:rsidRDefault="003A00D6" w:rsidP="003D3B23">
            <w:pPr>
              <w:autoSpaceDE w:val="0"/>
              <w:autoSpaceDN w:val="0"/>
              <w:adjustRightInd w:val="0"/>
              <w:jc w:val="both"/>
              <w:rPr>
                <w:rFonts w:cs="Calibri"/>
                <w:sz w:val="20"/>
              </w:rPr>
            </w:pPr>
            <w:r w:rsidRPr="00B124D4">
              <w:rPr>
                <w:rFonts w:cs="Calibri"/>
                <w:b/>
                <w:sz w:val="20"/>
              </w:rPr>
              <w:t>4.5</w:t>
            </w:r>
            <w:r>
              <w:rPr>
                <w:rFonts w:cs="Calibri"/>
                <w:sz w:val="20"/>
              </w:rPr>
              <w:t xml:space="preserve"> Number of COMESA sectors and institutions implementing gender mainstreaming and accountability initiatives</w:t>
            </w:r>
          </w:p>
        </w:tc>
        <w:tc>
          <w:tcPr>
            <w:tcW w:w="3690" w:type="dxa"/>
            <w:shd w:val="clear" w:color="auto" w:fill="FFFFFF"/>
          </w:tcPr>
          <w:p w:rsidR="003A00D6" w:rsidRPr="00B124D4" w:rsidRDefault="003A00D6" w:rsidP="003A00D6">
            <w:pPr>
              <w:autoSpaceDE w:val="0"/>
              <w:autoSpaceDN w:val="0"/>
              <w:adjustRightInd w:val="0"/>
              <w:jc w:val="right"/>
              <w:rPr>
                <w:rFonts w:cs="Calibri"/>
                <w:b/>
                <w:sz w:val="20"/>
              </w:rPr>
            </w:pPr>
            <w:r>
              <w:rPr>
                <w:color w:val="000000"/>
                <w:sz w:val="20"/>
                <w:szCs w:val="20"/>
              </w:rPr>
              <w:t>970,200</w:t>
            </w:r>
          </w:p>
        </w:tc>
      </w:tr>
      <w:tr w:rsidR="003A00D6" w:rsidRPr="00623BA1" w:rsidTr="003A00D6">
        <w:tc>
          <w:tcPr>
            <w:tcW w:w="3727" w:type="dxa"/>
            <w:shd w:val="clear" w:color="auto" w:fill="FFFFFF"/>
          </w:tcPr>
          <w:p w:rsidR="003A00D6" w:rsidRPr="000F0ADA" w:rsidRDefault="003A00D6" w:rsidP="003D3B23">
            <w:pPr>
              <w:rPr>
                <w:rFonts w:cs="Calibri"/>
                <w:b/>
                <w:sz w:val="20"/>
                <w:u w:val="single"/>
              </w:rPr>
            </w:pPr>
            <w:r>
              <w:rPr>
                <w:rFonts w:cs="Calibri"/>
                <w:b/>
                <w:sz w:val="20"/>
                <w:u w:val="single"/>
              </w:rPr>
              <w:t>Total</w:t>
            </w:r>
          </w:p>
        </w:tc>
        <w:tc>
          <w:tcPr>
            <w:tcW w:w="6480" w:type="dxa"/>
            <w:shd w:val="clear" w:color="auto" w:fill="FFFFFF"/>
          </w:tcPr>
          <w:p w:rsidR="003A00D6" w:rsidRPr="00B124D4" w:rsidRDefault="003A00D6" w:rsidP="002B64E9">
            <w:pPr>
              <w:autoSpaceDE w:val="0"/>
              <w:autoSpaceDN w:val="0"/>
              <w:adjustRightInd w:val="0"/>
              <w:jc w:val="both"/>
              <w:rPr>
                <w:rFonts w:cs="Calibri"/>
                <w:b/>
                <w:sz w:val="20"/>
              </w:rPr>
            </w:pPr>
          </w:p>
        </w:tc>
        <w:tc>
          <w:tcPr>
            <w:tcW w:w="3690" w:type="dxa"/>
            <w:shd w:val="clear" w:color="auto" w:fill="FFFFFF"/>
          </w:tcPr>
          <w:p w:rsidR="003A00D6" w:rsidRDefault="003A00D6" w:rsidP="003A00D6">
            <w:pPr>
              <w:autoSpaceDE w:val="0"/>
              <w:autoSpaceDN w:val="0"/>
              <w:adjustRightInd w:val="0"/>
              <w:jc w:val="right"/>
              <w:rPr>
                <w:color w:val="000000"/>
                <w:sz w:val="20"/>
                <w:szCs w:val="20"/>
              </w:rPr>
            </w:pPr>
            <w:r>
              <w:rPr>
                <w:color w:val="000000"/>
                <w:sz w:val="20"/>
                <w:szCs w:val="20"/>
              </w:rPr>
              <w:t>6,930,000</w:t>
            </w:r>
          </w:p>
        </w:tc>
      </w:tr>
    </w:tbl>
    <w:p w:rsidR="003D3B23" w:rsidRPr="00212D7C" w:rsidRDefault="003D3B23" w:rsidP="003D3B23">
      <w:bookmarkStart w:id="0" w:name="_GoBack"/>
      <w:bookmarkEnd w:id="0"/>
    </w:p>
    <w:sectPr w:rsidR="003D3B23" w:rsidRPr="00212D7C" w:rsidSect="003C5870">
      <w:headerReference w:type="default" r:id="rId8"/>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D9" w:rsidRDefault="009261D9" w:rsidP="006B338D">
      <w:r>
        <w:separator/>
      </w:r>
    </w:p>
  </w:endnote>
  <w:endnote w:type="continuationSeparator" w:id="0">
    <w:p w:rsidR="009261D9" w:rsidRDefault="009261D9" w:rsidP="006B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D9" w:rsidRDefault="009261D9" w:rsidP="006B338D">
      <w:r>
        <w:separator/>
      </w:r>
    </w:p>
  </w:footnote>
  <w:footnote w:type="continuationSeparator" w:id="0">
    <w:p w:rsidR="009261D9" w:rsidRDefault="009261D9" w:rsidP="006B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70" w:rsidRDefault="00B74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3F8"/>
    <w:multiLevelType w:val="hybridMultilevel"/>
    <w:tmpl w:val="338E1684"/>
    <w:lvl w:ilvl="0" w:tplc="49EAFB9A">
      <w:start w:val="1"/>
      <w:numFmt w:val="lowerRoman"/>
      <w:lvlText w:val="(%1)"/>
      <w:lvlJc w:val="left"/>
      <w:pPr>
        <w:ind w:left="720" w:hanging="360"/>
      </w:pPr>
      <w:rPr>
        <w:rFonts w:eastAsia="Batang"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4EC"/>
    <w:multiLevelType w:val="hybridMultilevel"/>
    <w:tmpl w:val="BE02F05C"/>
    <w:lvl w:ilvl="0" w:tplc="49CA29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15978"/>
    <w:multiLevelType w:val="hybridMultilevel"/>
    <w:tmpl w:val="37DA0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C01E0"/>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03E8C"/>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0C38"/>
    <w:multiLevelType w:val="hybridMultilevel"/>
    <w:tmpl w:val="E19C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40EE7"/>
    <w:multiLevelType w:val="hybridMultilevel"/>
    <w:tmpl w:val="038081BC"/>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95A51"/>
    <w:multiLevelType w:val="hybridMultilevel"/>
    <w:tmpl w:val="338E1684"/>
    <w:lvl w:ilvl="0" w:tplc="49EAFB9A">
      <w:start w:val="1"/>
      <w:numFmt w:val="lowerRoman"/>
      <w:lvlText w:val="(%1)"/>
      <w:lvlJc w:val="left"/>
      <w:pPr>
        <w:ind w:left="720" w:hanging="360"/>
      </w:pPr>
      <w:rPr>
        <w:rFonts w:eastAsia="Batang"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99B"/>
    <w:multiLevelType w:val="hybridMultilevel"/>
    <w:tmpl w:val="0AD6F8DC"/>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865A2"/>
    <w:multiLevelType w:val="hybridMultilevel"/>
    <w:tmpl w:val="3C9A4E76"/>
    <w:lvl w:ilvl="0" w:tplc="260C227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1AA97597"/>
    <w:multiLevelType w:val="hybridMultilevel"/>
    <w:tmpl w:val="5F66361E"/>
    <w:lvl w:ilvl="0" w:tplc="CC88F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6865B7"/>
    <w:multiLevelType w:val="hybridMultilevel"/>
    <w:tmpl w:val="038081BC"/>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E3FB0"/>
    <w:multiLevelType w:val="hybridMultilevel"/>
    <w:tmpl w:val="DA08034E"/>
    <w:lvl w:ilvl="0" w:tplc="7550F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E2932"/>
    <w:multiLevelType w:val="hybridMultilevel"/>
    <w:tmpl w:val="0AD6F8DC"/>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26347"/>
    <w:multiLevelType w:val="hybridMultilevel"/>
    <w:tmpl w:val="A862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25952"/>
    <w:multiLevelType w:val="hybridMultilevel"/>
    <w:tmpl w:val="E16C7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2450F3"/>
    <w:multiLevelType w:val="hybridMultilevel"/>
    <w:tmpl w:val="D554B9E8"/>
    <w:lvl w:ilvl="0" w:tplc="E7EC044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01665B"/>
    <w:multiLevelType w:val="hybridMultilevel"/>
    <w:tmpl w:val="057824DC"/>
    <w:lvl w:ilvl="0" w:tplc="7B8C33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7F7A61"/>
    <w:multiLevelType w:val="hybridMultilevel"/>
    <w:tmpl w:val="6E66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067BD"/>
    <w:multiLevelType w:val="hybridMultilevel"/>
    <w:tmpl w:val="8454154A"/>
    <w:lvl w:ilvl="0" w:tplc="6B3C4D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650404"/>
    <w:multiLevelType w:val="hybridMultilevel"/>
    <w:tmpl w:val="B62892B6"/>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36DF6"/>
    <w:multiLevelType w:val="hybridMultilevel"/>
    <w:tmpl w:val="5CE093C2"/>
    <w:lvl w:ilvl="0" w:tplc="049AE9D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C5F7E"/>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C2C23"/>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3"/>
  </w:num>
  <w:num w:numId="4">
    <w:abstractNumId w:val="4"/>
  </w:num>
  <w:num w:numId="5">
    <w:abstractNumId w:val="17"/>
  </w:num>
  <w:num w:numId="6">
    <w:abstractNumId w:val="10"/>
  </w:num>
  <w:num w:numId="7">
    <w:abstractNumId w:val="19"/>
  </w:num>
  <w:num w:numId="8">
    <w:abstractNumId w:val="23"/>
  </w:num>
  <w:num w:numId="9">
    <w:abstractNumId w:val="16"/>
  </w:num>
  <w:num w:numId="10">
    <w:abstractNumId w:val="1"/>
  </w:num>
  <w:num w:numId="11">
    <w:abstractNumId w:val="14"/>
  </w:num>
  <w:num w:numId="12">
    <w:abstractNumId w:val="2"/>
  </w:num>
  <w:num w:numId="13">
    <w:abstractNumId w:val="9"/>
  </w:num>
  <w:num w:numId="14">
    <w:abstractNumId w:val="8"/>
  </w:num>
  <w:num w:numId="15">
    <w:abstractNumId w:val="13"/>
  </w:num>
  <w:num w:numId="16">
    <w:abstractNumId w:val="11"/>
  </w:num>
  <w:num w:numId="17">
    <w:abstractNumId w:val="6"/>
  </w:num>
  <w:num w:numId="18">
    <w:abstractNumId w:val="18"/>
  </w:num>
  <w:num w:numId="19">
    <w:abstractNumId w:val="21"/>
  </w:num>
  <w:num w:numId="20">
    <w:abstractNumId w:val="20"/>
  </w:num>
  <w:num w:numId="21">
    <w:abstractNumId w:val="5"/>
  </w:num>
  <w:num w:numId="22">
    <w:abstractNumId w:val="7"/>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13"/>
    <w:rsid w:val="000E4246"/>
    <w:rsid w:val="001845F3"/>
    <w:rsid w:val="001F0C8F"/>
    <w:rsid w:val="00241DAD"/>
    <w:rsid w:val="002B0DDD"/>
    <w:rsid w:val="002B64E9"/>
    <w:rsid w:val="00325995"/>
    <w:rsid w:val="00330486"/>
    <w:rsid w:val="00346422"/>
    <w:rsid w:val="003A00D6"/>
    <w:rsid w:val="003A625D"/>
    <w:rsid w:val="003B2A62"/>
    <w:rsid w:val="003C5870"/>
    <w:rsid w:val="003D3B23"/>
    <w:rsid w:val="003D4D3A"/>
    <w:rsid w:val="00415EE6"/>
    <w:rsid w:val="00416314"/>
    <w:rsid w:val="00431DFD"/>
    <w:rsid w:val="00477B0B"/>
    <w:rsid w:val="005861FD"/>
    <w:rsid w:val="005D5102"/>
    <w:rsid w:val="006271C8"/>
    <w:rsid w:val="006A4C13"/>
    <w:rsid w:val="006B338D"/>
    <w:rsid w:val="006C322A"/>
    <w:rsid w:val="00701435"/>
    <w:rsid w:val="0075448A"/>
    <w:rsid w:val="0079138D"/>
    <w:rsid w:val="007B4215"/>
    <w:rsid w:val="007D0379"/>
    <w:rsid w:val="007E17A8"/>
    <w:rsid w:val="00826476"/>
    <w:rsid w:val="008608BA"/>
    <w:rsid w:val="00887995"/>
    <w:rsid w:val="008946F6"/>
    <w:rsid w:val="009261D9"/>
    <w:rsid w:val="0096063B"/>
    <w:rsid w:val="009B1DFB"/>
    <w:rsid w:val="00AE2EA0"/>
    <w:rsid w:val="00B74270"/>
    <w:rsid w:val="00B87A10"/>
    <w:rsid w:val="00BA5E27"/>
    <w:rsid w:val="00C073B7"/>
    <w:rsid w:val="00C46A01"/>
    <w:rsid w:val="00D35A25"/>
    <w:rsid w:val="00D514E2"/>
    <w:rsid w:val="00D627E2"/>
    <w:rsid w:val="00F13F52"/>
    <w:rsid w:val="00FA6FBD"/>
    <w:rsid w:val="00F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037B"/>
  <w15:chartTrackingRefBased/>
  <w15:docId w15:val="{D47A83B6-92BE-440A-A9A4-FFA2E344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paragraph" w:styleId="Heading1">
    <w:name w:val="heading 1"/>
    <w:basedOn w:val="Normal"/>
    <w:next w:val="Normal"/>
    <w:link w:val="Heading1Char"/>
    <w:uiPriority w:val="9"/>
    <w:qFormat/>
    <w:rsid w:val="007014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14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599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Bullets,COMESA Text 2,Standard 12 pt,List Bullet Mary,References,Numbered List Paragraph,ReferencesCxSpLast,List Paragraph (numbered (a))"/>
    <w:basedOn w:val="Normal"/>
    <w:link w:val="ListParagraphChar"/>
    <w:uiPriority w:val="34"/>
    <w:qFormat/>
    <w:rsid w:val="006A4C13"/>
    <w:pPr>
      <w:ind w:left="720"/>
      <w:contextualSpacing/>
    </w:pPr>
  </w:style>
  <w:style w:type="paragraph" w:styleId="BalloonText">
    <w:name w:val="Balloon Text"/>
    <w:basedOn w:val="Normal"/>
    <w:link w:val="BalloonTextChar"/>
    <w:uiPriority w:val="99"/>
    <w:semiHidden/>
    <w:unhideWhenUsed/>
    <w:rsid w:val="007E1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7A8"/>
    <w:rPr>
      <w:rFonts w:ascii="Segoe UI" w:hAnsi="Segoe UI" w:cs="Segoe UI"/>
      <w:sz w:val="18"/>
      <w:szCs w:val="18"/>
    </w:rPr>
  </w:style>
  <w:style w:type="table" w:styleId="TableGrid">
    <w:name w:val="Table Grid"/>
    <w:basedOn w:val="TableNormal"/>
    <w:uiPriority w:val="59"/>
    <w:rsid w:val="00754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14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143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338D"/>
    <w:pPr>
      <w:tabs>
        <w:tab w:val="center" w:pos="4680"/>
        <w:tab w:val="right" w:pos="9360"/>
      </w:tabs>
    </w:pPr>
  </w:style>
  <w:style w:type="character" w:customStyle="1" w:styleId="HeaderChar">
    <w:name w:val="Header Char"/>
    <w:basedOn w:val="DefaultParagraphFont"/>
    <w:link w:val="Header"/>
    <w:uiPriority w:val="99"/>
    <w:rsid w:val="006B338D"/>
  </w:style>
  <w:style w:type="paragraph" w:styleId="Footer">
    <w:name w:val="footer"/>
    <w:basedOn w:val="Normal"/>
    <w:link w:val="FooterChar"/>
    <w:uiPriority w:val="99"/>
    <w:unhideWhenUsed/>
    <w:rsid w:val="006B338D"/>
    <w:pPr>
      <w:tabs>
        <w:tab w:val="center" w:pos="4680"/>
        <w:tab w:val="right" w:pos="9360"/>
      </w:tabs>
    </w:pPr>
  </w:style>
  <w:style w:type="character" w:customStyle="1" w:styleId="FooterChar">
    <w:name w:val="Footer Char"/>
    <w:basedOn w:val="DefaultParagraphFont"/>
    <w:link w:val="Footer"/>
    <w:uiPriority w:val="99"/>
    <w:rsid w:val="006B338D"/>
  </w:style>
  <w:style w:type="character" w:customStyle="1" w:styleId="ListParagraphChar">
    <w:name w:val="List Paragraph Char"/>
    <w:aliases w:val="List Bulet Char,AB List 1 Char,Bullet Points Char,ProcessA Char,Liste couleur - Accent 1 Char,Liste couleur - Accent 14 Char,Bullets Char,COMESA Text 2 Char,Standard 12 pt Char,List Bullet Mary Char,References Char"/>
    <w:link w:val="ListParagraph"/>
    <w:uiPriority w:val="34"/>
    <w:locked/>
    <w:rsid w:val="00B74270"/>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1"/>
    <w:uiPriority w:val="99"/>
    <w:qFormat/>
    <w:rsid w:val="00B74270"/>
    <w:rPr>
      <w:rFonts w:ascii="Times New Roman" w:eastAsia="Times New Roman" w:hAnsi="Times New Roman" w:cs="Times New Roman"/>
      <w:sz w:val="20"/>
      <w:szCs w:val="20"/>
      <w:lang w:val="en-GB" w:eastAsia="en-GB"/>
    </w:rPr>
  </w:style>
  <w:style w:type="character" w:customStyle="1" w:styleId="FootnoteTextChar">
    <w:name w:val="Footnote Text Char"/>
    <w:aliases w:val="Footnote Char,Footnote Text Char Char Char Char Char Char,Footnote Text Char1 Char1 Char Char,single space Char,ft Char"/>
    <w:basedOn w:val="DefaultParagraphFont"/>
    <w:uiPriority w:val="99"/>
    <w:rsid w:val="00B74270"/>
    <w:rPr>
      <w:sz w:val="20"/>
      <w:szCs w:val="20"/>
    </w:rPr>
  </w:style>
  <w:style w:type="character" w:customStyle="1" w:styleId="FootnoteTextChar1">
    <w:name w:val="Footnote Text Char1"/>
    <w:aliases w:val=" Char Char,Footnote Text Char Char Char Char1,fn Char,Footnote ak Char,Footnotes Char,Footnote Text Char2 Char,Footnote Text Char Char1 Char,Footnote Text Char1 Char Char Char,Footnote Text Char Char Char Char Char,Char3 Char"/>
    <w:link w:val="FootnoteText"/>
    <w:uiPriority w:val="99"/>
    <w:locked/>
    <w:rsid w:val="00B74270"/>
    <w:rPr>
      <w:rFonts w:ascii="Times New Roman" w:eastAsia="Times New Roman" w:hAnsi="Times New Roman" w:cs="Times New Roman"/>
      <w:sz w:val="20"/>
      <w:szCs w:val="20"/>
      <w:lang w:val="en-GB"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BVI fnr Zchn"/>
    <w:basedOn w:val="DefaultParagraphFont"/>
    <w:link w:val="BVIfnrChar"/>
    <w:uiPriority w:val="99"/>
    <w:unhideWhenUsed/>
    <w:qFormat/>
    <w:rsid w:val="00FF1CBB"/>
    <w:rPr>
      <w:vertAlign w:val="superscript"/>
    </w:rPr>
  </w:style>
  <w:style w:type="paragraph" w:styleId="TOCHeading">
    <w:name w:val="TOC Heading"/>
    <w:basedOn w:val="Heading1"/>
    <w:next w:val="Normal"/>
    <w:uiPriority w:val="39"/>
    <w:unhideWhenUsed/>
    <w:qFormat/>
    <w:rsid w:val="00FF1CBB"/>
    <w:pPr>
      <w:spacing w:line="259" w:lineRule="auto"/>
      <w:outlineLvl w:val="9"/>
    </w:pPr>
  </w:style>
  <w:style w:type="paragraph" w:styleId="TOC1">
    <w:name w:val="toc 1"/>
    <w:basedOn w:val="Normal"/>
    <w:next w:val="Normal"/>
    <w:autoRedefine/>
    <w:uiPriority w:val="39"/>
    <w:unhideWhenUsed/>
    <w:rsid w:val="00FF1CBB"/>
    <w:pPr>
      <w:spacing w:after="100"/>
    </w:pPr>
  </w:style>
  <w:style w:type="paragraph" w:styleId="TOC2">
    <w:name w:val="toc 2"/>
    <w:basedOn w:val="Normal"/>
    <w:next w:val="Normal"/>
    <w:autoRedefine/>
    <w:uiPriority w:val="39"/>
    <w:unhideWhenUsed/>
    <w:rsid w:val="00FF1CBB"/>
    <w:pPr>
      <w:spacing w:after="100"/>
      <w:ind w:left="220"/>
    </w:pPr>
  </w:style>
  <w:style w:type="character" w:styleId="Hyperlink">
    <w:name w:val="Hyperlink"/>
    <w:basedOn w:val="DefaultParagraphFont"/>
    <w:uiPriority w:val="99"/>
    <w:unhideWhenUsed/>
    <w:rsid w:val="00FF1CBB"/>
    <w:rPr>
      <w:color w:val="0563C1" w:themeColor="hyperlink"/>
      <w:u w:val="single"/>
    </w:rPr>
  </w:style>
  <w:style w:type="character" w:customStyle="1" w:styleId="Heading3Char">
    <w:name w:val="Heading 3 Char"/>
    <w:basedOn w:val="DefaultParagraphFont"/>
    <w:link w:val="Heading3"/>
    <w:uiPriority w:val="9"/>
    <w:rsid w:val="0032599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25995"/>
    <w:pPr>
      <w:tabs>
        <w:tab w:val="left" w:pos="1440"/>
        <w:tab w:val="right" w:leader="dot" w:pos="9350"/>
      </w:tabs>
      <w:spacing w:after="100"/>
      <w:ind w:left="1440" w:hanging="720"/>
    </w:pPr>
  </w:style>
  <w:style w:type="paragraph" w:customStyle="1" w:styleId="Text1">
    <w:name w:val="Text 1"/>
    <w:basedOn w:val="Normal"/>
    <w:rsid w:val="003D3B23"/>
    <w:pPr>
      <w:spacing w:before="120" w:after="120"/>
      <w:ind w:left="850"/>
      <w:jc w:val="both"/>
    </w:pPr>
    <w:rPr>
      <w:rFonts w:ascii="Times New Roman" w:eastAsia="Times New Roman" w:hAnsi="Times New Roman" w:cs="Times New Roman"/>
      <w:sz w:val="24"/>
      <w:szCs w:val="24"/>
      <w:lang w:val="en-GB"/>
    </w:rPr>
  </w:style>
  <w:style w:type="character" w:styleId="CommentReference">
    <w:name w:val="annotation reference"/>
    <w:uiPriority w:val="99"/>
    <w:rsid w:val="003D3B23"/>
    <w:rPr>
      <w:sz w:val="16"/>
      <w:szCs w:val="16"/>
    </w:rPr>
  </w:style>
  <w:style w:type="paragraph" w:styleId="CommentText">
    <w:name w:val="annotation text"/>
    <w:basedOn w:val="Normal"/>
    <w:link w:val="CommentTextChar"/>
    <w:uiPriority w:val="99"/>
    <w:rsid w:val="003D3B23"/>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3D3B23"/>
    <w:rPr>
      <w:rFonts w:ascii="Times New Roman" w:eastAsia="Times New Roman" w:hAnsi="Times New Roman" w:cs="Times New Roman"/>
      <w:sz w:val="20"/>
      <w:szCs w:val="20"/>
      <w:lang w:val="en-GB" w:eastAsia="en-GB"/>
    </w:rPr>
  </w:style>
  <w:style w:type="paragraph" w:customStyle="1" w:styleId="BVIfnrChar">
    <w:name w:val=" BVI fnr Char"/>
    <w:aliases w:val="Appel note de bas de p.;BVI fnr Car Car Car Car, BVI fnr Car Car,BVI fnr Car, BVI fnr Car Car Car Car, BVI fnr Car Car Car Car Char,Appel note de bas de p..BVI fnr Car Car Car Car, BVI fnr"/>
    <w:basedOn w:val="Normal"/>
    <w:link w:val="FootnoteReference"/>
    <w:uiPriority w:val="99"/>
    <w:rsid w:val="003D3B2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5510">
      <w:bodyDiv w:val="1"/>
      <w:marLeft w:val="0"/>
      <w:marRight w:val="0"/>
      <w:marTop w:val="0"/>
      <w:marBottom w:val="0"/>
      <w:divBdr>
        <w:top w:val="none" w:sz="0" w:space="0" w:color="auto"/>
        <w:left w:val="none" w:sz="0" w:space="0" w:color="auto"/>
        <w:bottom w:val="none" w:sz="0" w:space="0" w:color="auto"/>
        <w:right w:val="none" w:sz="0" w:space="0" w:color="auto"/>
      </w:divBdr>
    </w:div>
    <w:div w:id="18565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1F83-EE45-462D-810C-A7899303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3</cp:revision>
  <cp:lastPrinted>2019-05-06T04:41:00Z</cp:lastPrinted>
  <dcterms:created xsi:type="dcterms:W3CDTF">2019-10-18T19:21:00Z</dcterms:created>
  <dcterms:modified xsi:type="dcterms:W3CDTF">2019-10-18T19:21:00Z</dcterms:modified>
</cp:coreProperties>
</file>