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1E9" w:rsidRDefault="000F61E9" w:rsidP="000F61E9">
      <w:pPr>
        <w:pStyle w:val="PlainText"/>
        <w:pBdr>
          <w:top w:val="single" w:sz="24" w:space="0" w:color="000000"/>
          <w:left w:val="single" w:sz="24" w:space="0" w:color="000000"/>
          <w:bottom w:val="single" w:sz="24" w:space="0" w:color="000000"/>
          <w:right w:val="single" w:sz="24" w:space="0" w:color="000000"/>
        </w:pBdr>
        <w:contextualSpacing/>
        <w:jc w:val="both"/>
        <w:rPr>
          <w:rFonts w:ascii="Arial" w:hAnsi="Arial"/>
          <w:sz w:val="24"/>
          <w:szCs w:val="24"/>
        </w:rPr>
      </w:pPr>
    </w:p>
    <w:p w:rsidR="000F61E9" w:rsidRDefault="000F61E9" w:rsidP="000F61E9">
      <w:pPr>
        <w:pStyle w:val="PlainText"/>
        <w:pBdr>
          <w:top w:val="single" w:sz="24" w:space="0" w:color="000000"/>
          <w:left w:val="single" w:sz="24" w:space="0" w:color="000000"/>
          <w:bottom w:val="single" w:sz="24" w:space="0" w:color="000000"/>
          <w:right w:val="single" w:sz="24" w:space="0" w:color="000000"/>
        </w:pBdr>
        <w:contextualSpacing/>
        <w:jc w:val="center"/>
        <w:rPr>
          <w:rFonts w:ascii="Arial" w:hAnsi="Arial"/>
          <w:sz w:val="24"/>
          <w:szCs w:val="24"/>
        </w:rPr>
      </w:pPr>
      <w:r>
        <w:rPr>
          <w:rFonts w:ascii="Arial" w:hAnsi="Arial"/>
          <w:noProof/>
        </w:rPr>
        <w:drawing>
          <wp:inline distT="0" distB="0" distL="0" distR="0" wp14:anchorId="5F19D7DC" wp14:editId="7D7AEE2E">
            <wp:extent cx="1009650" cy="1001442"/>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cstate="print">
                      <a:extLst/>
                    </a:blip>
                    <a:stretch>
                      <a:fillRect/>
                    </a:stretch>
                  </pic:blipFill>
                  <pic:spPr>
                    <a:xfrm>
                      <a:off x="0" y="0"/>
                      <a:ext cx="1009650" cy="1001442"/>
                    </a:xfrm>
                    <a:prstGeom prst="rect">
                      <a:avLst/>
                    </a:prstGeom>
                    <a:ln w="12700" cap="flat">
                      <a:noFill/>
                      <a:miter lim="400000"/>
                    </a:ln>
                    <a:effectLst/>
                  </pic:spPr>
                </pic:pic>
              </a:graphicData>
            </a:graphic>
          </wp:inline>
        </w:drawing>
      </w:r>
    </w:p>
    <w:p w:rsidR="000F61E9" w:rsidRDefault="000F61E9" w:rsidP="000F61E9">
      <w:pPr>
        <w:pStyle w:val="PlainText"/>
        <w:pBdr>
          <w:top w:val="single" w:sz="24" w:space="0" w:color="000000"/>
          <w:left w:val="single" w:sz="24" w:space="0" w:color="000000"/>
          <w:bottom w:val="single" w:sz="24" w:space="0" w:color="000000"/>
          <w:right w:val="single" w:sz="24" w:space="0" w:color="000000"/>
        </w:pBdr>
        <w:contextualSpacing/>
        <w:jc w:val="right"/>
        <w:rPr>
          <w:rFonts w:ascii="Arial" w:eastAsia="Arial" w:hAnsi="Arial" w:cs="Arial"/>
          <w:sz w:val="24"/>
          <w:szCs w:val="24"/>
        </w:rPr>
      </w:pPr>
      <w:r>
        <w:rPr>
          <w:rFonts w:ascii="Arial" w:hAnsi="Arial"/>
          <w:sz w:val="24"/>
          <w:szCs w:val="24"/>
        </w:rPr>
        <w:t>Distr.</w:t>
      </w:r>
    </w:p>
    <w:p w:rsidR="000F61E9" w:rsidRDefault="000F61E9" w:rsidP="000F61E9">
      <w:pPr>
        <w:pStyle w:val="PlainText"/>
        <w:pBdr>
          <w:top w:val="single" w:sz="24" w:space="0" w:color="000000"/>
          <w:left w:val="single" w:sz="24" w:space="0" w:color="000000"/>
          <w:bottom w:val="single" w:sz="24" w:space="0" w:color="000000"/>
          <w:right w:val="single" w:sz="24" w:space="0" w:color="000000"/>
        </w:pBdr>
        <w:contextualSpacing/>
        <w:jc w:val="right"/>
        <w:rPr>
          <w:rFonts w:ascii="Arial" w:eastAsia="Arial" w:hAnsi="Arial" w:cs="Arial"/>
          <w:b/>
          <w:bCs/>
          <w:sz w:val="24"/>
          <w:szCs w:val="24"/>
        </w:rPr>
      </w:pPr>
      <w:r>
        <w:rPr>
          <w:rFonts w:ascii="Arial" w:hAnsi="Arial"/>
          <w:b/>
          <w:bCs/>
          <w:sz w:val="24"/>
          <w:szCs w:val="24"/>
        </w:rPr>
        <w:t>RESTRICTED</w:t>
      </w:r>
    </w:p>
    <w:p w:rsidR="000F61E9" w:rsidRDefault="000F61E9" w:rsidP="000F61E9">
      <w:pPr>
        <w:pStyle w:val="PlainText"/>
        <w:pBdr>
          <w:top w:val="single" w:sz="24" w:space="0" w:color="000000"/>
          <w:left w:val="single" w:sz="24" w:space="0" w:color="000000"/>
          <w:bottom w:val="single" w:sz="24" w:space="0" w:color="000000"/>
          <w:right w:val="single" w:sz="24" w:space="0" w:color="000000"/>
        </w:pBdr>
        <w:contextualSpacing/>
        <w:jc w:val="right"/>
        <w:rPr>
          <w:rFonts w:ascii="Arial" w:eastAsia="Arial" w:hAnsi="Arial" w:cs="Arial"/>
          <w:sz w:val="24"/>
          <w:szCs w:val="24"/>
        </w:rPr>
      </w:pPr>
    </w:p>
    <w:p w:rsidR="00FE56CC" w:rsidRDefault="00FE56CC" w:rsidP="000F61E9">
      <w:pPr>
        <w:pStyle w:val="PlainText"/>
        <w:pBdr>
          <w:top w:val="single" w:sz="24" w:space="0" w:color="000000"/>
          <w:left w:val="single" w:sz="24" w:space="0" w:color="000000"/>
          <w:bottom w:val="single" w:sz="24" w:space="0" w:color="000000"/>
          <w:right w:val="single" w:sz="24" w:space="0" w:color="000000"/>
        </w:pBdr>
        <w:contextualSpacing/>
        <w:jc w:val="right"/>
        <w:rPr>
          <w:rFonts w:ascii="Arial" w:eastAsia="Arial" w:hAnsi="Arial" w:cs="Arial"/>
          <w:b/>
          <w:bCs/>
          <w:sz w:val="24"/>
          <w:szCs w:val="24"/>
        </w:rPr>
      </w:pPr>
      <w:r w:rsidRPr="00FE56CC">
        <w:rPr>
          <w:rFonts w:ascii="Arial" w:eastAsia="Arial" w:hAnsi="Arial" w:cs="Arial"/>
          <w:b/>
          <w:bCs/>
          <w:sz w:val="24"/>
          <w:szCs w:val="24"/>
        </w:rPr>
        <w:t xml:space="preserve">       CS/ADM/SC/XXII/</w:t>
      </w:r>
      <w:r w:rsidR="00C31CBF">
        <w:rPr>
          <w:rFonts w:ascii="Arial" w:eastAsia="Arial" w:hAnsi="Arial" w:cs="Arial"/>
          <w:b/>
          <w:bCs/>
          <w:sz w:val="24"/>
          <w:szCs w:val="24"/>
        </w:rPr>
        <w:t>5.1A</w:t>
      </w:r>
    </w:p>
    <w:p w:rsidR="000F61E9" w:rsidRDefault="000F61E9" w:rsidP="000F61E9">
      <w:pPr>
        <w:pStyle w:val="PlainText"/>
        <w:pBdr>
          <w:top w:val="single" w:sz="24" w:space="0" w:color="000000"/>
          <w:left w:val="single" w:sz="24" w:space="0" w:color="000000"/>
          <w:bottom w:val="single" w:sz="24" w:space="0" w:color="000000"/>
          <w:right w:val="single" w:sz="24" w:space="0" w:color="000000"/>
        </w:pBdr>
        <w:contextualSpacing/>
        <w:jc w:val="right"/>
        <w:rPr>
          <w:rFonts w:ascii="Arial" w:eastAsia="Arial" w:hAnsi="Arial" w:cs="Arial"/>
          <w:sz w:val="24"/>
          <w:szCs w:val="24"/>
        </w:rPr>
      </w:pPr>
      <w:r>
        <w:rPr>
          <w:rFonts w:ascii="Arial" w:hAnsi="Arial"/>
          <w:sz w:val="24"/>
          <w:szCs w:val="24"/>
        </w:rPr>
        <w:t>June 2019</w:t>
      </w:r>
    </w:p>
    <w:p w:rsidR="000F61E9" w:rsidRDefault="000F61E9" w:rsidP="000F61E9">
      <w:pPr>
        <w:pStyle w:val="PlainText"/>
        <w:pBdr>
          <w:top w:val="single" w:sz="24" w:space="0" w:color="000000"/>
          <w:left w:val="single" w:sz="24" w:space="0" w:color="000000"/>
          <w:bottom w:val="single" w:sz="24" w:space="0" w:color="000000"/>
          <w:right w:val="single" w:sz="24" w:space="0" w:color="000000"/>
        </w:pBdr>
        <w:contextualSpacing/>
        <w:jc w:val="right"/>
        <w:rPr>
          <w:rFonts w:ascii="Arial" w:eastAsia="Arial" w:hAnsi="Arial" w:cs="Arial"/>
          <w:sz w:val="24"/>
          <w:szCs w:val="24"/>
        </w:rPr>
      </w:pPr>
    </w:p>
    <w:p w:rsidR="000F61E9" w:rsidRDefault="000F61E9" w:rsidP="000F61E9">
      <w:pPr>
        <w:pStyle w:val="PlainText"/>
        <w:pBdr>
          <w:top w:val="single" w:sz="24" w:space="0" w:color="000000"/>
          <w:left w:val="single" w:sz="24" w:space="0" w:color="000000"/>
          <w:bottom w:val="single" w:sz="24" w:space="0" w:color="000000"/>
          <w:right w:val="single" w:sz="24" w:space="0" w:color="000000"/>
        </w:pBdr>
        <w:contextualSpacing/>
        <w:jc w:val="right"/>
        <w:rPr>
          <w:rFonts w:ascii="Arial" w:eastAsia="Arial" w:hAnsi="Arial" w:cs="Arial"/>
          <w:b/>
          <w:bCs/>
          <w:sz w:val="24"/>
          <w:szCs w:val="24"/>
        </w:rPr>
      </w:pPr>
      <w:r>
        <w:rPr>
          <w:rFonts w:ascii="Arial" w:hAnsi="Arial"/>
          <w:sz w:val="24"/>
          <w:szCs w:val="24"/>
        </w:rPr>
        <w:t xml:space="preserve">Original: </w:t>
      </w:r>
      <w:r>
        <w:rPr>
          <w:rFonts w:ascii="Arial" w:hAnsi="Arial"/>
          <w:b/>
          <w:bCs/>
          <w:sz w:val="24"/>
          <w:szCs w:val="24"/>
        </w:rPr>
        <w:t>ENGLISH</w:t>
      </w:r>
    </w:p>
    <w:p w:rsidR="000F61E9" w:rsidRDefault="000F61E9" w:rsidP="000F61E9">
      <w:pPr>
        <w:pStyle w:val="PlainText"/>
        <w:pBdr>
          <w:top w:val="single" w:sz="24" w:space="0" w:color="000000"/>
          <w:left w:val="single" w:sz="24" w:space="0" w:color="000000"/>
          <w:bottom w:val="single" w:sz="24" w:space="0" w:color="000000"/>
          <w:right w:val="single" w:sz="24" w:space="0" w:color="000000"/>
        </w:pBdr>
        <w:contextualSpacing/>
        <w:jc w:val="right"/>
        <w:rPr>
          <w:rFonts w:ascii="Arial" w:eastAsia="Arial" w:hAnsi="Arial" w:cs="Arial"/>
          <w:b/>
          <w:bCs/>
          <w:sz w:val="24"/>
          <w:szCs w:val="24"/>
        </w:rPr>
      </w:pPr>
    </w:p>
    <w:p w:rsidR="000F61E9" w:rsidRDefault="000F61E9" w:rsidP="000F61E9">
      <w:pPr>
        <w:pStyle w:val="PlainText"/>
        <w:pBdr>
          <w:top w:val="single" w:sz="24" w:space="0" w:color="000000"/>
          <w:left w:val="single" w:sz="24" w:space="0" w:color="000000"/>
          <w:bottom w:val="single" w:sz="24" w:space="0" w:color="000000"/>
          <w:right w:val="single" w:sz="24" w:space="0" w:color="000000"/>
        </w:pBdr>
        <w:contextualSpacing/>
        <w:jc w:val="right"/>
        <w:rPr>
          <w:rFonts w:ascii="Arial" w:hAnsi="Arial"/>
          <w:b/>
          <w:bCs/>
          <w:sz w:val="24"/>
          <w:szCs w:val="24"/>
        </w:rPr>
      </w:pPr>
    </w:p>
    <w:p w:rsidR="000F61E9" w:rsidRPr="00AD6B2E" w:rsidRDefault="000F61E9" w:rsidP="000F61E9">
      <w:pPr>
        <w:pStyle w:val="PlainText"/>
        <w:pBdr>
          <w:top w:val="single" w:sz="24" w:space="0" w:color="000000"/>
          <w:left w:val="single" w:sz="24" w:space="0" w:color="000000"/>
          <w:bottom w:val="single" w:sz="24" w:space="0" w:color="000000"/>
          <w:right w:val="single" w:sz="24" w:space="0" w:color="000000"/>
        </w:pBdr>
        <w:contextualSpacing/>
        <w:rPr>
          <w:rFonts w:ascii="Arial" w:eastAsia="Arial" w:hAnsi="Arial" w:cs="Arial"/>
          <w:b/>
          <w:bCs/>
          <w:sz w:val="24"/>
          <w:szCs w:val="24"/>
        </w:rPr>
      </w:pPr>
      <w:r w:rsidRPr="00AD6B2E">
        <w:rPr>
          <w:rFonts w:ascii="Arial" w:hAnsi="Arial" w:cs="Arial"/>
          <w:b/>
          <w:bCs/>
          <w:sz w:val="24"/>
          <w:szCs w:val="24"/>
        </w:rPr>
        <w:t>COMMON MARKET FOR EASTERN AND</w:t>
      </w:r>
    </w:p>
    <w:p w:rsidR="000F61E9" w:rsidRPr="00AD6B2E" w:rsidRDefault="000F61E9" w:rsidP="000F61E9">
      <w:pPr>
        <w:pStyle w:val="PlainText"/>
        <w:pBdr>
          <w:top w:val="single" w:sz="24" w:space="0" w:color="000000"/>
          <w:left w:val="single" w:sz="24" w:space="0" w:color="000000"/>
          <w:bottom w:val="single" w:sz="24" w:space="0" w:color="000000"/>
          <w:right w:val="single" w:sz="24" w:space="0" w:color="000000"/>
        </w:pBdr>
        <w:contextualSpacing/>
        <w:rPr>
          <w:rFonts w:ascii="Arial" w:hAnsi="Arial" w:cs="Arial"/>
          <w:b/>
          <w:bCs/>
          <w:sz w:val="24"/>
          <w:szCs w:val="24"/>
        </w:rPr>
      </w:pPr>
      <w:r w:rsidRPr="00AD6B2E">
        <w:rPr>
          <w:rFonts w:ascii="Arial" w:hAnsi="Arial" w:cs="Arial"/>
          <w:b/>
          <w:bCs/>
          <w:sz w:val="24"/>
          <w:szCs w:val="24"/>
        </w:rPr>
        <w:t>SOUTHERN AFRICA</w:t>
      </w:r>
    </w:p>
    <w:p w:rsidR="000F61E9" w:rsidRPr="00CD098A" w:rsidRDefault="000F61E9" w:rsidP="000F61E9">
      <w:pPr>
        <w:pStyle w:val="PlainText"/>
        <w:pBdr>
          <w:top w:val="single" w:sz="24" w:space="0" w:color="000000"/>
          <w:left w:val="single" w:sz="24" w:space="0" w:color="000000"/>
          <w:bottom w:val="single" w:sz="24" w:space="0" w:color="000000"/>
          <w:right w:val="single" w:sz="24" w:space="0" w:color="000000"/>
        </w:pBdr>
        <w:contextualSpacing/>
        <w:rPr>
          <w:rFonts w:ascii="Arial" w:hAnsi="Arial" w:cs="Arial"/>
          <w:sz w:val="24"/>
          <w:szCs w:val="24"/>
          <w:bdr w:val="none" w:sz="0" w:space="0" w:color="auto"/>
        </w:rPr>
      </w:pPr>
    </w:p>
    <w:p w:rsidR="00CD098A" w:rsidRPr="00CD098A" w:rsidRDefault="00CD098A" w:rsidP="00CD098A">
      <w:pPr>
        <w:pStyle w:val="PlainText"/>
        <w:pBdr>
          <w:top w:val="single" w:sz="24" w:space="0" w:color="000000"/>
          <w:left w:val="single" w:sz="24" w:space="0" w:color="000000"/>
          <w:bottom w:val="single" w:sz="24" w:space="0" w:color="000000"/>
          <w:right w:val="single" w:sz="24" w:space="0" w:color="000000"/>
        </w:pBdr>
        <w:contextualSpacing/>
        <w:rPr>
          <w:rFonts w:ascii="Arial" w:hAnsi="Arial" w:cs="Arial"/>
          <w:sz w:val="24"/>
          <w:szCs w:val="24"/>
          <w:bdr w:val="none" w:sz="0" w:space="0" w:color="auto"/>
        </w:rPr>
      </w:pPr>
      <w:r w:rsidRPr="00CD098A">
        <w:rPr>
          <w:rFonts w:ascii="Arial" w:hAnsi="Arial" w:cs="Arial"/>
          <w:sz w:val="24"/>
          <w:szCs w:val="24"/>
          <w:bdr w:val="none" w:sz="0" w:space="0" w:color="auto"/>
        </w:rPr>
        <w:t xml:space="preserve">Twenty Second Meeting of the Sub-Committee on </w:t>
      </w:r>
    </w:p>
    <w:p w:rsidR="00CD098A" w:rsidRPr="00CD098A" w:rsidRDefault="00CD098A" w:rsidP="00CD098A">
      <w:pPr>
        <w:pStyle w:val="PlainText"/>
        <w:pBdr>
          <w:top w:val="single" w:sz="24" w:space="0" w:color="000000"/>
          <w:left w:val="single" w:sz="24" w:space="0" w:color="000000"/>
          <w:bottom w:val="single" w:sz="24" w:space="0" w:color="000000"/>
          <w:right w:val="single" w:sz="24" w:space="0" w:color="000000"/>
        </w:pBdr>
        <w:contextualSpacing/>
        <w:rPr>
          <w:rFonts w:ascii="Arial" w:hAnsi="Arial" w:cs="Arial"/>
          <w:sz w:val="24"/>
          <w:szCs w:val="24"/>
          <w:bdr w:val="none" w:sz="0" w:space="0" w:color="auto"/>
        </w:rPr>
      </w:pPr>
      <w:r w:rsidRPr="00CD098A">
        <w:rPr>
          <w:rFonts w:ascii="Arial" w:hAnsi="Arial" w:cs="Arial"/>
          <w:sz w:val="24"/>
          <w:szCs w:val="24"/>
          <w:bdr w:val="none" w:sz="0" w:space="0" w:color="auto"/>
        </w:rPr>
        <w:t xml:space="preserve">Audit and Budgetary Matters </w:t>
      </w:r>
    </w:p>
    <w:p w:rsidR="00CD098A" w:rsidRPr="00CD098A" w:rsidRDefault="00CD098A" w:rsidP="00CD098A">
      <w:pPr>
        <w:pStyle w:val="PlainText"/>
        <w:pBdr>
          <w:top w:val="single" w:sz="24" w:space="0" w:color="000000"/>
          <w:left w:val="single" w:sz="24" w:space="0" w:color="000000"/>
          <w:bottom w:val="single" w:sz="24" w:space="0" w:color="000000"/>
          <w:right w:val="single" w:sz="24" w:space="0" w:color="000000"/>
        </w:pBdr>
        <w:contextualSpacing/>
        <w:rPr>
          <w:rFonts w:ascii="Arial" w:hAnsi="Arial" w:cs="Arial"/>
          <w:sz w:val="24"/>
          <w:szCs w:val="24"/>
          <w:bdr w:val="none" w:sz="0" w:space="0" w:color="auto"/>
        </w:rPr>
      </w:pPr>
    </w:p>
    <w:p w:rsidR="00CD098A" w:rsidRPr="00CD098A" w:rsidRDefault="00CD098A" w:rsidP="00CD098A">
      <w:pPr>
        <w:pStyle w:val="PlainText"/>
        <w:pBdr>
          <w:top w:val="single" w:sz="24" w:space="0" w:color="000000"/>
          <w:left w:val="single" w:sz="24" w:space="0" w:color="000000"/>
          <w:bottom w:val="single" w:sz="24" w:space="0" w:color="000000"/>
          <w:right w:val="single" w:sz="24" w:space="0" w:color="000000"/>
        </w:pBdr>
        <w:contextualSpacing/>
        <w:rPr>
          <w:rFonts w:ascii="Arial" w:hAnsi="Arial" w:cs="Arial"/>
          <w:sz w:val="24"/>
          <w:szCs w:val="24"/>
          <w:bdr w:val="none" w:sz="0" w:space="0" w:color="auto"/>
        </w:rPr>
      </w:pPr>
    </w:p>
    <w:p w:rsidR="00CD098A" w:rsidRPr="00CD098A" w:rsidRDefault="00CD098A" w:rsidP="00CD098A">
      <w:pPr>
        <w:pStyle w:val="PlainText"/>
        <w:pBdr>
          <w:top w:val="single" w:sz="24" w:space="0" w:color="000000"/>
          <w:left w:val="single" w:sz="24" w:space="0" w:color="000000"/>
          <w:bottom w:val="single" w:sz="24" w:space="0" w:color="000000"/>
          <w:right w:val="single" w:sz="24" w:space="0" w:color="000000"/>
        </w:pBdr>
        <w:contextualSpacing/>
        <w:rPr>
          <w:rFonts w:ascii="Arial" w:hAnsi="Arial" w:cs="Arial"/>
          <w:sz w:val="24"/>
          <w:szCs w:val="24"/>
          <w:bdr w:val="none" w:sz="0" w:space="0" w:color="auto"/>
        </w:rPr>
      </w:pPr>
      <w:r w:rsidRPr="00CD098A">
        <w:rPr>
          <w:rFonts w:ascii="Arial" w:hAnsi="Arial" w:cs="Arial"/>
          <w:sz w:val="24"/>
          <w:szCs w:val="24"/>
          <w:bdr w:val="none" w:sz="0" w:space="0" w:color="auto"/>
        </w:rPr>
        <w:t>Lusaka, Zambia</w:t>
      </w:r>
    </w:p>
    <w:p w:rsidR="00AD6B2E" w:rsidRPr="00CD098A" w:rsidRDefault="00CD098A" w:rsidP="00CD098A">
      <w:pPr>
        <w:pStyle w:val="PlainText"/>
        <w:pBdr>
          <w:top w:val="single" w:sz="24" w:space="0" w:color="000000"/>
          <w:left w:val="single" w:sz="24" w:space="0" w:color="000000"/>
          <w:bottom w:val="single" w:sz="24" w:space="0" w:color="000000"/>
          <w:right w:val="single" w:sz="24" w:space="0" w:color="000000"/>
        </w:pBdr>
        <w:contextualSpacing/>
        <w:rPr>
          <w:rFonts w:ascii="Arial" w:hAnsi="Arial" w:cs="Arial"/>
          <w:sz w:val="24"/>
          <w:szCs w:val="24"/>
          <w:bdr w:val="none" w:sz="0" w:space="0" w:color="auto"/>
        </w:rPr>
      </w:pPr>
      <w:r w:rsidRPr="00CD098A">
        <w:rPr>
          <w:rFonts w:ascii="Arial" w:hAnsi="Arial" w:cs="Arial"/>
          <w:sz w:val="24"/>
          <w:szCs w:val="24"/>
          <w:bdr w:val="none" w:sz="0" w:space="0" w:color="auto"/>
        </w:rPr>
        <w:t>28 October – 1 November, 2019</w:t>
      </w:r>
    </w:p>
    <w:p w:rsidR="000F61E9" w:rsidRPr="00AD6B2E" w:rsidRDefault="000F61E9" w:rsidP="000F61E9">
      <w:pPr>
        <w:pStyle w:val="PlainText"/>
        <w:pBdr>
          <w:top w:val="single" w:sz="24" w:space="0" w:color="000000"/>
          <w:left w:val="single" w:sz="24" w:space="0" w:color="000000"/>
          <w:bottom w:val="single" w:sz="24" w:space="0" w:color="000000"/>
          <w:right w:val="single" w:sz="24" w:space="0" w:color="000000"/>
        </w:pBdr>
        <w:contextualSpacing/>
        <w:rPr>
          <w:rFonts w:ascii="Arial" w:hAnsi="Arial" w:cs="Arial"/>
          <w:b/>
          <w:sz w:val="24"/>
          <w:szCs w:val="24"/>
        </w:rPr>
      </w:pPr>
    </w:p>
    <w:p w:rsidR="008F3E34" w:rsidRDefault="008F3E34" w:rsidP="008F3E34">
      <w:pPr>
        <w:pStyle w:val="PlainText"/>
        <w:pBdr>
          <w:top w:val="single" w:sz="24" w:space="0" w:color="000000"/>
          <w:left w:val="single" w:sz="24" w:space="0" w:color="000000"/>
          <w:bottom w:val="single" w:sz="24" w:space="0" w:color="000000"/>
          <w:right w:val="single" w:sz="24" w:space="0" w:color="000000"/>
        </w:pBdr>
        <w:jc w:val="center"/>
        <w:rPr>
          <w:rFonts w:ascii="Times New Roman" w:hAnsi="Times New Roman" w:cs="Times New Roman"/>
          <w:b/>
          <w:bCs/>
          <w:i/>
          <w:iCs/>
          <w:sz w:val="24"/>
          <w:szCs w:val="24"/>
        </w:rPr>
      </w:pPr>
      <w:r>
        <w:rPr>
          <w:rFonts w:ascii="Times New Roman" w:hAnsi="Times New Roman" w:cs="Times New Roman"/>
          <w:b/>
          <w:bCs/>
          <w:i/>
          <w:iCs/>
          <w:sz w:val="24"/>
          <w:szCs w:val="24"/>
        </w:rPr>
        <w:t>STATUS OF MEMBER STATES FUNDS</w:t>
      </w:r>
    </w:p>
    <w:p w:rsidR="008F3E34" w:rsidRPr="00197A3C" w:rsidRDefault="008F3E34" w:rsidP="008F3E34">
      <w:pPr>
        <w:pStyle w:val="PlainText"/>
        <w:pBdr>
          <w:top w:val="single" w:sz="24" w:space="0" w:color="000000"/>
          <w:left w:val="single" w:sz="24" w:space="0" w:color="000000"/>
          <w:bottom w:val="single" w:sz="24" w:space="0" w:color="000000"/>
          <w:right w:val="single" w:sz="24" w:space="0" w:color="000000"/>
        </w:pBdr>
        <w:jc w:val="center"/>
        <w:rPr>
          <w:rFonts w:ascii="Times New Roman" w:eastAsia="Arial" w:hAnsi="Times New Roman" w:cs="Times New Roman"/>
          <w:b/>
          <w:bCs/>
          <w:i/>
          <w:iCs/>
          <w:sz w:val="24"/>
          <w:szCs w:val="24"/>
        </w:rPr>
      </w:pPr>
      <w:r>
        <w:rPr>
          <w:rFonts w:ascii="Times New Roman" w:hAnsi="Times New Roman" w:cs="Times New Roman"/>
          <w:b/>
          <w:bCs/>
          <w:i/>
          <w:iCs/>
          <w:sz w:val="24"/>
          <w:szCs w:val="24"/>
        </w:rPr>
        <w:t>PART I:</w:t>
      </w:r>
      <w:r>
        <w:rPr>
          <w:rFonts w:ascii="Times New Roman" w:hAnsi="Times New Roman" w:cs="Times New Roman"/>
          <w:b/>
          <w:bCs/>
          <w:i/>
          <w:iCs/>
          <w:sz w:val="24"/>
          <w:szCs w:val="24"/>
        </w:rPr>
        <w:tab/>
        <w:t xml:space="preserve">ASSESSED ANNUAL MEMBER STATES CONTRIBUTIONS </w:t>
      </w:r>
    </w:p>
    <w:p w:rsidR="000F61E9" w:rsidRDefault="000F61E9" w:rsidP="000F61E9">
      <w:pPr>
        <w:pStyle w:val="PlainText"/>
        <w:pBdr>
          <w:top w:val="single" w:sz="24" w:space="0" w:color="000000"/>
          <w:left w:val="single" w:sz="24" w:space="0" w:color="000000"/>
          <w:bottom w:val="single" w:sz="24" w:space="0" w:color="000000"/>
          <w:right w:val="single" w:sz="24" w:space="0" w:color="000000"/>
        </w:pBdr>
        <w:contextualSpacing/>
        <w:jc w:val="both"/>
        <w:rPr>
          <w:rFonts w:ascii="Arial" w:eastAsia="Arial" w:hAnsi="Arial" w:cs="Arial"/>
          <w:b/>
          <w:bCs/>
          <w:sz w:val="24"/>
          <w:szCs w:val="24"/>
        </w:rPr>
      </w:pPr>
    </w:p>
    <w:p w:rsidR="000F61E9" w:rsidRDefault="000F61E9" w:rsidP="000F61E9">
      <w:pPr>
        <w:pStyle w:val="PlainText"/>
        <w:pBdr>
          <w:top w:val="single" w:sz="24" w:space="0" w:color="000000"/>
          <w:left w:val="single" w:sz="24" w:space="0" w:color="000000"/>
          <w:bottom w:val="single" w:sz="24" w:space="0" w:color="000000"/>
          <w:right w:val="single" w:sz="24" w:space="0" w:color="000000"/>
        </w:pBdr>
        <w:contextualSpacing/>
        <w:jc w:val="both"/>
        <w:rPr>
          <w:rFonts w:ascii="Arial" w:eastAsia="Arial" w:hAnsi="Arial" w:cs="Arial"/>
          <w:b/>
          <w:bCs/>
          <w:sz w:val="24"/>
          <w:szCs w:val="24"/>
        </w:rPr>
      </w:pPr>
    </w:p>
    <w:p w:rsidR="000F61E9" w:rsidRDefault="000F61E9" w:rsidP="000F61E9">
      <w:pPr>
        <w:pStyle w:val="PlainText"/>
        <w:pBdr>
          <w:top w:val="single" w:sz="24" w:space="0" w:color="000000"/>
          <w:left w:val="single" w:sz="24" w:space="0" w:color="000000"/>
          <w:bottom w:val="single" w:sz="24" w:space="0" w:color="000000"/>
          <w:right w:val="single" w:sz="24" w:space="0" w:color="000000"/>
        </w:pBdr>
        <w:contextualSpacing/>
        <w:jc w:val="both"/>
        <w:rPr>
          <w:rFonts w:ascii="Arial" w:eastAsia="Arial" w:hAnsi="Arial" w:cs="Arial"/>
          <w:b/>
          <w:bCs/>
          <w:sz w:val="24"/>
          <w:szCs w:val="24"/>
        </w:rPr>
      </w:pPr>
    </w:p>
    <w:p w:rsidR="000F61E9" w:rsidRDefault="000F61E9" w:rsidP="000F61E9">
      <w:pPr>
        <w:pStyle w:val="PlainText"/>
        <w:pBdr>
          <w:top w:val="single" w:sz="24" w:space="0" w:color="000000"/>
          <w:left w:val="single" w:sz="24" w:space="0" w:color="000000"/>
          <w:bottom w:val="single" w:sz="24" w:space="0" w:color="000000"/>
          <w:right w:val="single" w:sz="24" w:space="0" w:color="000000"/>
        </w:pBdr>
        <w:contextualSpacing/>
        <w:jc w:val="both"/>
        <w:rPr>
          <w:rFonts w:ascii="Arial" w:eastAsia="Arial" w:hAnsi="Arial" w:cs="Arial"/>
          <w:b/>
          <w:bCs/>
          <w:sz w:val="24"/>
          <w:szCs w:val="24"/>
        </w:rPr>
      </w:pPr>
    </w:p>
    <w:p w:rsidR="000F61E9" w:rsidRDefault="000F61E9" w:rsidP="000F61E9">
      <w:pPr>
        <w:pStyle w:val="PlainText"/>
        <w:pBdr>
          <w:top w:val="single" w:sz="24" w:space="0" w:color="000000"/>
          <w:left w:val="single" w:sz="24" w:space="0" w:color="000000"/>
          <w:bottom w:val="single" w:sz="24" w:space="0" w:color="000000"/>
          <w:right w:val="single" w:sz="24" w:space="0" w:color="000000"/>
        </w:pBdr>
        <w:contextualSpacing/>
        <w:jc w:val="both"/>
        <w:rPr>
          <w:rFonts w:ascii="Arial" w:eastAsia="Arial" w:hAnsi="Arial" w:cs="Arial"/>
          <w:b/>
          <w:bCs/>
          <w:sz w:val="24"/>
          <w:szCs w:val="24"/>
        </w:rPr>
      </w:pPr>
    </w:p>
    <w:p w:rsidR="000F61E9" w:rsidRDefault="000F61E9" w:rsidP="000F61E9">
      <w:pPr>
        <w:pStyle w:val="PlainText"/>
        <w:pBdr>
          <w:top w:val="single" w:sz="24" w:space="0" w:color="000000"/>
          <w:left w:val="single" w:sz="24" w:space="0" w:color="000000"/>
          <w:bottom w:val="single" w:sz="24" w:space="0" w:color="000000"/>
          <w:right w:val="single" w:sz="24" w:space="0" w:color="000000"/>
        </w:pBdr>
        <w:contextualSpacing/>
        <w:jc w:val="both"/>
        <w:rPr>
          <w:rFonts w:ascii="Arial" w:eastAsia="Arial" w:hAnsi="Arial" w:cs="Arial"/>
          <w:b/>
          <w:bCs/>
          <w:sz w:val="24"/>
          <w:szCs w:val="24"/>
        </w:rPr>
      </w:pPr>
    </w:p>
    <w:p w:rsidR="000F61E9" w:rsidRDefault="000F61E9" w:rsidP="000F61E9">
      <w:pPr>
        <w:pStyle w:val="PlainText"/>
        <w:pBdr>
          <w:top w:val="single" w:sz="24" w:space="0" w:color="000000"/>
          <w:left w:val="single" w:sz="24" w:space="0" w:color="000000"/>
          <w:bottom w:val="single" w:sz="24" w:space="0" w:color="000000"/>
          <w:right w:val="single" w:sz="24" w:space="0" w:color="000000"/>
        </w:pBdr>
        <w:contextualSpacing/>
        <w:jc w:val="both"/>
        <w:rPr>
          <w:rFonts w:ascii="Arial" w:hAnsi="Arial"/>
          <w:b/>
          <w:bCs/>
          <w:i/>
          <w:iCs/>
        </w:rPr>
      </w:pPr>
    </w:p>
    <w:p w:rsidR="000F61E9" w:rsidRPr="007853C4" w:rsidRDefault="000F61E9" w:rsidP="00AD6B2E">
      <w:pPr>
        <w:pStyle w:val="PlainText"/>
        <w:pBdr>
          <w:top w:val="single" w:sz="24" w:space="0" w:color="000000"/>
          <w:left w:val="single" w:sz="24" w:space="0" w:color="000000"/>
          <w:bottom w:val="single" w:sz="24" w:space="0" w:color="000000"/>
          <w:right w:val="single" w:sz="24" w:space="0" w:color="000000"/>
        </w:pBdr>
        <w:contextualSpacing/>
        <w:jc w:val="center"/>
        <w:rPr>
          <w:rFonts w:ascii="Arial" w:eastAsia="Arial" w:hAnsi="Arial" w:cs="Arial"/>
          <w:b/>
          <w:bCs/>
          <w:i/>
          <w:iCs/>
        </w:rPr>
      </w:pPr>
      <w:r w:rsidRPr="007853C4">
        <w:rPr>
          <w:rFonts w:ascii="Arial" w:hAnsi="Arial"/>
          <w:b/>
          <w:bCs/>
          <w:i/>
          <w:iCs/>
        </w:rPr>
        <w:t>THEME: COMESA</w:t>
      </w:r>
      <w:r>
        <w:rPr>
          <w:rFonts w:ascii="Arial" w:hAnsi="Arial"/>
          <w:b/>
          <w:bCs/>
          <w:i/>
          <w:iCs/>
        </w:rPr>
        <w:t xml:space="preserve"> -</w:t>
      </w:r>
      <w:r w:rsidRPr="007853C4">
        <w:rPr>
          <w:rFonts w:ascii="Arial" w:hAnsi="Arial"/>
          <w:b/>
          <w:bCs/>
          <w:i/>
          <w:iCs/>
        </w:rPr>
        <w:t xml:space="preserve"> Towards Digital Economic Integration</w:t>
      </w:r>
    </w:p>
    <w:p w:rsidR="000F61E9" w:rsidRDefault="000F61E9" w:rsidP="000F61E9">
      <w:pPr>
        <w:pStyle w:val="PlainText"/>
        <w:pBdr>
          <w:top w:val="single" w:sz="24" w:space="0" w:color="000000"/>
          <w:left w:val="single" w:sz="24" w:space="0" w:color="000000"/>
          <w:bottom w:val="single" w:sz="24" w:space="0" w:color="000000"/>
          <w:right w:val="single" w:sz="24" w:space="0" w:color="000000"/>
        </w:pBdr>
        <w:contextualSpacing/>
        <w:jc w:val="both"/>
        <w:rPr>
          <w:rFonts w:ascii="Arial" w:eastAsia="Arial" w:hAnsi="Arial" w:cs="Arial"/>
          <w:b/>
          <w:bCs/>
          <w:i/>
          <w:iCs/>
          <w:sz w:val="24"/>
          <w:szCs w:val="24"/>
        </w:rPr>
      </w:pPr>
    </w:p>
    <w:p w:rsidR="000F61E9" w:rsidRDefault="000F61E9" w:rsidP="000F61E9">
      <w:pPr>
        <w:pStyle w:val="PlainText"/>
        <w:pBdr>
          <w:top w:val="single" w:sz="24" w:space="0" w:color="000000"/>
          <w:left w:val="single" w:sz="24" w:space="0" w:color="000000"/>
          <w:bottom w:val="single" w:sz="24" w:space="0" w:color="000000"/>
          <w:right w:val="single" w:sz="24" w:space="0" w:color="000000"/>
        </w:pBdr>
        <w:contextualSpacing/>
        <w:jc w:val="both"/>
        <w:rPr>
          <w:rFonts w:ascii="Arial" w:eastAsia="Arial" w:hAnsi="Arial" w:cs="Arial"/>
          <w:b/>
          <w:bCs/>
          <w:i/>
          <w:iCs/>
          <w:sz w:val="24"/>
          <w:szCs w:val="24"/>
        </w:rPr>
      </w:pPr>
    </w:p>
    <w:p w:rsidR="000F61E9" w:rsidRDefault="000F61E9" w:rsidP="000F61E9">
      <w:pPr>
        <w:pStyle w:val="PlainText"/>
        <w:pBdr>
          <w:top w:val="single" w:sz="24" w:space="0" w:color="000000"/>
          <w:left w:val="single" w:sz="24" w:space="0" w:color="000000"/>
          <w:bottom w:val="single" w:sz="24" w:space="0" w:color="000000"/>
          <w:right w:val="single" w:sz="24" w:space="0" w:color="000000"/>
        </w:pBdr>
        <w:contextualSpacing/>
        <w:jc w:val="both"/>
        <w:rPr>
          <w:rFonts w:ascii="Arial" w:eastAsia="Arial" w:hAnsi="Arial" w:cs="Arial"/>
          <w:b/>
          <w:bCs/>
          <w:i/>
          <w:iCs/>
          <w:sz w:val="24"/>
          <w:szCs w:val="24"/>
        </w:rPr>
      </w:pPr>
    </w:p>
    <w:p w:rsidR="000F61E9" w:rsidRDefault="000F61E9" w:rsidP="000F61E9">
      <w:pPr>
        <w:pStyle w:val="PlainText"/>
        <w:pBdr>
          <w:top w:val="single" w:sz="24" w:space="0" w:color="000000"/>
          <w:left w:val="single" w:sz="24" w:space="0" w:color="000000"/>
          <w:bottom w:val="single" w:sz="24" w:space="0" w:color="000000"/>
          <w:right w:val="single" w:sz="24" w:space="0" w:color="000000"/>
        </w:pBdr>
        <w:contextualSpacing/>
        <w:jc w:val="both"/>
        <w:rPr>
          <w:rFonts w:ascii="Arial" w:eastAsia="Arial" w:hAnsi="Arial" w:cs="Arial"/>
          <w:b/>
          <w:bCs/>
          <w:i/>
          <w:iCs/>
          <w:sz w:val="24"/>
          <w:szCs w:val="24"/>
        </w:rPr>
      </w:pPr>
    </w:p>
    <w:p w:rsidR="000F61E9" w:rsidRDefault="000F61E9" w:rsidP="000F61E9">
      <w:pPr>
        <w:pStyle w:val="PlainText"/>
        <w:pBdr>
          <w:top w:val="single" w:sz="24" w:space="0" w:color="000000"/>
          <w:left w:val="single" w:sz="24" w:space="0" w:color="000000"/>
          <w:bottom w:val="single" w:sz="24" w:space="0" w:color="000000"/>
          <w:right w:val="single" w:sz="24" w:space="0" w:color="000000"/>
        </w:pBdr>
        <w:contextualSpacing/>
        <w:jc w:val="both"/>
        <w:rPr>
          <w:rFonts w:ascii="Arial" w:eastAsia="Arial" w:hAnsi="Arial" w:cs="Arial"/>
          <w:b/>
          <w:bCs/>
          <w:i/>
          <w:iCs/>
          <w:sz w:val="24"/>
          <w:szCs w:val="24"/>
        </w:rPr>
      </w:pPr>
    </w:p>
    <w:p w:rsidR="000F61E9" w:rsidRDefault="000F61E9" w:rsidP="000F61E9">
      <w:pPr>
        <w:pStyle w:val="PlainText"/>
        <w:pBdr>
          <w:top w:val="single" w:sz="24" w:space="0" w:color="000000"/>
          <w:left w:val="single" w:sz="24" w:space="0" w:color="000000"/>
          <w:bottom w:val="single" w:sz="24" w:space="0" w:color="000000"/>
          <w:right w:val="single" w:sz="24" w:space="0" w:color="000000"/>
        </w:pBdr>
        <w:contextualSpacing/>
        <w:jc w:val="both"/>
        <w:rPr>
          <w:rFonts w:ascii="Arial" w:eastAsia="Arial" w:hAnsi="Arial" w:cs="Arial"/>
          <w:b/>
          <w:bCs/>
          <w:i/>
          <w:iCs/>
          <w:sz w:val="24"/>
          <w:szCs w:val="24"/>
        </w:rPr>
      </w:pPr>
    </w:p>
    <w:p w:rsidR="000F61E9" w:rsidRDefault="00AD6B2E" w:rsidP="000F61E9">
      <w:pPr>
        <w:pStyle w:val="PlainText"/>
        <w:pBdr>
          <w:top w:val="single" w:sz="24" w:space="0" w:color="000000"/>
          <w:left w:val="single" w:sz="24" w:space="0" w:color="000000"/>
          <w:bottom w:val="single" w:sz="24" w:space="0" w:color="000000"/>
          <w:right w:val="single" w:sz="24" w:space="0" w:color="000000"/>
        </w:pBdr>
        <w:contextualSpacing/>
        <w:jc w:val="both"/>
        <w:rPr>
          <w:rFonts w:ascii="Arial" w:eastAsia="Arial" w:hAnsi="Arial" w:cs="Arial"/>
          <w:bCs/>
          <w:i/>
          <w:iCs/>
          <w:sz w:val="20"/>
          <w:szCs w:val="20"/>
        </w:rPr>
      </w:pPr>
      <w:r>
        <w:rPr>
          <w:rFonts w:ascii="Arial" w:eastAsia="Arial" w:hAnsi="Arial" w:cs="Arial"/>
          <w:bCs/>
          <w:i/>
          <w:iCs/>
          <w:sz w:val="20"/>
          <w:szCs w:val="20"/>
        </w:rPr>
        <w:t>DH/CK/SMZ</w:t>
      </w:r>
      <w:r w:rsidR="000F61E9">
        <w:rPr>
          <w:rFonts w:ascii="Arial" w:eastAsia="Arial" w:hAnsi="Arial" w:cs="Arial"/>
          <w:bCs/>
          <w:i/>
          <w:iCs/>
          <w:sz w:val="20"/>
          <w:szCs w:val="20"/>
        </w:rPr>
        <w:t>/2019</w:t>
      </w:r>
    </w:p>
    <w:p w:rsidR="000F61E9" w:rsidRDefault="000F61E9" w:rsidP="000F61E9">
      <w:pPr>
        <w:pStyle w:val="PlainText"/>
        <w:pBdr>
          <w:top w:val="single" w:sz="24" w:space="0" w:color="000000"/>
          <w:left w:val="single" w:sz="24" w:space="0" w:color="000000"/>
          <w:bottom w:val="single" w:sz="24" w:space="0" w:color="000000"/>
          <w:right w:val="single" w:sz="24" w:space="0" w:color="000000"/>
        </w:pBdr>
        <w:contextualSpacing/>
        <w:jc w:val="both"/>
        <w:rPr>
          <w:rFonts w:ascii="Arial" w:eastAsia="Arial" w:hAnsi="Arial" w:cs="Arial"/>
          <w:b/>
          <w:bCs/>
          <w:i/>
          <w:iCs/>
          <w:sz w:val="24"/>
          <w:szCs w:val="24"/>
        </w:rPr>
      </w:pPr>
    </w:p>
    <w:p w:rsidR="000F61E9" w:rsidRDefault="000F61E9" w:rsidP="000F61E9">
      <w:pPr>
        <w:contextualSpacing/>
        <w:jc w:val="both"/>
      </w:pPr>
    </w:p>
    <w:p w:rsidR="000F61E9" w:rsidRDefault="000F61E9" w:rsidP="000F61E9">
      <w:pPr>
        <w:contextualSpacing/>
        <w:jc w:val="both"/>
      </w:pPr>
    </w:p>
    <w:p w:rsidR="000F61E9" w:rsidRDefault="000F61E9" w:rsidP="003D7965">
      <w:pPr>
        <w:rPr>
          <w:rFonts w:ascii="Times New Roman" w:hAnsi="Times New Roman" w:cs="Times New Roman"/>
        </w:rPr>
        <w:sectPr w:rsidR="000F61E9" w:rsidSect="003A1298">
          <w:headerReference w:type="even" r:id="rId9"/>
          <w:headerReference w:type="default" r:id="rId10"/>
          <w:headerReference w:type="first" r:id="rId11"/>
          <w:pgSz w:w="12240" w:h="15840"/>
          <w:pgMar w:top="1440" w:right="1440" w:bottom="1440" w:left="1440" w:header="720" w:footer="720" w:gutter="0"/>
          <w:pgNumType w:start="0"/>
          <w:cols w:space="720"/>
          <w:titlePg/>
          <w:docGrid w:linePitch="360"/>
        </w:sectPr>
      </w:pPr>
    </w:p>
    <w:sdt>
      <w:sdtPr>
        <w:rPr>
          <w:rFonts w:asciiTheme="minorHAnsi" w:eastAsiaTheme="minorHAnsi" w:hAnsiTheme="minorHAnsi" w:cstheme="minorBidi"/>
          <w:color w:val="auto"/>
          <w:sz w:val="22"/>
          <w:szCs w:val="22"/>
        </w:rPr>
        <w:id w:val="1256868817"/>
        <w:docPartObj>
          <w:docPartGallery w:val="Table of Contents"/>
          <w:docPartUnique/>
        </w:docPartObj>
      </w:sdtPr>
      <w:sdtEndPr>
        <w:rPr>
          <w:b/>
          <w:bCs/>
          <w:noProof/>
        </w:rPr>
      </w:sdtEndPr>
      <w:sdtContent>
        <w:p w:rsidR="000F61E9" w:rsidRDefault="000F61E9">
          <w:pPr>
            <w:pStyle w:val="TOCHeading"/>
          </w:pPr>
          <w:r>
            <w:t>Contents</w:t>
          </w:r>
        </w:p>
        <w:p w:rsidR="00696016" w:rsidRDefault="000F61E9">
          <w:pPr>
            <w:pStyle w:val="TOC1"/>
            <w:tabs>
              <w:tab w:val="left" w:pos="440"/>
              <w:tab w:val="right" w:leader="dot" w:pos="93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22370805" w:history="1">
            <w:r w:rsidR="00696016" w:rsidRPr="000024BC">
              <w:rPr>
                <w:rStyle w:val="Hyperlink"/>
                <w:rFonts w:ascii="Arial" w:hAnsi="Arial" w:cs="Arial"/>
                <w:b/>
                <w:noProof/>
              </w:rPr>
              <w:t>1.</w:t>
            </w:r>
            <w:r w:rsidR="00696016">
              <w:rPr>
                <w:rFonts w:eastAsiaTheme="minorEastAsia"/>
                <w:noProof/>
              </w:rPr>
              <w:tab/>
            </w:r>
            <w:r w:rsidR="00696016" w:rsidRPr="000024BC">
              <w:rPr>
                <w:rStyle w:val="Hyperlink"/>
                <w:rFonts w:ascii="Arial" w:hAnsi="Arial" w:cs="Arial"/>
                <w:b/>
                <w:noProof/>
              </w:rPr>
              <w:t>INTRODUCTION</w:t>
            </w:r>
            <w:r w:rsidR="00696016">
              <w:rPr>
                <w:noProof/>
                <w:webHidden/>
              </w:rPr>
              <w:tab/>
            </w:r>
            <w:r w:rsidR="00696016">
              <w:rPr>
                <w:noProof/>
                <w:webHidden/>
              </w:rPr>
              <w:fldChar w:fldCharType="begin"/>
            </w:r>
            <w:r w:rsidR="00696016">
              <w:rPr>
                <w:noProof/>
                <w:webHidden/>
              </w:rPr>
              <w:instrText xml:space="preserve"> PAGEREF _Toc22370805 \h </w:instrText>
            </w:r>
            <w:r w:rsidR="00696016">
              <w:rPr>
                <w:noProof/>
                <w:webHidden/>
              </w:rPr>
            </w:r>
            <w:r w:rsidR="00696016">
              <w:rPr>
                <w:noProof/>
                <w:webHidden/>
              </w:rPr>
              <w:fldChar w:fldCharType="separate"/>
            </w:r>
            <w:r w:rsidR="00696016">
              <w:rPr>
                <w:noProof/>
                <w:webHidden/>
              </w:rPr>
              <w:t>2</w:t>
            </w:r>
            <w:r w:rsidR="00696016">
              <w:rPr>
                <w:noProof/>
                <w:webHidden/>
              </w:rPr>
              <w:fldChar w:fldCharType="end"/>
            </w:r>
          </w:hyperlink>
        </w:p>
        <w:p w:rsidR="00696016" w:rsidRDefault="004C3381">
          <w:pPr>
            <w:pStyle w:val="TOC1"/>
            <w:tabs>
              <w:tab w:val="left" w:pos="440"/>
              <w:tab w:val="right" w:leader="dot" w:pos="9350"/>
            </w:tabs>
            <w:rPr>
              <w:rFonts w:eastAsiaTheme="minorEastAsia"/>
              <w:noProof/>
            </w:rPr>
          </w:pPr>
          <w:hyperlink w:anchor="_Toc22370806" w:history="1">
            <w:r w:rsidR="00696016" w:rsidRPr="000024BC">
              <w:rPr>
                <w:rStyle w:val="Hyperlink"/>
                <w:rFonts w:ascii="Arial" w:hAnsi="Arial" w:cs="Arial"/>
                <w:b/>
                <w:noProof/>
              </w:rPr>
              <w:t>2.</w:t>
            </w:r>
            <w:r w:rsidR="00696016">
              <w:rPr>
                <w:rFonts w:eastAsiaTheme="minorEastAsia"/>
                <w:noProof/>
              </w:rPr>
              <w:tab/>
            </w:r>
            <w:r w:rsidR="00696016" w:rsidRPr="000024BC">
              <w:rPr>
                <w:rStyle w:val="Hyperlink"/>
                <w:rFonts w:ascii="Arial" w:hAnsi="Arial" w:cs="Arial"/>
                <w:b/>
                <w:noProof/>
              </w:rPr>
              <w:t>BACKGROUND</w:t>
            </w:r>
            <w:r w:rsidR="00696016">
              <w:rPr>
                <w:noProof/>
                <w:webHidden/>
              </w:rPr>
              <w:tab/>
            </w:r>
            <w:r w:rsidR="00696016">
              <w:rPr>
                <w:noProof/>
                <w:webHidden/>
              </w:rPr>
              <w:fldChar w:fldCharType="begin"/>
            </w:r>
            <w:r w:rsidR="00696016">
              <w:rPr>
                <w:noProof/>
                <w:webHidden/>
              </w:rPr>
              <w:instrText xml:space="preserve"> PAGEREF _Toc22370806 \h </w:instrText>
            </w:r>
            <w:r w:rsidR="00696016">
              <w:rPr>
                <w:noProof/>
                <w:webHidden/>
              </w:rPr>
            </w:r>
            <w:r w:rsidR="00696016">
              <w:rPr>
                <w:noProof/>
                <w:webHidden/>
              </w:rPr>
              <w:fldChar w:fldCharType="separate"/>
            </w:r>
            <w:r w:rsidR="00696016">
              <w:rPr>
                <w:noProof/>
                <w:webHidden/>
              </w:rPr>
              <w:t>3</w:t>
            </w:r>
            <w:r w:rsidR="00696016">
              <w:rPr>
                <w:noProof/>
                <w:webHidden/>
              </w:rPr>
              <w:fldChar w:fldCharType="end"/>
            </w:r>
          </w:hyperlink>
        </w:p>
        <w:p w:rsidR="00696016" w:rsidRDefault="004C3381">
          <w:pPr>
            <w:pStyle w:val="TOC3"/>
            <w:tabs>
              <w:tab w:val="right" w:leader="dot" w:pos="9350"/>
            </w:tabs>
            <w:rPr>
              <w:rFonts w:eastAsiaTheme="minorEastAsia"/>
              <w:noProof/>
            </w:rPr>
          </w:pPr>
          <w:hyperlink w:anchor="_Toc22370807" w:history="1">
            <w:r w:rsidR="00696016" w:rsidRPr="000024BC">
              <w:rPr>
                <w:rStyle w:val="Hyperlink"/>
                <w:rFonts w:ascii="Arial" w:hAnsi="Arial" w:cs="Arial"/>
                <w:b/>
                <w:noProof/>
              </w:rPr>
              <w:t>Context</w:t>
            </w:r>
            <w:r w:rsidR="00696016">
              <w:rPr>
                <w:noProof/>
                <w:webHidden/>
              </w:rPr>
              <w:tab/>
            </w:r>
            <w:r w:rsidR="00696016">
              <w:rPr>
                <w:noProof/>
                <w:webHidden/>
              </w:rPr>
              <w:fldChar w:fldCharType="begin"/>
            </w:r>
            <w:r w:rsidR="00696016">
              <w:rPr>
                <w:noProof/>
                <w:webHidden/>
              </w:rPr>
              <w:instrText xml:space="preserve"> PAGEREF _Toc22370807 \h </w:instrText>
            </w:r>
            <w:r w:rsidR="00696016">
              <w:rPr>
                <w:noProof/>
                <w:webHidden/>
              </w:rPr>
            </w:r>
            <w:r w:rsidR="00696016">
              <w:rPr>
                <w:noProof/>
                <w:webHidden/>
              </w:rPr>
              <w:fldChar w:fldCharType="separate"/>
            </w:r>
            <w:r w:rsidR="00696016">
              <w:rPr>
                <w:noProof/>
                <w:webHidden/>
              </w:rPr>
              <w:t>3</w:t>
            </w:r>
            <w:r w:rsidR="00696016">
              <w:rPr>
                <w:noProof/>
                <w:webHidden/>
              </w:rPr>
              <w:fldChar w:fldCharType="end"/>
            </w:r>
          </w:hyperlink>
        </w:p>
        <w:p w:rsidR="00696016" w:rsidRDefault="004C3381">
          <w:pPr>
            <w:pStyle w:val="TOC3"/>
            <w:tabs>
              <w:tab w:val="right" w:leader="dot" w:pos="9350"/>
            </w:tabs>
            <w:rPr>
              <w:rFonts w:eastAsiaTheme="minorEastAsia"/>
              <w:noProof/>
            </w:rPr>
          </w:pPr>
          <w:hyperlink w:anchor="_Toc22370808" w:history="1">
            <w:r w:rsidR="00696016" w:rsidRPr="000024BC">
              <w:rPr>
                <w:rStyle w:val="Hyperlink"/>
                <w:rFonts w:ascii="Arial" w:hAnsi="Arial" w:cs="Arial"/>
                <w:b/>
                <w:noProof/>
              </w:rPr>
              <w:t>Purpose of this paper</w:t>
            </w:r>
            <w:r w:rsidR="00696016">
              <w:rPr>
                <w:noProof/>
                <w:webHidden/>
              </w:rPr>
              <w:tab/>
            </w:r>
            <w:r w:rsidR="00696016">
              <w:rPr>
                <w:noProof/>
                <w:webHidden/>
              </w:rPr>
              <w:fldChar w:fldCharType="begin"/>
            </w:r>
            <w:r w:rsidR="00696016">
              <w:rPr>
                <w:noProof/>
                <w:webHidden/>
              </w:rPr>
              <w:instrText xml:space="preserve"> PAGEREF _Toc22370808 \h </w:instrText>
            </w:r>
            <w:r w:rsidR="00696016">
              <w:rPr>
                <w:noProof/>
                <w:webHidden/>
              </w:rPr>
            </w:r>
            <w:r w:rsidR="00696016">
              <w:rPr>
                <w:noProof/>
                <w:webHidden/>
              </w:rPr>
              <w:fldChar w:fldCharType="separate"/>
            </w:r>
            <w:r w:rsidR="00696016">
              <w:rPr>
                <w:noProof/>
                <w:webHidden/>
              </w:rPr>
              <w:t>3</w:t>
            </w:r>
            <w:r w:rsidR="00696016">
              <w:rPr>
                <w:noProof/>
                <w:webHidden/>
              </w:rPr>
              <w:fldChar w:fldCharType="end"/>
            </w:r>
          </w:hyperlink>
        </w:p>
        <w:p w:rsidR="00696016" w:rsidRDefault="004C3381">
          <w:pPr>
            <w:pStyle w:val="TOC1"/>
            <w:tabs>
              <w:tab w:val="left" w:pos="440"/>
              <w:tab w:val="right" w:leader="dot" w:pos="9350"/>
            </w:tabs>
            <w:rPr>
              <w:rFonts w:eastAsiaTheme="minorEastAsia"/>
              <w:noProof/>
            </w:rPr>
          </w:pPr>
          <w:hyperlink w:anchor="_Toc22370809" w:history="1">
            <w:r w:rsidR="00696016" w:rsidRPr="000024BC">
              <w:rPr>
                <w:rStyle w:val="Hyperlink"/>
                <w:rFonts w:ascii="Arial" w:hAnsi="Arial" w:cs="Arial"/>
                <w:b/>
                <w:noProof/>
              </w:rPr>
              <w:t>3.</w:t>
            </w:r>
            <w:r w:rsidR="00696016">
              <w:rPr>
                <w:rFonts w:eastAsiaTheme="minorEastAsia"/>
                <w:noProof/>
              </w:rPr>
              <w:tab/>
            </w:r>
            <w:r w:rsidR="00696016" w:rsidRPr="000024BC">
              <w:rPr>
                <w:rStyle w:val="Hyperlink"/>
                <w:rFonts w:ascii="Arial" w:hAnsi="Arial" w:cs="Arial"/>
                <w:b/>
                <w:noProof/>
              </w:rPr>
              <w:t>EXISTING FRAMEWORK - REMITTANCE OF ASSESSED CONTRIBUTIONS</w:t>
            </w:r>
            <w:r w:rsidR="00696016">
              <w:rPr>
                <w:noProof/>
                <w:webHidden/>
              </w:rPr>
              <w:tab/>
            </w:r>
            <w:r w:rsidR="00696016">
              <w:rPr>
                <w:noProof/>
                <w:webHidden/>
              </w:rPr>
              <w:fldChar w:fldCharType="begin"/>
            </w:r>
            <w:r w:rsidR="00696016">
              <w:rPr>
                <w:noProof/>
                <w:webHidden/>
              </w:rPr>
              <w:instrText xml:space="preserve"> PAGEREF _Toc22370809 \h </w:instrText>
            </w:r>
            <w:r w:rsidR="00696016">
              <w:rPr>
                <w:noProof/>
                <w:webHidden/>
              </w:rPr>
            </w:r>
            <w:r w:rsidR="00696016">
              <w:rPr>
                <w:noProof/>
                <w:webHidden/>
              </w:rPr>
              <w:fldChar w:fldCharType="separate"/>
            </w:r>
            <w:r w:rsidR="00696016">
              <w:rPr>
                <w:noProof/>
                <w:webHidden/>
              </w:rPr>
              <w:t>4</w:t>
            </w:r>
            <w:r w:rsidR="00696016">
              <w:rPr>
                <w:noProof/>
                <w:webHidden/>
              </w:rPr>
              <w:fldChar w:fldCharType="end"/>
            </w:r>
          </w:hyperlink>
        </w:p>
        <w:p w:rsidR="00696016" w:rsidRDefault="004C3381">
          <w:pPr>
            <w:pStyle w:val="TOC3"/>
            <w:tabs>
              <w:tab w:val="left" w:pos="1100"/>
              <w:tab w:val="right" w:leader="dot" w:pos="9350"/>
            </w:tabs>
            <w:rPr>
              <w:rFonts w:eastAsiaTheme="minorEastAsia"/>
              <w:noProof/>
            </w:rPr>
          </w:pPr>
          <w:hyperlink w:anchor="_Toc22370810" w:history="1">
            <w:r w:rsidR="00696016" w:rsidRPr="000024BC">
              <w:rPr>
                <w:rStyle w:val="Hyperlink"/>
                <w:rFonts w:ascii="Arial" w:hAnsi="Arial" w:cs="Arial"/>
                <w:noProof/>
              </w:rPr>
              <w:t>3.1</w:t>
            </w:r>
            <w:r w:rsidR="00696016">
              <w:rPr>
                <w:rFonts w:eastAsiaTheme="minorEastAsia"/>
                <w:noProof/>
              </w:rPr>
              <w:tab/>
            </w:r>
            <w:r w:rsidR="00696016" w:rsidRPr="000024BC">
              <w:rPr>
                <w:rStyle w:val="Hyperlink"/>
                <w:rFonts w:ascii="Arial" w:hAnsi="Arial" w:cs="Arial"/>
                <w:b/>
                <w:noProof/>
              </w:rPr>
              <w:t>Treaty Provisions</w:t>
            </w:r>
            <w:r w:rsidR="00696016">
              <w:rPr>
                <w:noProof/>
                <w:webHidden/>
              </w:rPr>
              <w:tab/>
            </w:r>
            <w:r w:rsidR="00696016">
              <w:rPr>
                <w:noProof/>
                <w:webHidden/>
              </w:rPr>
              <w:fldChar w:fldCharType="begin"/>
            </w:r>
            <w:r w:rsidR="00696016">
              <w:rPr>
                <w:noProof/>
                <w:webHidden/>
              </w:rPr>
              <w:instrText xml:space="preserve"> PAGEREF _Toc22370810 \h </w:instrText>
            </w:r>
            <w:r w:rsidR="00696016">
              <w:rPr>
                <w:noProof/>
                <w:webHidden/>
              </w:rPr>
            </w:r>
            <w:r w:rsidR="00696016">
              <w:rPr>
                <w:noProof/>
                <w:webHidden/>
              </w:rPr>
              <w:fldChar w:fldCharType="separate"/>
            </w:r>
            <w:r w:rsidR="00696016">
              <w:rPr>
                <w:noProof/>
                <w:webHidden/>
              </w:rPr>
              <w:t>4</w:t>
            </w:r>
            <w:r w:rsidR="00696016">
              <w:rPr>
                <w:noProof/>
                <w:webHidden/>
              </w:rPr>
              <w:fldChar w:fldCharType="end"/>
            </w:r>
          </w:hyperlink>
        </w:p>
        <w:p w:rsidR="00696016" w:rsidRDefault="004C3381">
          <w:pPr>
            <w:pStyle w:val="TOC3"/>
            <w:tabs>
              <w:tab w:val="left" w:pos="1100"/>
              <w:tab w:val="right" w:leader="dot" w:pos="9350"/>
            </w:tabs>
            <w:rPr>
              <w:rFonts w:eastAsiaTheme="minorEastAsia"/>
              <w:noProof/>
            </w:rPr>
          </w:pPr>
          <w:hyperlink w:anchor="_Toc22370811" w:history="1">
            <w:r w:rsidR="00696016" w:rsidRPr="000024BC">
              <w:rPr>
                <w:rStyle w:val="Hyperlink"/>
                <w:rFonts w:ascii="Arial" w:hAnsi="Arial" w:cs="Arial"/>
                <w:b/>
                <w:noProof/>
              </w:rPr>
              <w:t>3.2</w:t>
            </w:r>
            <w:r w:rsidR="00696016">
              <w:rPr>
                <w:rFonts w:eastAsiaTheme="minorEastAsia"/>
                <w:noProof/>
              </w:rPr>
              <w:tab/>
            </w:r>
            <w:r w:rsidR="00696016" w:rsidRPr="000024BC">
              <w:rPr>
                <w:rStyle w:val="Hyperlink"/>
                <w:rFonts w:ascii="Arial" w:hAnsi="Arial" w:cs="Arial"/>
                <w:b/>
                <w:noProof/>
              </w:rPr>
              <w:t>Decisions of the Authority</w:t>
            </w:r>
            <w:r w:rsidR="00696016">
              <w:rPr>
                <w:noProof/>
                <w:webHidden/>
              </w:rPr>
              <w:tab/>
            </w:r>
            <w:r w:rsidR="00696016">
              <w:rPr>
                <w:noProof/>
                <w:webHidden/>
              </w:rPr>
              <w:fldChar w:fldCharType="begin"/>
            </w:r>
            <w:r w:rsidR="00696016">
              <w:rPr>
                <w:noProof/>
                <w:webHidden/>
              </w:rPr>
              <w:instrText xml:space="preserve"> PAGEREF _Toc22370811 \h </w:instrText>
            </w:r>
            <w:r w:rsidR="00696016">
              <w:rPr>
                <w:noProof/>
                <w:webHidden/>
              </w:rPr>
            </w:r>
            <w:r w:rsidR="00696016">
              <w:rPr>
                <w:noProof/>
                <w:webHidden/>
              </w:rPr>
              <w:fldChar w:fldCharType="separate"/>
            </w:r>
            <w:r w:rsidR="00696016">
              <w:rPr>
                <w:noProof/>
                <w:webHidden/>
              </w:rPr>
              <w:t>4</w:t>
            </w:r>
            <w:r w:rsidR="00696016">
              <w:rPr>
                <w:noProof/>
                <w:webHidden/>
              </w:rPr>
              <w:fldChar w:fldCharType="end"/>
            </w:r>
          </w:hyperlink>
        </w:p>
        <w:p w:rsidR="00696016" w:rsidRDefault="004C3381">
          <w:pPr>
            <w:pStyle w:val="TOC3"/>
            <w:tabs>
              <w:tab w:val="left" w:pos="1100"/>
              <w:tab w:val="right" w:leader="dot" w:pos="9350"/>
            </w:tabs>
            <w:rPr>
              <w:rFonts w:eastAsiaTheme="minorEastAsia"/>
              <w:noProof/>
            </w:rPr>
          </w:pPr>
          <w:hyperlink w:anchor="_Toc22370812" w:history="1">
            <w:r w:rsidR="00696016" w:rsidRPr="000024BC">
              <w:rPr>
                <w:rStyle w:val="Hyperlink"/>
                <w:rFonts w:ascii="Arial" w:hAnsi="Arial" w:cs="Arial"/>
                <w:b/>
                <w:noProof/>
              </w:rPr>
              <w:t>3.3</w:t>
            </w:r>
            <w:r w:rsidR="00696016">
              <w:rPr>
                <w:rFonts w:eastAsiaTheme="minorEastAsia"/>
                <w:noProof/>
              </w:rPr>
              <w:tab/>
            </w:r>
            <w:r w:rsidR="00696016" w:rsidRPr="000024BC">
              <w:rPr>
                <w:rStyle w:val="Hyperlink"/>
                <w:rFonts w:ascii="Arial" w:hAnsi="Arial" w:cs="Arial"/>
                <w:b/>
                <w:noProof/>
              </w:rPr>
              <w:t>Relevant Financial Rules, Regulations and Debtors Policy</w:t>
            </w:r>
            <w:r w:rsidR="00696016">
              <w:rPr>
                <w:noProof/>
                <w:webHidden/>
              </w:rPr>
              <w:tab/>
            </w:r>
            <w:r w:rsidR="00696016">
              <w:rPr>
                <w:noProof/>
                <w:webHidden/>
              </w:rPr>
              <w:fldChar w:fldCharType="begin"/>
            </w:r>
            <w:r w:rsidR="00696016">
              <w:rPr>
                <w:noProof/>
                <w:webHidden/>
              </w:rPr>
              <w:instrText xml:space="preserve"> PAGEREF _Toc22370812 \h </w:instrText>
            </w:r>
            <w:r w:rsidR="00696016">
              <w:rPr>
                <w:noProof/>
                <w:webHidden/>
              </w:rPr>
            </w:r>
            <w:r w:rsidR="00696016">
              <w:rPr>
                <w:noProof/>
                <w:webHidden/>
              </w:rPr>
              <w:fldChar w:fldCharType="separate"/>
            </w:r>
            <w:r w:rsidR="00696016">
              <w:rPr>
                <w:noProof/>
                <w:webHidden/>
              </w:rPr>
              <w:t>5</w:t>
            </w:r>
            <w:r w:rsidR="00696016">
              <w:rPr>
                <w:noProof/>
                <w:webHidden/>
              </w:rPr>
              <w:fldChar w:fldCharType="end"/>
            </w:r>
          </w:hyperlink>
        </w:p>
        <w:p w:rsidR="00696016" w:rsidRDefault="004C3381">
          <w:pPr>
            <w:pStyle w:val="TOC1"/>
            <w:tabs>
              <w:tab w:val="left" w:pos="440"/>
              <w:tab w:val="right" w:leader="dot" w:pos="9350"/>
            </w:tabs>
            <w:rPr>
              <w:rFonts w:eastAsiaTheme="minorEastAsia"/>
              <w:noProof/>
            </w:rPr>
          </w:pPr>
          <w:hyperlink w:anchor="_Toc22370813" w:history="1">
            <w:r w:rsidR="00696016" w:rsidRPr="000024BC">
              <w:rPr>
                <w:rStyle w:val="Hyperlink"/>
                <w:rFonts w:ascii="Arial" w:hAnsi="Arial" w:cs="Arial"/>
                <w:b/>
                <w:noProof/>
              </w:rPr>
              <w:t>4.</w:t>
            </w:r>
            <w:r w:rsidR="00696016">
              <w:rPr>
                <w:rFonts w:eastAsiaTheme="minorEastAsia"/>
                <w:noProof/>
              </w:rPr>
              <w:tab/>
            </w:r>
            <w:r w:rsidR="00696016" w:rsidRPr="000024BC">
              <w:rPr>
                <w:rStyle w:val="Hyperlink"/>
                <w:rFonts w:ascii="Arial" w:hAnsi="Arial" w:cs="Arial"/>
                <w:b/>
                <w:noProof/>
              </w:rPr>
              <w:t>LAST REVIEW AND DIRECTION OF COMESA POLICY ORGANS</w:t>
            </w:r>
            <w:r w:rsidR="00696016">
              <w:rPr>
                <w:noProof/>
                <w:webHidden/>
              </w:rPr>
              <w:tab/>
            </w:r>
            <w:r w:rsidR="00696016">
              <w:rPr>
                <w:noProof/>
                <w:webHidden/>
              </w:rPr>
              <w:fldChar w:fldCharType="begin"/>
            </w:r>
            <w:r w:rsidR="00696016">
              <w:rPr>
                <w:noProof/>
                <w:webHidden/>
              </w:rPr>
              <w:instrText xml:space="preserve"> PAGEREF _Toc22370813 \h </w:instrText>
            </w:r>
            <w:r w:rsidR="00696016">
              <w:rPr>
                <w:noProof/>
                <w:webHidden/>
              </w:rPr>
            </w:r>
            <w:r w:rsidR="00696016">
              <w:rPr>
                <w:noProof/>
                <w:webHidden/>
              </w:rPr>
              <w:fldChar w:fldCharType="separate"/>
            </w:r>
            <w:r w:rsidR="00696016">
              <w:rPr>
                <w:noProof/>
                <w:webHidden/>
              </w:rPr>
              <w:t>5</w:t>
            </w:r>
            <w:r w:rsidR="00696016">
              <w:rPr>
                <w:noProof/>
                <w:webHidden/>
              </w:rPr>
              <w:fldChar w:fldCharType="end"/>
            </w:r>
          </w:hyperlink>
        </w:p>
        <w:p w:rsidR="00696016" w:rsidRDefault="004C3381">
          <w:pPr>
            <w:pStyle w:val="TOC3"/>
            <w:tabs>
              <w:tab w:val="left" w:pos="1100"/>
              <w:tab w:val="right" w:leader="dot" w:pos="9350"/>
            </w:tabs>
            <w:rPr>
              <w:rFonts w:eastAsiaTheme="minorEastAsia"/>
              <w:noProof/>
            </w:rPr>
          </w:pPr>
          <w:hyperlink w:anchor="_Toc22370814" w:history="1">
            <w:r w:rsidR="00696016" w:rsidRPr="000024BC">
              <w:rPr>
                <w:rStyle w:val="Hyperlink"/>
                <w:rFonts w:ascii="Arial" w:hAnsi="Arial" w:cs="Arial"/>
                <w:b/>
                <w:noProof/>
              </w:rPr>
              <w:t>4.1</w:t>
            </w:r>
            <w:r w:rsidR="00696016">
              <w:rPr>
                <w:rFonts w:eastAsiaTheme="minorEastAsia"/>
                <w:noProof/>
              </w:rPr>
              <w:tab/>
            </w:r>
            <w:r w:rsidR="00696016" w:rsidRPr="000024BC">
              <w:rPr>
                <w:rStyle w:val="Hyperlink"/>
                <w:rFonts w:ascii="Arial" w:hAnsi="Arial" w:cs="Arial"/>
                <w:b/>
                <w:noProof/>
              </w:rPr>
              <w:t>COMESA Authority of Heads of State and Government (July-2018)</w:t>
            </w:r>
            <w:r w:rsidR="00696016">
              <w:rPr>
                <w:noProof/>
                <w:webHidden/>
              </w:rPr>
              <w:tab/>
            </w:r>
            <w:r w:rsidR="00696016">
              <w:rPr>
                <w:noProof/>
                <w:webHidden/>
              </w:rPr>
              <w:fldChar w:fldCharType="begin"/>
            </w:r>
            <w:r w:rsidR="00696016">
              <w:rPr>
                <w:noProof/>
                <w:webHidden/>
              </w:rPr>
              <w:instrText xml:space="preserve"> PAGEREF _Toc22370814 \h </w:instrText>
            </w:r>
            <w:r w:rsidR="00696016">
              <w:rPr>
                <w:noProof/>
                <w:webHidden/>
              </w:rPr>
            </w:r>
            <w:r w:rsidR="00696016">
              <w:rPr>
                <w:noProof/>
                <w:webHidden/>
              </w:rPr>
              <w:fldChar w:fldCharType="separate"/>
            </w:r>
            <w:r w:rsidR="00696016">
              <w:rPr>
                <w:noProof/>
                <w:webHidden/>
              </w:rPr>
              <w:t>5</w:t>
            </w:r>
            <w:r w:rsidR="00696016">
              <w:rPr>
                <w:noProof/>
                <w:webHidden/>
              </w:rPr>
              <w:fldChar w:fldCharType="end"/>
            </w:r>
          </w:hyperlink>
        </w:p>
        <w:p w:rsidR="00696016" w:rsidRDefault="004C3381">
          <w:pPr>
            <w:pStyle w:val="TOC3"/>
            <w:tabs>
              <w:tab w:val="left" w:pos="1100"/>
              <w:tab w:val="right" w:leader="dot" w:pos="9350"/>
            </w:tabs>
            <w:rPr>
              <w:rFonts w:eastAsiaTheme="minorEastAsia"/>
              <w:noProof/>
            </w:rPr>
          </w:pPr>
          <w:hyperlink w:anchor="_Toc22370815" w:history="1">
            <w:r w:rsidR="00696016" w:rsidRPr="000024BC">
              <w:rPr>
                <w:rStyle w:val="Hyperlink"/>
                <w:rFonts w:ascii="Arial" w:hAnsi="Arial" w:cs="Arial"/>
                <w:b/>
                <w:noProof/>
              </w:rPr>
              <w:t>4.2</w:t>
            </w:r>
            <w:r w:rsidR="00696016">
              <w:rPr>
                <w:rFonts w:eastAsiaTheme="minorEastAsia"/>
                <w:noProof/>
              </w:rPr>
              <w:tab/>
            </w:r>
            <w:r w:rsidR="00696016" w:rsidRPr="000024BC">
              <w:rPr>
                <w:rStyle w:val="Hyperlink"/>
                <w:rFonts w:ascii="Arial" w:hAnsi="Arial" w:cs="Arial"/>
                <w:b/>
                <w:noProof/>
              </w:rPr>
              <w:t>COMESA Council of Ministers (April 2019)</w:t>
            </w:r>
            <w:r w:rsidR="00696016">
              <w:rPr>
                <w:noProof/>
                <w:webHidden/>
              </w:rPr>
              <w:tab/>
            </w:r>
            <w:r w:rsidR="00696016">
              <w:rPr>
                <w:noProof/>
                <w:webHidden/>
              </w:rPr>
              <w:fldChar w:fldCharType="begin"/>
            </w:r>
            <w:r w:rsidR="00696016">
              <w:rPr>
                <w:noProof/>
                <w:webHidden/>
              </w:rPr>
              <w:instrText xml:space="preserve"> PAGEREF _Toc22370815 \h </w:instrText>
            </w:r>
            <w:r w:rsidR="00696016">
              <w:rPr>
                <w:noProof/>
                <w:webHidden/>
              </w:rPr>
            </w:r>
            <w:r w:rsidR="00696016">
              <w:rPr>
                <w:noProof/>
                <w:webHidden/>
              </w:rPr>
              <w:fldChar w:fldCharType="separate"/>
            </w:r>
            <w:r w:rsidR="00696016">
              <w:rPr>
                <w:noProof/>
                <w:webHidden/>
              </w:rPr>
              <w:t>6</w:t>
            </w:r>
            <w:r w:rsidR="00696016">
              <w:rPr>
                <w:noProof/>
                <w:webHidden/>
              </w:rPr>
              <w:fldChar w:fldCharType="end"/>
            </w:r>
          </w:hyperlink>
        </w:p>
        <w:p w:rsidR="00696016" w:rsidRDefault="004C3381">
          <w:pPr>
            <w:pStyle w:val="TOC1"/>
            <w:tabs>
              <w:tab w:val="left" w:pos="440"/>
              <w:tab w:val="right" w:leader="dot" w:pos="9350"/>
            </w:tabs>
            <w:rPr>
              <w:rFonts w:eastAsiaTheme="minorEastAsia"/>
              <w:noProof/>
            </w:rPr>
          </w:pPr>
          <w:hyperlink w:anchor="_Toc22370816" w:history="1">
            <w:r w:rsidR="00696016" w:rsidRPr="000024BC">
              <w:rPr>
                <w:rStyle w:val="Hyperlink"/>
                <w:rFonts w:ascii="Arial" w:hAnsi="Arial" w:cs="Arial"/>
                <w:b/>
                <w:noProof/>
              </w:rPr>
              <w:t>5.</w:t>
            </w:r>
            <w:r w:rsidR="00696016">
              <w:rPr>
                <w:rFonts w:eastAsiaTheme="minorEastAsia"/>
                <w:noProof/>
              </w:rPr>
              <w:tab/>
            </w:r>
            <w:r w:rsidR="00696016" w:rsidRPr="000024BC">
              <w:rPr>
                <w:rStyle w:val="Hyperlink"/>
                <w:rFonts w:ascii="Arial" w:hAnsi="Arial" w:cs="Arial"/>
                <w:b/>
                <w:noProof/>
              </w:rPr>
              <w:t>REVIEW OF THE PERFORMANCE AND TREND REGARDING ASSESSED CONTRIBUTIONS REMITTANCE</w:t>
            </w:r>
            <w:r w:rsidR="00696016">
              <w:rPr>
                <w:noProof/>
                <w:webHidden/>
              </w:rPr>
              <w:tab/>
            </w:r>
            <w:r w:rsidR="00696016">
              <w:rPr>
                <w:noProof/>
                <w:webHidden/>
              </w:rPr>
              <w:fldChar w:fldCharType="begin"/>
            </w:r>
            <w:r w:rsidR="00696016">
              <w:rPr>
                <w:noProof/>
                <w:webHidden/>
              </w:rPr>
              <w:instrText xml:space="preserve"> PAGEREF _Toc22370816 \h </w:instrText>
            </w:r>
            <w:r w:rsidR="00696016">
              <w:rPr>
                <w:noProof/>
                <w:webHidden/>
              </w:rPr>
            </w:r>
            <w:r w:rsidR="00696016">
              <w:rPr>
                <w:noProof/>
                <w:webHidden/>
              </w:rPr>
              <w:fldChar w:fldCharType="separate"/>
            </w:r>
            <w:r w:rsidR="00696016">
              <w:rPr>
                <w:noProof/>
                <w:webHidden/>
              </w:rPr>
              <w:t>8</w:t>
            </w:r>
            <w:r w:rsidR="00696016">
              <w:rPr>
                <w:noProof/>
                <w:webHidden/>
              </w:rPr>
              <w:fldChar w:fldCharType="end"/>
            </w:r>
          </w:hyperlink>
        </w:p>
        <w:p w:rsidR="00696016" w:rsidRDefault="004C3381">
          <w:pPr>
            <w:pStyle w:val="TOC3"/>
            <w:tabs>
              <w:tab w:val="left" w:pos="1100"/>
              <w:tab w:val="right" w:leader="dot" w:pos="9350"/>
            </w:tabs>
            <w:rPr>
              <w:rFonts w:eastAsiaTheme="minorEastAsia"/>
              <w:noProof/>
            </w:rPr>
          </w:pPr>
          <w:hyperlink w:anchor="_Toc22370817" w:history="1">
            <w:r w:rsidR="00696016" w:rsidRPr="000024BC">
              <w:rPr>
                <w:rStyle w:val="Hyperlink"/>
                <w:rFonts w:ascii="Arial" w:hAnsi="Arial" w:cs="Arial"/>
                <w:b/>
                <w:noProof/>
              </w:rPr>
              <w:t>5.1</w:t>
            </w:r>
            <w:r w:rsidR="00696016">
              <w:rPr>
                <w:rFonts w:eastAsiaTheme="minorEastAsia"/>
                <w:noProof/>
              </w:rPr>
              <w:tab/>
            </w:r>
            <w:r w:rsidR="00696016" w:rsidRPr="000024BC">
              <w:rPr>
                <w:rStyle w:val="Hyperlink"/>
                <w:rFonts w:ascii="Arial" w:hAnsi="Arial" w:cs="Arial"/>
                <w:b/>
                <w:noProof/>
              </w:rPr>
              <w:t>Outstanding assessed contribution as at 30 September 2019</w:t>
            </w:r>
            <w:r w:rsidR="00696016">
              <w:rPr>
                <w:noProof/>
                <w:webHidden/>
              </w:rPr>
              <w:tab/>
            </w:r>
            <w:r w:rsidR="00696016">
              <w:rPr>
                <w:noProof/>
                <w:webHidden/>
              </w:rPr>
              <w:fldChar w:fldCharType="begin"/>
            </w:r>
            <w:r w:rsidR="00696016">
              <w:rPr>
                <w:noProof/>
                <w:webHidden/>
              </w:rPr>
              <w:instrText xml:space="preserve"> PAGEREF _Toc22370817 \h </w:instrText>
            </w:r>
            <w:r w:rsidR="00696016">
              <w:rPr>
                <w:noProof/>
                <w:webHidden/>
              </w:rPr>
            </w:r>
            <w:r w:rsidR="00696016">
              <w:rPr>
                <w:noProof/>
                <w:webHidden/>
              </w:rPr>
              <w:fldChar w:fldCharType="separate"/>
            </w:r>
            <w:r w:rsidR="00696016">
              <w:rPr>
                <w:noProof/>
                <w:webHidden/>
              </w:rPr>
              <w:t>8</w:t>
            </w:r>
            <w:r w:rsidR="00696016">
              <w:rPr>
                <w:noProof/>
                <w:webHidden/>
              </w:rPr>
              <w:fldChar w:fldCharType="end"/>
            </w:r>
          </w:hyperlink>
        </w:p>
        <w:p w:rsidR="00696016" w:rsidRDefault="004C3381">
          <w:pPr>
            <w:pStyle w:val="TOC3"/>
            <w:tabs>
              <w:tab w:val="left" w:pos="1100"/>
              <w:tab w:val="right" w:leader="dot" w:pos="9350"/>
            </w:tabs>
            <w:rPr>
              <w:rFonts w:eastAsiaTheme="minorEastAsia"/>
              <w:noProof/>
            </w:rPr>
          </w:pPr>
          <w:hyperlink w:anchor="_Toc22370818" w:history="1">
            <w:r w:rsidR="00696016" w:rsidRPr="000024BC">
              <w:rPr>
                <w:rStyle w:val="Hyperlink"/>
                <w:rFonts w:ascii="Arial" w:hAnsi="Arial" w:cs="Arial"/>
                <w:b/>
                <w:noProof/>
              </w:rPr>
              <w:t>5.2</w:t>
            </w:r>
            <w:r w:rsidR="00696016">
              <w:rPr>
                <w:rFonts w:eastAsiaTheme="minorEastAsia"/>
                <w:noProof/>
              </w:rPr>
              <w:tab/>
            </w:r>
            <w:r w:rsidR="00696016" w:rsidRPr="000024BC">
              <w:rPr>
                <w:rStyle w:val="Hyperlink"/>
                <w:rFonts w:ascii="Arial" w:hAnsi="Arial" w:cs="Arial"/>
                <w:b/>
                <w:noProof/>
              </w:rPr>
              <w:t>Trend over the years</w:t>
            </w:r>
            <w:r w:rsidR="00696016">
              <w:rPr>
                <w:noProof/>
                <w:webHidden/>
              </w:rPr>
              <w:tab/>
            </w:r>
            <w:r w:rsidR="00696016">
              <w:rPr>
                <w:noProof/>
                <w:webHidden/>
              </w:rPr>
              <w:fldChar w:fldCharType="begin"/>
            </w:r>
            <w:r w:rsidR="00696016">
              <w:rPr>
                <w:noProof/>
                <w:webHidden/>
              </w:rPr>
              <w:instrText xml:space="preserve"> PAGEREF _Toc22370818 \h </w:instrText>
            </w:r>
            <w:r w:rsidR="00696016">
              <w:rPr>
                <w:noProof/>
                <w:webHidden/>
              </w:rPr>
            </w:r>
            <w:r w:rsidR="00696016">
              <w:rPr>
                <w:noProof/>
                <w:webHidden/>
              </w:rPr>
              <w:fldChar w:fldCharType="separate"/>
            </w:r>
            <w:r w:rsidR="00696016">
              <w:rPr>
                <w:noProof/>
                <w:webHidden/>
              </w:rPr>
              <w:t>9</w:t>
            </w:r>
            <w:r w:rsidR="00696016">
              <w:rPr>
                <w:noProof/>
                <w:webHidden/>
              </w:rPr>
              <w:fldChar w:fldCharType="end"/>
            </w:r>
          </w:hyperlink>
        </w:p>
        <w:p w:rsidR="00696016" w:rsidRDefault="004C3381">
          <w:pPr>
            <w:pStyle w:val="TOC1"/>
            <w:tabs>
              <w:tab w:val="left" w:pos="440"/>
              <w:tab w:val="right" w:leader="dot" w:pos="9350"/>
            </w:tabs>
            <w:rPr>
              <w:rFonts w:eastAsiaTheme="minorEastAsia"/>
              <w:noProof/>
            </w:rPr>
          </w:pPr>
          <w:hyperlink w:anchor="_Toc22370819" w:history="1">
            <w:r w:rsidR="00696016" w:rsidRPr="000024BC">
              <w:rPr>
                <w:rStyle w:val="Hyperlink"/>
                <w:noProof/>
              </w:rPr>
              <w:t>6.</w:t>
            </w:r>
            <w:r w:rsidR="00696016">
              <w:rPr>
                <w:rFonts w:eastAsiaTheme="minorEastAsia"/>
                <w:noProof/>
              </w:rPr>
              <w:tab/>
            </w:r>
            <w:r w:rsidR="00696016" w:rsidRPr="000024BC">
              <w:rPr>
                <w:rStyle w:val="Hyperlink"/>
                <w:rFonts w:ascii="Arial" w:hAnsi="Arial" w:cs="Arial"/>
                <w:b/>
                <w:noProof/>
              </w:rPr>
              <w:t>COMPARABLE RECs</w:t>
            </w:r>
            <w:r w:rsidR="00696016">
              <w:rPr>
                <w:noProof/>
                <w:webHidden/>
              </w:rPr>
              <w:tab/>
            </w:r>
            <w:r w:rsidR="00696016">
              <w:rPr>
                <w:noProof/>
                <w:webHidden/>
              </w:rPr>
              <w:fldChar w:fldCharType="begin"/>
            </w:r>
            <w:r w:rsidR="00696016">
              <w:rPr>
                <w:noProof/>
                <w:webHidden/>
              </w:rPr>
              <w:instrText xml:space="preserve"> PAGEREF _Toc22370819 \h </w:instrText>
            </w:r>
            <w:r w:rsidR="00696016">
              <w:rPr>
                <w:noProof/>
                <w:webHidden/>
              </w:rPr>
            </w:r>
            <w:r w:rsidR="00696016">
              <w:rPr>
                <w:noProof/>
                <w:webHidden/>
              </w:rPr>
              <w:fldChar w:fldCharType="separate"/>
            </w:r>
            <w:r w:rsidR="00696016">
              <w:rPr>
                <w:noProof/>
                <w:webHidden/>
              </w:rPr>
              <w:t>11</w:t>
            </w:r>
            <w:r w:rsidR="00696016">
              <w:rPr>
                <w:noProof/>
                <w:webHidden/>
              </w:rPr>
              <w:fldChar w:fldCharType="end"/>
            </w:r>
          </w:hyperlink>
        </w:p>
        <w:p w:rsidR="00696016" w:rsidRDefault="004C3381">
          <w:pPr>
            <w:pStyle w:val="TOC1"/>
            <w:tabs>
              <w:tab w:val="left" w:pos="440"/>
              <w:tab w:val="right" w:leader="dot" w:pos="9350"/>
            </w:tabs>
            <w:rPr>
              <w:rFonts w:eastAsiaTheme="minorEastAsia"/>
              <w:noProof/>
            </w:rPr>
          </w:pPr>
          <w:hyperlink w:anchor="_Toc22370820" w:history="1">
            <w:r w:rsidR="00696016" w:rsidRPr="000024BC">
              <w:rPr>
                <w:rStyle w:val="Hyperlink"/>
                <w:rFonts w:ascii="Arial" w:hAnsi="Arial" w:cs="Arial"/>
                <w:b/>
                <w:noProof/>
              </w:rPr>
              <w:t>7.</w:t>
            </w:r>
            <w:r w:rsidR="00696016">
              <w:rPr>
                <w:rFonts w:eastAsiaTheme="minorEastAsia"/>
                <w:noProof/>
              </w:rPr>
              <w:tab/>
            </w:r>
            <w:r w:rsidR="00696016" w:rsidRPr="000024BC">
              <w:rPr>
                <w:rStyle w:val="Hyperlink"/>
                <w:rFonts w:ascii="Arial" w:hAnsi="Arial" w:cs="Arial"/>
                <w:b/>
                <w:noProof/>
              </w:rPr>
              <w:t>SUBMISSION TO MINISTERS RESPONSIBLE FOR FINANCE</w:t>
            </w:r>
            <w:r w:rsidR="00696016">
              <w:rPr>
                <w:noProof/>
                <w:webHidden/>
              </w:rPr>
              <w:tab/>
            </w:r>
            <w:r w:rsidR="00696016">
              <w:rPr>
                <w:noProof/>
                <w:webHidden/>
              </w:rPr>
              <w:fldChar w:fldCharType="begin"/>
            </w:r>
            <w:r w:rsidR="00696016">
              <w:rPr>
                <w:noProof/>
                <w:webHidden/>
              </w:rPr>
              <w:instrText xml:space="preserve"> PAGEREF _Toc22370820 \h </w:instrText>
            </w:r>
            <w:r w:rsidR="00696016">
              <w:rPr>
                <w:noProof/>
                <w:webHidden/>
              </w:rPr>
            </w:r>
            <w:r w:rsidR="00696016">
              <w:rPr>
                <w:noProof/>
                <w:webHidden/>
              </w:rPr>
              <w:fldChar w:fldCharType="separate"/>
            </w:r>
            <w:r w:rsidR="00696016">
              <w:rPr>
                <w:noProof/>
                <w:webHidden/>
              </w:rPr>
              <w:t>13</w:t>
            </w:r>
            <w:r w:rsidR="00696016">
              <w:rPr>
                <w:noProof/>
                <w:webHidden/>
              </w:rPr>
              <w:fldChar w:fldCharType="end"/>
            </w:r>
          </w:hyperlink>
        </w:p>
        <w:p w:rsidR="00696016" w:rsidRDefault="004C3381">
          <w:pPr>
            <w:pStyle w:val="TOC1"/>
            <w:tabs>
              <w:tab w:val="left" w:pos="440"/>
              <w:tab w:val="right" w:leader="dot" w:pos="9350"/>
            </w:tabs>
            <w:rPr>
              <w:rFonts w:eastAsiaTheme="minorEastAsia"/>
              <w:noProof/>
            </w:rPr>
          </w:pPr>
          <w:hyperlink w:anchor="_Toc22370821" w:history="1">
            <w:r w:rsidR="00696016" w:rsidRPr="000024BC">
              <w:rPr>
                <w:rStyle w:val="Hyperlink"/>
                <w:rFonts w:ascii="Arial" w:hAnsi="Arial" w:cs="Arial"/>
                <w:b/>
                <w:noProof/>
              </w:rPr>
              <w:t>8.</w:t>
            </w:r>
            <w:r w:rsidR="00696016">
              <w:rPr>
                <w:rFonts w:eastAsiaTheme="minorEastAsia"/>
                <w:noProof/>
              </w:rPr>
              <w:tab/>
            </w:r>
            <w:r w:rsidR="00696016" w:rsidRPr="000024BC">
              <w:rPr>
                <w:rStyle w:val="Hyperlink"/>
                <w:rFonts w:ascii="Arial" w:hAnsi="Arial" w:cs="Arial"/>
                <w:b/>
                <w:noProof/>
              </w:rPr>
              <w:t>RECOMMENDATIONS</w:t>
            </w:r>
            <w:r w:rsidR="00696016">
              <w:rPr>
                <w:noProof/>
                <w:webHidden/>
              </w:rPr>
              <w:tab/>
            </w:r>
            <w:r w:rsidR="00696016">
              <w:rPr>
                <w:noProof/>
                <w:webHidden/>
              </w:rPr>
              <w:fldChar w:fldCharType="begin"/>
            </w:r>
            <w:r w:rsidR="00696016">
              <w:rPr>
                <w:noProof/>
                <w:webHidden/>
              </w:rPr>
              <w:instrText xml:space="preserve"> PAGEREF _Toc22370821 \h </w:instrText>
            </w:r>
            <w:r w:rsidR="00696016">
              <w:rPr>
                <w:noProof/>
                <w:webHidden/>
              </w:rPr>
            </w:r>
            <w:r w:rsidR="00696016">
              <w:rPr>
                <w:noProof/>
                <w:webHidden/>
              </w:rPr>
              <w:fldChar w:fldCharType="separate"/>
            </w:r>
            <w:r w:rsidR="00696016">
              <w:rPr>
                <w:noProof/>
                <w:webHidden/>
              </w:rPr>
              <w:t>13</w:t>
            </w:r>
            <w:r w:rsidR="00696016">
              <w:rPr>
                <w:noProof/>
                <w:webHidden/>
              </w:rPr>
              <w:fldChar w:fldCharType="end"/>
            </w:r>
          </w:hyperlink>
        </w:p>
        <w:p w:rsidR="00696016" w:rsidRDefault="004C3381">
          <w:pPr>
            <w:pStyle w:val="TOC3"/>
            <w:tabs>
              <w:tab w:val="left" w:pos="1100"/>
              <w:tab w:val="right" w:leader="dot" w:pos="9350"/>
            </w:tabs>
            <w:rPr>
              <w:rFonts w:eastAsiaTheme="minorEastAsia"/>
              <w:noProof/>
            </w:rPr>
          </w:pPr>
          <w:hyperlink w:anchor="_Toc22370822" w:history="1">
            <w:r w:rsidR="00696016" w:rsidRPr="000024BC">
              <w:rPr>
                <w:rStyle w:val="Hyperlink"/>
                <w:rFonts w:ascii="Arial" w:hAnsi="Arial" w:cs="Arial"/>
                <w:b/>
                <w:noProof/>
              </w:rPr>
              <w:t>8.1</w:t>
            </w:r>
            <w:r w:rsidR="00696016">
              <w:rPr>
                <w:rFonts w:eastAsiaTheme="minorEastAsia"/>
                <w:noProof/>
              </w:rPr>
              <w:tab/>
            </w:r>
            <w:r w:rsidR="00696016" w:rsidRPr="000024BC">
              <w:rPr>
                <w:rStyle w:val="Hyperlink"/>
                <w:rFonts w:ascii="Arial" w:hAnsi="Arial" w:cs="Arial"/>
                <w:b/>
                <w:noProof/>
              </w:rPr>
              <w:t>2019 Receipts</w:t>
            </w:r>
            <w:r w:rsidR="00696016">
              <w:rPr>
                <w:noProof/>
                <w:webHidden/>
              </w:rPr>
              <w:tab/>
            </w:r>
            <w:r w:rsidR="00696016">
              <w:rPr>
                <w:noProof/>
                <w:webHidden/>
              </w:rPr>
              <w:fldChar w:fldCharType="begin"/>
            </w:r>
            <w:r w:rsidR="00696016">
              <w:rPr>
                <w:noProof/>
                <w:webHidden/>
              </w:rPr>
              <w:instrText xml:space="preserve"> PAGEREF _Toc22370822 \h </w:instrText>
            </w:r>
            <w:r w:rsidR="00696016">
              <w:rPr>
                <w:noProof/>
                <w:webHidden/>
              </w:rPr>
            </w:r>
            <w:r w:rsidR="00696016">
              <w:rPr>
                <w:noProof/>
                <w:webHidden/>
              </w:rPr>
              <w:fldChar w:fldCharType="separate"/>
            </w:r>
            <w:r w:rsidR="00696016">
              <w:rPr>
                <w:noProof/>
                <w:webHidden/>
              </w:rPr>
              <w:t>13</w:t>
            </w:r>
            <w:r w:rsidR="00696016">
              <w:rPr>
                <w:noProof/>
                <w:webHidden/>
              </w:rPr>
              <w:fldChar w:fldCharType="end"/>
            </w:r>
          </w:hyperlink>
        </w:p>
        <w:p w:rsidR="00696016" w:rsidRDefault="004C3381">
          <w:pPr>
            <w:pStyle w:val="TOC3"/>
            <w:tabs>
              <w:tab w:val="left" w:pos="1100"/>
              <w:tab w:val="right" w:leader="dot" w:pos="9350"/>
            </w:tabs>
            <w:rPr>
              <w:rFonts w:eastAsiaTheme="minorEastAsia"/>
              <w:noProof/>
            </w:rPr>
          </w:pPr>
          <w:hyperlink w:anchor="_Toc22370823" w:history="1">
            <w:r w:rsidR="00696016" w:rsidRPr="000024BC">
              <w:rPr>
                <w:rStyle w:val="Hyperlink"/>
                <w:rFonts w:ascii="Arial" w:hAnsi="Arial" w:cs="Arial"/>
                <w:b/>
                <w:noProof/>
              </w:rPr>
              <w:t>8.2</w:t>
            </w:r>
            <w:r w:rsidR="00696016">
              <w:rPr>
                <w:rFonts w:eastAsiaTheme="minorEastAsia"/>
                <w:noProof/>
              </w:rPr>
              <w:tab/>
            </w:r>
            <w:r w:rsidR="00696016" w:rsidRPr="000024BC">
              <w:rPr>
                <w:rStyle w:val="Hyperlink"/>
                <w:rFonts w:ascii="Arial" w:hAnsi="Arial" w:cs="Arial"/>
                <w:b/>
                <w:noProof/>
              </w:rPr>
              <w:t>Outstanding assessed contributions</w:t>
            </w:r>
            <w:r w:rsidR="00696016">
              <w:rPr>
                <w:noProof/>
                <w:webHidden/>
              </w:rPr>
              <w:tab/>
            </w:r>
            <w:r w:rsidR="00696016">
              <w:rPr>
                <w:noProof/>
                <w:webHidden/>
              </w:rPr>
              <w:fldChar w:fldCharType="begin"/>
            </w:r>
            <w:r w:rsidR="00696016">
              <w:rPr>
                <w:noProof/>
                <w:webHidden/>
              </w:rPr>
              <w:instrText xml:space="preserve"> PAGEREF _Toc22370823 \h </w:instrText>
            </w:r>
            <w:r w:rsidR="00696016">
              <w:rPr>
                <w:noProof/>
                <w:webHidden/>
              </w:rPr>
            </w:r>
            <w:r w:rsidR="00696016">
              <w:rPr>
                <w:noProof/>
                <w:webHidden/>
              </w:rPr>
              <w:fldChar w:fldCharType="separate"/>
            </w:r>
            <w:r w:rsidR="00696016">
              <w:rPr>
                <w:noProof/>
                <w:webHidden/>
              </w:rPr>
              <w:t>14</w:t>
            </w:r>
            <w:r w:rsidR="00696016">
              <w:rPr>
                <w:noProof/>
                <w:webHidden/>
              </w:rPr>
              <w:fldChar w:fldCharType="end"/>
            </w:r>
          </w:hyperlink>
        </w:p>
        <w:p w:rsidR="00696016" w:rsidRDefault="004C3381">
          <w:pPr>
            <w:pStyle w:val="TOC3"/>
            <w:tabs>
              <w:tab w:val="left" w:pos="1100"/>
              <w:tab w:val="right" w:leader="dot" w:pos="9350"/>
            </w:tabs>
            <w:rPr>
              <w:rFonts w:eastAsiaTheme="minorEastAsia"/>
              <w:noProof/>
            </w:rPr>
          </w:pPr>
          <w:hyperlink w:anchor="_Toc22370824" w:history="1">
            <w:r w:rsidR="00696016" w:rsidRPr="000024BC">
              <w:rPr>
                <w:rStyle w:val="Hyperlink"/>
                <w:rFonts w:ascii="Arial" w:hAnsi="Arial" w:cs="Arial"/>
                <w:b/>
                <w:noProof/>
              </w:rPr>
              <w:t>8.3</w:t>
            </w:r>
            <w:r w:rsidR="00696016">
              <w:rPr>
                <w:rFonts w:eastAsiaTheme="minorEastAsia"/>
                <w:noProof/>
              </w:rPr>
              <w:tab/>
            </w:r>
            <w:r w:rsidR="00696016" w:rsidRPr="000024BC">
              <w:rPr>
                <w:rStyle w:val="Hyperlink"/>
                <w:rFonts w:ascii="Arial" w:hAnsi="Arial" w:cs="Arial"/>
                <w:b/>
                <w:noProof/>
              </w:rPr>
              <w:t>Member States not adhering to arrears repayment plans</w:t>
            </w:r>
            <w:r w:rsidR="00696016">
              <w:rPr>
                <w:noProof/>
                <w:webHidden/>
              </w:rPr>
              <w:tab/>
            </w:r>
            <w:r w:rsidR="00696016">
              <w:rPr>
                <w:noProof/>
                <w:webHidden/>
              </w:rPr>
              <w:fldChar w:fldCharType="begin"/>
            </w:r>
            <w:r w:rsidR="00696016">
              <w:rPr>
                <w:noProof/>
                <w:webHidden/>
              </w:rPr>
              <w:instrText xml:space="preserve"> PAGEREF _Toc22370824 \h </w:instrText>
            </w:r>
            <w:r w:rsidR="00696016">
              <w:rPr>
                <w:noProof/>
                <w:webHidden/>
              </w:rPr>
            </w:r>
            <w:r w:rsidR="00696016">
              <w:rPr>
                <w:noProof/>
                <w:webHidden/>
              </w:rPr>
              <w:fldChar w:fldCharType="separate"/>
            </w:r>
            <w:r w:rsidR="00696016">
              <w:rPr>
                <w:noProof/>
                <w:webHidden/>
              </w:rPr>
              <w:t>15</w:t>
            </w:r>
            <w:r w:rsidR="00696016">
              <w:rPr>
                <w:noProof/>
                <w:webHidden/>
              </w:rPr>
              <w:fldChar w:fldCharType="end"/>
            </w:r>
          </w:hyperlink>
        </w:p>
        <w:p w:rsidR="00696016" w:rsidRDefault="004C3381">
          <w:pPr>
            <w:pStyle w:val="TOC3"/>
            <w:tabs>
              <w:tab w:val="left" w:pos="1100"/>
              <w:tab w:val="right" w:leader="dot" w:pos="9350"/>
            </w:tabs>
            <w:rPr>
              <w:rFonts w:eastAsiaTheme="minorEastAsia"/>
              <w:noProof/>
            </w:rPr>
          </w:pPr>
          <w:hyperlink w:anchor="_Toc22370825" w:history="1">
            <w:r w:rsidR="00696016" w:rsidRPr="000024BC">
              <w:rPr>
                <w:rStyle w:val="Hyperlink"/>
                <w:rFonts w:ascii="Arial" w:hAnsi="Arial" w:cs="Arial"/>
                <w:b/>
                <w:noProof/>
              </w:rPr>
              <w:t>8.4</w:t>
            </w:r>
            <w:r w:rsidR="00696016">
              <w:rPr>
                <w:rFonts w:eastAsiaTheme="minorEastAsia"/>
                <w:noProof/>
              </w:rPr>
              <w:tab/>
            </w:r>
            <w:r w:rsidR="00696016" w:rsidRPr="000024BC">
              <w:rPr>
                <w:rStyle w:val="Hyperlink"/>
                <w:rFonts w:ascii="Arial" w:hAnsi="Arial" w:cs="Arial"/>
                <w:b/>
                <w:noProof/>
              </w:rPr>
              <w:t>Sanctions and penalties, as decided by the Authority</w:t>
            </w:r>
            <w:r w:rsidR="00696016">
              <w:rPr>
                <w:noProof/>
                <w:webHidden/>
              </w:rPr>
              <w:tab/>
            </w:r>
            <w:r w:rsidR="00696016">
              <w:rPr>
                <w:noProof/>
                <w:webHidden/>
              </w:rPr>
              <w:fldChar w:fldCharType="begin"/>
            </w:r>
            <w:r w:rsidR="00696016">
              <w:rPr>
                <w:noProof/>
                <w:webHidden/>
              </w:rPr>
              <w:instrText xml:space="preserve"> PAGEREF _Toc22370825 \h </w:instrText>
            </w:r>
            <w:r w:rsidR="00696016">
              <w:rPr>
                <w:noProof/>
                <w:webHidden/>
              </w:rPr>
            </w:r>
            <w:r w:rsidR="00696016">
              <w:rPr>
                <w:noProof/>
                <w:webHidden/>
              </w:rPr>
              <w:fldChar w:fldCharType="separate"/>
            </w:r>
            <w:r w:rsidR="00696016">
              <w:rPr>
                <w:noProof/>
                <w:webHidden/>
              </w:rPr>
              <w:t>18</w:t>
            </w:r>
            <w:r w:rsidR="00696016">
              <w:rPr>
                <w:noProof/>
                <w:webHidden/>
              </w:rPr>
              <w:fldChar w:fldCharType="end"/>
            </w:r>
          </w:hyperlink>
        </w:p>
        <w:p w:rsidR="00696016" w:rsidRDefault="004C3381">
          <w:pPr>
            <w:pStyle w:val="TOC3"/>
            <w:tabs>
              <w:tab w:val="left" w:pos="1100"/>
              <w:tab w:val="right" w:leader="dot" w:pos="9350"/>
            </w:tabs>
            <w:rPr>
              <w:rFonts w:eastAsiaTheme="minorEastAsia"/>
              <w:noProof/>
            </w:rPr>
          </w:pPr>
          <w:hyperlink w:anchor="_Toc22370826" w:history="1">
            <w:r w:rsidR="00696016" w:rsidRPr="000024BC">
              <w:rPr>
                <w:rStyle w:val="Hyperlink"/>
                <w:rFonts w:ascii="Arial" w:hAnsi="Arial" w:cs="Arial"/>
                <w:b/>
                <w:noProof/>
              </w:rPr>
              <w:t>8.5</w:t>
            </w:r>
            <w:r w:rsidR="00696016">
              <w:rPr>
                <w:rFonts w:eastAsiaTheme="minorEastAsia"/>
                <w:noProof/>
              </w:rPr>
              <w:tab/>
            </w:r>
            <w:r w:rsidR="00696016" w:rsidRPr="000024BC">
              <w:rPr>
                <w:rStyle w:val="Hyperlink"/>
                <w:rFonts w:ascii="Arial" w:hAnsi="Arial" w:cs="Arial"/>
                <w:b/>
                <w:noProof/>
              </w:rPr>
              <w:t>Tunisia and Somalia</w:t>
            </w:r>
            <w:r w:rsidR="00696016">
              <w:rPr>
                <w:noProof/>
                <w:webHidden/>
              </w:rPr>
              <w:tab/>
            </w:r>
            <w:r w:rsidR="00696016">
              <w:rPr>
                <w:noProof/>
                <w:webHidden/>
              </w:rPr>
              <w:fldChar w:fldCharType="begin"/>
            </w:r>
            <w:r w:rsidR="00696016">
              <w:rPr>
                <w:noProof/>
                <w:webHidden/>
              </w:rPr>
              <w:instrText xml:space="preserve"> PAGEREF _Toc22370826 \h </w:instrText>
            </w:r>
            <w:r w:rsidR="00696016">
              <w:rPr>
                <w:noProof/>
                <w:webHidden/>
              </w:rPr>
            </w:r>
            <w:r w:rsidR="00696016">
              <w:rPr>
                <w:noProof/>
                <w:webHidden/>
              </w:rPr>
              <w:fldChar w:fldCharType="separate"/>
            </w:r>
            <w:r w:rsidR="00696016">
              <w:rPr>
                <w:noProof/>
                <w:webHidden/>
              </w:rPr>
              <w:t>18</w:t>
            </w:r>
            <w:r w:rsidR="00696016">
              <w:rPr>
                <w:noProof/>
                <w:webHidden/>
              </w:rPr>
              <w:fldChar w:fldCharType="end"/>
            </w:r>
          </w:hyperlink>
        </w:p>
        <w:p w:rsidR="000F61E9" w:rsidRDefault="000F61E9">
          <w:r>
            <w:rPr>
              <w:b/>
              <w:bCs/>
              <w:noProof/>
            </w:rPr>
            <w:fldChar w:fldCharType="end"/>
          </w:r>
        </w:p>
      </w:sdtContent>
    </w:sdt>
    <w:p w:rsidR="000F61E9" w:rsidRDefault="000F61E9" w:rsidP="003D7965">
      <w:pPr>
        <w:rPr>
          <w:rFonts w:ascii="Times New Roman" w:hAnsi="Times New Roman" w:cs="Times New Roman"/>
        </w:rPr>
        <w:sectPr w:rsidR="000F61E9" w:rsidSect="00626ED5">
          <w:pgSz w:w="12240" w:h="15840"/>
          <w:pgMar w:top="1440" w:right="1440" w:bottom="1440" w:left="1440" w:header="720" w:footer="720" w:gutter="0"/>
          <w:pgNumType w:start="1"/>
          <w:cols w:space="720"/>
          <w:titlePg/>
          <w:docGrid w:linePitch="360"/>
        </w:sectPr>
      </w:pPr>
    </w:p>
    <w:p w:rsidR="00AE1F9B" w:rsidRPr="00AD6B2E" w:rsidRDefault="0045266F" w:rsidP="00231A0B">
      <w:pPr>
        <w:pStyle w:val="Heading1"/>
        <w:numPr>
          <w:ilvl w:val="0"/>
          <w:numId w:val="3"/>
        </w:numPr>
        <w:spacing w:before="0"/>
        <w:ind w:hanging="720"/>
        <w:rPr>
          <w:rFonts w:ascii="Arial" w:hAnsi="Arial" w:cs="Arial"/>
          <w:b/>
          <w:color w:val="000000" w:themeColor="text1"/>
          <w:sz w:val="24"/>
          <w:szCs w:val="24"/>
        </w:rPr>
      </w:pPr>
      <w:bookmarkStart w:id="0" w:name="_Toc22370805"/>
      <w:r w:rsidRPr="00AD6B2E">
        <w:rPr>
          <w:rFonts w:ascii="Arial" w:hAnsi="Arial" w:cs="Arial"/>
          <w:b/>
          <w:color w:val="000000" w:themeColor="text1"/>
          <w:sz w:val="24"/>
          <w:szCs w:val="24"/>
        </w:rPr>
        <w:lastRenderedPageBreak/>
        <w:t>INTRODUCTION</w:t>
      </w:r>
      <w:bookmarkEnd w:id="0"/>
    </w:p>
    <w:p w:rsidR="00FD5702" w:rsidRPr="00AD6B2E" w:rsidRDefault="00FD5702" w:rsidP="00AD6B2E">
      <w:pPr>
        <w:rPr>
          <w:rFonts w:ascii="Arial" w:hAnsi="Arial" w:cs="Arial"/>
          <w:color w:val="000000" w:themeColor="text1"/>
          <w:sz w:val="24"/>
          <w:szCs w:val="24"/>
        </w:rPr>
      </w:pPr>
    </w:p>
    <w:p w:rsidR="000F61E9" w:rsidRPr="00AD6B2E" w:rsidRDefault="000F61E9" w:rsidP="005846BD">
      <w:pPr>
        <w:pStyle w:val="ListParagraph"/>
        <w:numPr>
          <w:ilvl w:val="0"/>
          <w:numId w:val="26"/>
        </w:numPr>
        <w:tabs>
          <w:tab w:val="left" w:pos="720"/>
        </w:tabs>
        <w:ind w:left="0" w:firstLine="0"/>
        <w:jc w:val="both"/>
        <w:rPr>
          <w:rFonts w:ascii="Arial" w:hAnsi="Arial" w:cs="Arial"/>
          <w:sz w:val="24"/>
          <w:szCs w:val="24"/>
        </w:rPr>
      </w:pPr>
      <w:r w:rsidRPr="00AD6B2E">
        <w:rPr>
          <w:rFonts w:ascii="Arial" w:hAnsi="Arial" w:cs="Arial"/>
          <w:sz w:val="24"/>
          <w:szCs w:val="24"/>
        </w:rPr>
        <w:t xml:space="preserve">COMESA is an inter-governmental organisation established by Member States (nineteen Member States, with two additional Member States admitted in July 2018, but are yet to submit an instrument of ratification) under a Treaty, wherein Article 3 articulates </w:t>
      </w:r>
      <w:r w:rsidR="00293275" w:rsidRPr="00AD6B2E">
        <w:rPr>
          <w:rFonts w:ascii="Arial" w:hAnsi="Arial" w:cs="Arial"/>
          <w:sz w:val="24"/>
          <w:szCs w:val="24"/>
        </w:rPr>
        <w:t>its aims</w:t>
      </w:r>
      <w:r w:rsidRPr="00AD6B2E">
        <w:rPr>
          <w:rFonts w:ascii="Arial" w:hAnsi="Arial" w:cs="Arial"/>
          <w:sz w:val="24"/>
          <w:szCs w:val="24"/>
        </w:rPr>
        <w:t xml:space="preserve"> and objectives. The 2016-2020 Medium Term Strategic Plan further unpacks its specific undertakings (Article 4) and general undertakings (Article 5) into strategic objectives and interventions.</w:t>
      </w:r>
    </w:p>
    <w:p w:rsidR="000F61E9" w:rsidRPr="00AD6B2E" w:rsidRDefault="000F61E9" w:rsidP="00AD6B2E">
      <w:pPr>
        <w:jc w:val="both"/>
        <w:rPr>
          <w:rFonts w:ascii="Arial" w:hAnsi="Arial" w:cs="Arial"/>
          <w:sz w:val="24"/>
          <w:szCs w:val="24"/>
        </w:rPr>
      </w:pPr>
    </w:p>
    <w:p w:rsidR="000F61E9" w:rsidRPr="00AD6B2E" w:rsidRDefault="000F61E9" w:rsidP="005846BD">
      <w:pPr>
        <w:pStyle w:val="ListParagraph"/>
        <w:numPr>
          <w:ilvl w:val="0"/>
          <w:numId w:val="26"/>
        </w:numPr>
        <w:tabs>
          <w:tab w:val="left" w:pos="720"/>
        </w:tabs>
        <w:ind w:left="0" w:firstLine="0"/>
        <w:jc w:val="both"/>
        <w:rPr>
          <w:rFonts w:ascii="Arial" w:hAnsi="Arial" w:cs="Arial"/>
          <w:sz w:val="24"/>
          <w:szCs w:val="24"/>
        </w:rPr>
      </w:pPr>
      <w:r w:rsidRPr="00AD6B2E">
        <w:rPr>
          <w:rFonts w:ascii="Arial" w:hAnsi="Arial" w:cs="Arial"/>
          <w:sz w:val="24"/>
          <w:szCs w:val="24"/>
        </w:rPr>
        <w:t>Key COMESA stakeholders:</w:t>
      </w:r>
    </w:p>
    <w:p w:rsidR="000F61E9" w:rsidRPr="00AD6B2E" w:rsidRDefault="000F61E9" w:rsidP="00AD6B2E">
      <w:pPr>
        <w:jc w:val="both"/>
        <w:rPr>
          <w:rFonts w:ascii="Arial" w:hAnsi="Arial" w:cs="Arial"/>
          <w:sz w:val="24"/>
          <w:szCs w:val="24"/>
        </w:rPr>
      </w:pPr>
    </w:p>
    <w:p w:rsidR="000F61E9" w:rsidRPr="00AD6B2E" w:rsidRDefault="000F61E9" w:rsidP="00AD6B2E">
      <w:pPr>
        <w:ind w:left="720"/>
        <w:jc w:val="both"/>
        <w:rPr>
          <w:rFonts w:ascii="Arial" w:hAnsi="Arial" w:cs="Arial"/>
          <w:sz w:val="24"/>
          <w:szCs w:val="24"/>
        </w:rPr>
      </w:pPr>
      <w:r w:rsidRPr="00AD6B2E">
        <w:rPr>
          <w:rFonts w:ascii="Arial" w:hAnsi="Arial" w:cs="Arial"/>
          <w:sz w:val="24"/>
          <w:szCs w:val="24"/>
        </w:rPr>
        <w:t>(i)</w:t>
      </w:r>
      <w:r w:rsidRPr="00AD6B2E">
        <w:rPr>
          <w:rFonts w:ascii="Arial" w:hAnsi="Arial" w:cs="Arial"/>
          <w:sz w:val="24"/>
          <w:szCs w:val="24"/>
        </w:rPr>
        <w:tab/>
      </w:r>
      <w:r w:rsidRPr="00AD6B2E">
        <w:rPr>
          <w:rFonts w:ascii="Arial" w:hAnsi="Arial" w:cs="Arial"/>
          <w:b/>
          <w:sz w:val="24"/>
          <w:szCs w:val="24"/>
        </w:rPr>
        <w:t>Member States</w:t>
      </w:r>
      <w:r w:rsidRPr="00AD6B2E">
        <w:rPr>
          <w:rFonts w:ascii="Arial" w:hAnsi="Arial" w:cs="Arial"/>
          <w:sz w:val="24"/>
          <w:szCs w:val="24"/>
        </w:rPr>
        <w:t>: have state and non-state actors with specific roles and responsibilities. The implementation of this plan calls for close collaboration and participation between these actors.  Member States provide the resources required to implement COMESA activities. State actors provide the political leadership necessary for the formulation and implementation of sound regional policies and programmes. Non-state actors: bring with them increased financial discipline, capital injection, new management styles and a stronger commercial orientation.</w:t>
      </w:r>
    </w:p>
    <w:p w:rsidR="000F61E9" w:rsidRPr="00AD6B2E" w:rsidRDefault="000F61E9" w:rsidP="00AD6B2E">
      <w:pPr>
        <w:ind w:left="720"/>
        <w:jc w:val="both"/>
        <w:rPr>
          <w:rFonts w:ascii="Arial" w:hAnsi="Arial" w:cs="Arial"/>
          <w:sz w:val="24"/>
          <w:szCs w:val="24"/>
        </w:rPr>
      </w:pPr>
    </w:p>
    <w:p w:rsidR="000F61E9" w:rsidRPr="00AD6B2E" w:rsidRDefault="000F61E9" w:rsidP="00AD6B2E">
      <w:pPr>
        <w:ind w:left="720"/>
        <w:jc w:val="both"/>
        <w:rPr>
          <w:rFonts w:ascii="Arial" w:hAnsi="Arial" w:cs="Arial"/>
          <w:b/>
          <w:sz w:val="24"/>
          <w:szCs w:val="24"/>
        </w:rPr>
      </w:pPr>
      <w:r w:rsidRPr="00AD6B2E">
        <w:rPr>
          <w:rFonts w:ascii="Arial" w:hAnsi="Arial" w:cs="Arial"/>
          <w:b/>
          <w:sz w:val="24"/>
          <w:szCs w:val="24"/>
        </w:rPr>
        <w:t>(ii)</w:t>
      </w:r>
      <w:r w:rsidRPr="00AD6B2E">
        <w:rPr>
          <w:rFonts w:ascii="Arial" w:hAnsi="Arial" w:cs="Arial"/>
          <w:b/>
          <w:sz w:val="24"/>
          <w:szCs w:val="24"/>
        </w:rPr>
        <w:tab/>
        <w:t>COMESA Organs:</w:t>
      </w:r>
    </w:p>
    <w:p w:rsidR="000F61E9" w:rsidRPr="00AD6B2E" w:rsidRDefault="000F61E9" w:rsidP="00AD6B2E">
      <w:pPr>
        <w:ind w:left="720"/>
        <w:jc w:val="both"/>
        <w:rPr>
          <w:rFonts w:ascii="Arial" w:hAnsi="Arial" w:cs="Arial"/>
          <w:sz w:val="24"/>
          <w:szCs w:val="24"/>
        </w:rPr>
      </w:pPr>
      <w:r w:rsidRPr="00AD6B2E">
        <w:rPr>
          <w:rFonts w:ascii="Arial" w:hAnsi="Arial" w:cs="Arial"/>
          <w:sz w:val="24"/>
          <w:szCs w:val="24"/>
        </w:rPr>
        <w:t>Article 7 establishes organs of the Common Market. These are (a) the Authority; (b) the Council;(c) the Court of Justice; (d) the Committee of Governors of Central Banks; (e) the Intergovernmental Committee; (</w:t>
      </w:r>
      <w:r w:rsidR="00626ED5" w:rsidRPr="00AD6B2E">
        <w:rPr>
          <w:rFonts w:ascii="Arial" w:hAnsi="Arial" w:cs="Arial"/>
          <w:sz w:val="24"/>
          <w:szCs w:val="24"/>
        </w:rPr>
        <w:t>f)</w:t>
      </w:r>
      <w:r w:rsidRPr="00AD6B2E">
        <w:rPr>
          <w:rFonts w:ascii="Arial" w:hAnsi="Arial" w:cs="Arial"/>
          <w:sz w:val="24"/>
          <w:szCs w:val="24"/>
        </w:rPr>
        <w:t xml:space="preserve"> the Technical Committees; (g) the Secretariat; and (h) the Consultative Committee.</w:t>
      </w:r>
    </w:p>
    <w:p w:rsidR="000F61E9" w:rsidRPr="00AD6B2E" w:rsidRDefault="000F61E9" w:rsidP="00AD6B2E">
      <w:pPr>
        <w:ind w:left="720"/>
        <w:jc w:val="both"/>
        <w:rPr>
          <w:rFonts w:ascii="Arial" w:hAnsi="Arial" w:cs="Arial"/>
          <w:sz w:val="24"/>
          <w:szCs w:val="24"/>
        </w:rPr>
      </w:pPr>
    </w:p>
    <w:p w:rsidR="000F61E9" w:rsidRPr="00AD6B2E" w:rsidRDefault="000F61E9" w:rsidP="00AD6B2E">
      <w:pPr>
        <w:ind w:left="720"/>
        <w:jc w:val="both"/>
        <w:rPr>
          <w:rFonts w:ascii="Arial" w:hAnsi="Arial" w:cs="Arial"/>
          <w:sz w:val="24"/>
          <w:szCs w:val="24"/>
        </w:rPr>
      </w:pPr>
      <w:r w:rsidRPr="00AD6B2E">
        <w:rPr>
          <w:rFonts w:ascii="Arial" w:hAnsi="Arial" w:cs="Arial"/>
          <w:b/>
          <w:sz w:val="24"/>
          <w:szCs w:val="24"/>
        </w:rPr>
        <w:t>(iii)</w:t>
      </w:r>
      <w:r w:rsidRPr="00AD6B2E">
        <w:rPr>
          <w:rFonts w:ascii="Arial" w:hAnsi="Arial" w:cs="Arial"/>
          <w:b/>
          <w:sz w:val="24"/>
          <w:szCs w:val="24"/>
        </w:rPr>
        <w:tab/>
        <w:t>COMESA Secretariat</w:t>
      </w:r>
      <w:r w:rsidRPr="00AD6B2E">
        <w:rPr>
          <w:rFonts w:ascii="Arial" w:hAnsi="Arial" w:cs="Arial"/>
          <w:sz w:val="24"/>
          <w:szCs w:val="24"/>
        </w:rPr>
        <w:t xml:space="preserve">: </w:t>
      </w:r>
    </w:p>
    <w:p w:rsidR="000F61E9" w:rsidRPr="00AD6B2E" w:rsidRDefault="000F61E9" w:rsidP="00231A0B">
      <w:pPr>
        <w:pStyle w:val="ListParagraph"/>
        <w:numPr>
          <w:ilvl w:val="0"/>
          <w:numId w:val="7"/>
        </w:numPr>
        <w:ind w:left="1440" w:hanging="720"/>
        <w:jc w:val="both"/>
        <w:rPr>
          <w:rFonts w:ascii="Arial" w:hAnsi="Arial" w:cs="Arial"/>
          <w:sz w:val="24"/>
          <w:szCs w:val="24"/>
        </w:rPr>
      </w:pPr>
      <w:r w:rsidRPr="00AD6B2E">
        <w:rPr>
          <w:rFonts w:ascii="Arial" w:hAnsi="Arial" w:cs="Arial"/>
          <w:sz w:val="24"/>
          <w:szCs w:val="24"/>
        </w:rPr>
        <w:t>It is a provider of organisation (</w:t>
      </w:r>
      <w:r w:rsidRPr="00AD6B2E">
        <w:rPr>
          <w:rFonts w:ascii="Arial" w:hAnsi="Arial" w:cs="Arial"/>
          <w:b/>
          <w:i/>
          <w:sz w:val="24"/>
          <w:szCs w:val="24"/>
          <w:u w:val="single"/>
        </w:rPr>
        <w:t>as a principle executive institution</w:t>
      </w:r>
      <w:r w:rsidRPr="00AD6B2E">
        <w:rPr>
          <w:rFonts w:ascii="Arial" w:hAnsi="Arial" w:cs="Arial"/>
          <w:sz w:val="24"/>
          <w:szCs w:val="24"/>
        </w:rPr>
        <w:t>) services, e.g. servicing and facilitating activities of all other COMESA policy organs</w:t>
      </w:r>
    </w:p>
    <w:p w:rsidR="000F61E9" w:rsidRPr="00AD6B2E" w:rsidRDefault="000F61E9" w:rsidP="00231A0B">
      <w:pPr>
        <w:pStyle w:val="ListParagraph"/>
        <w:numPr>
          <w:ilvl w:val="0"/>
          <w:numId w:val="7"/>
        </w:numPr>
        <w:ind w:left="1440" w:hanging="720"/>
        <w:jc w:val="both"/>
        <w:rPr>
          <w:rFonts w:ascii="Arial" w:hAnsi="Arial" w:cs="Arial"/>
          <w:sz w:val="24"/>
          <w:szCs w:val="24"/>
        </w:rPr>
      </w:pPr>
      <w:r w:rsidRPr="00AD6B2E">
        <w:rPr>
          <w:rFonts w:ascii="Arial" w:hAnsi="Arial" w:cs="Arial"/>
          <w:sz w:val="24"/>
          <w:szCs w:val="24"/>
        </w:rPr>
        <w:t xml:space="preserve">It has a </w:t>
      </w:r>
      <w:r w:rsidRPr="00AD6B2E">
        <w:rPr>
          <w:rFonts w:ascii="Arial" w:hAnsi="Arial" w:cs="Arial"/>
          <w:b/>
          <w:i/>
          <w:sz w:val="24"/>
          <w:szCs w:val="24"/>
          <w:u w:val="single"/>
        </w:rPr>
        <w:t>coordinating</w:t>
      </w:r>
      <w:r w:rsidRPr="00AD6B2E">
        <w:rPr>
          <w:rFonts w:ascii="Arial" w:hAnsi="Arial" w:cs="Arial"/>
          <w:sz w:val="24"/>
          <w:szCs w:val="24"/>
        </w:rPr>
        <w:t xml:space="preserve">, </w:t>
      </w:r>
      <w:r w:rsidRPr="00AD6B2E">
        <w:rPr>
          <w:rFonts w:ascii="Arial" w:hAnsi="Arial" w:cs="Arial"/>
          <w:b/>
          <w:i/>
          <w:sz w:val="24"/>
          <w:szCs w:val="24"/>
          <w:u w:val="single"/>
        </w:rPr>
        <w:t>facilitating</w:t>
      </w:r>
      <w:r w:rsidRPr="00AD6B2E">
        <w:rPr>
          <w:rFonts w:ascii="Arial" w:hAnsi="Arial" w:cs="Arial"/>
          <w:sz w:val="24"/>
          <w:szCs w:val="24"/>
        </w:rPr>
        <w:t xml:space="preserve">, </w:t>
      </w:r>
      <w:r w:rsidRPr="00AD6B2E">
        <w:rPr>
          <w:rFonts w:ascii="Arial" w:hAnsi="Arial" w:cs="Arial"/>
          <w:b/>
          <w:i/>
          <w:sz w:val="24"/>
          <w:szCs w:val="24"/>
          <w:u w:val="single"/>
        </w:rPr>
        <w:t>monitoring</w:t>
      </w:r>
      <w:r w:rsidRPr="00AD6B2E">
        <w:rPr>
          <w:rFonts w:ascii="Arial" w:hAnsi="Arial" w:cs="Arial"/>
          <w:sz w:val="24"/>
          <w:szCs w:val="24"/>
        </w:rPr>
        <w:t xml:space="preserve"> and </w:t>
      </w:r>
      <w:r w:rsidRPr="00AD6B2E">
        <w:rPr>
          <w:rFonts w:ascii="Arial" w:hAnsi="Arial" w:cs="Arial"/>
          <w:b/>
          <w:i/>
          <w:sz w:val="24"/>
          <w:szCs w:val="24"/>
          <w:u w:val="single"/>
        </w:rPr>
        <w:t>convening</w:t>
      </w:r>
      <w:r w:rsidRPr="00AD6B2E">
        <w:rPr>
          <w:rFonts w:ascii="Arial" w:hAnsi="Arial" w:cs="Arial"/>
          <w:sz w:val="24"/>
          <w:szCs w:val="24"/>
        </w:rPr>
        <w:t xml:space="preserve"> mandate. </w:t>
      </w:r>
    </w:p>
    <w:p w:rsidR="000F61E9" w:rsidRPr="00AD6B2E" w:rsidRDefault="000F61E9" w:rsidP="00231A0B">
      <w:pPr>
        <w:pStyle w:val="ListParagraph"/>
        <w:numPr>
          <w:ilvl w:val="0"/>
          <w:numId w:val="7"/>
        </w:numPr>
        <w:ind w:left="1440" w:hanging="720"/>
        <w:jc w:val="both"/>
        <w:rPr>
          <w:rFonts w:ascii="Arial" w:hAnsi="Arial" w:cs="Arial"/>
          <w:sz w:val="24"/>
          <w:szCs w:val="24"/>
        </w:rPr>
      </w:pPr>
      <w:r w:rsidRPr="00AD6B2E">
        <w:rPr>
          <w:rFonts w:ascii="Arial" w:hAnsi="Arial" w:cs="Arial"/>
          <w:sz w:val="24"/>
          <w:szCs w:val="24"/>
        </w:rPr>
        <w:t xml:space="preserve">Its responsibilities include being a </w:t>
      </w:r>
      <w:r w:rsidRPr="00AD6B2E">
        <w:rPr>
          <w:rFonts w:ascii="Arial" w:hAnsi="Arial" w:cs="Arial"/>
          <w:b/>
          <w:i/>
          <w:sz w:val="24"/>
          <w:szCs w:val="24"/>
          <w:u w:val="single"/>
        </w:rPr>
        <w:t>think tank</w:t>
      </w:r>
      <w:r w:rsidRPr="00AD6B2E">
        <w:rPr>
          <w:rFonts w:ascii="Arial" w:hAnsi="Arial" w:cs="Arial"/>
          <w:sz w:val="24"/>
          <w:szCs w:val="24"/>
        </w:rPr>
        <w:t xml:space="preserve"> thus facilitating the achievement of COMESA mission, aims and objectives and interventions.  </w:t>
      </w:r>
    </w:p>
    <w:p w:rsidR="000F61E9" w:rsidRPr="00AD6B2E" w:rsidRDefault="000F61E9" w:rsidP="00231A0B">
      <w:pPr>
        <w:pStyle w:val="ListParagraph"/>
        <w:numPr>
          <w:ilvl w:val="0"/>
          <w:numId w:val="7"/>
        </w:numPr>
        <w:ind w:left="1440" w:hanging="720"/>
        <w:jc w:val="both"/>
        <w:rPr>
          <w:rFonts w:ascii="Arial" w:hAnsi="Arial" w:cs="Arial"/>
          <w:sz w:val="24"/>
          <w:szCs w:val="24"/>
        </w:rPr>
      </w:pPr>
      <w:r w:rsidRPr="00AD6B2E">
        <w:rPr>
          <w:rFonts w:ascii="Arial" w:hAnsi="Arial" w:cs="Arial"/>
          <w:sz w:val="24"/>
          <w:szCs w:val="24"/>
        </w:rPr>
        <w:t xml:space="preserve">It is a provider of </w:t>
      </w:r>
      <w:r w:rsidRPr="00AD6B2E">
        <w:rPr>
          <w:rFonts w:ascii="Arial" w:hAnsi="Arial" w:cs="Arial"/>
          <w:b/>
          <w:i/>
          <w:sz w:val="24"/>
          <w:szCs w:val="24"/>
          <w:u w:val="single"/>
        </w:rPr>
        <w:t>institutional services</w:t>
      </w:r>
      <w:r w:rsidRPr="00AD6B2E">
        <w:rPr>
          <w:rFonts w:ascii="Arial" w:hAnsi="Arial" w:cs="Arial"/>
          <w:sz w:val="24"/>
          <w:szCs w:val="24"/>
        </w:rPr>
        <w:t xml:space="preserve"> (all corporate requirements including, communication; promotion; resource mobilisation; legal; human resources; administrative and logistics - procurement &amp; conferences; and financial management services).</w:t>
      </w:r>
    </w:p>
    <w:p w:rsidR="000F61E9" w:rsidRPr="00AD6B2E" w:rsidRDefault="000F61E9" w:rsidP="00231A0B">
      <w:pPr>
        <w:pStyle w:val="ListParagraph"/>
        <w:numPr>
          <w:ilvl w:val="0"/>
          <w:numId w:val="7"/>
        </w:numPr>
        <w:ind w:left="1440" w:hanging="720"/>
        <w:jc w:val="both"/>
        <w:rPr>
          <w:rFonts w:ascii="Arial" w:hAnsi="Arial" w:cs="Arial"/>
          <w:sz w:val="24"/>
          <w:szCs w:val="24"/>
        </w:rPr>
      </w:pPr>
      <w:r w:rsidRPr="00AD6B2E">
        <w:rPr>
          <w:rFonts w:ascii="Arial" w:hAnsi="Arial" w:cs="Arial"/>
          <w:sz w:val="24"/>
          <w:szCs w:val="24"/>
        </w:rPr>
        <w:t xml:space="preserve">It provides </w:t>
      </w:r>
      <w:r w:rsidRPr="00AD6B2E">
        <w:rPr>
          <w:rFonts w:ascii="Arial" w:hAnsi="Arial" w:cs="Arial"/>
          <w:b/>
          <w:i/>
          <w:sz w:val="24"/>
          <w:szCs w:val="24"/>
          <w:u w:val="single"/>
        </w:rPr>
        <w:t>technical assistance</w:t>
      </w:r>
      <w:r w:rsidRPr="00AD6B2E">
        <w:rPr>
          <w:rFonts w:ascii="Arial" w:hAnsi="Arial" w:cs="Arial"/>
          <w:sz w:val="24"/>
          <w:szCs w:val="24"/>
        </w:rPr>
        <w:t xml:space="preserve"> and </w:t>
      </w:r>
      <w:r w:rsidRPr="00AD6B2E">
        <w:rPr>
          <w:rFonts w:ascii="Arial" w:hAnsi="Arial" w:cs="Arial"/>
          <w:b/>
          <w:i/>
          <w:sz w:val="24"/>
          <w:szCs w:val="24"/>
          <w:u w:val="single"/>
        </w:rPr>
        <w:t>capacity building</w:t>
      </w:r>
      <w:r w:rsidRPr="00AD6B2E">
        <w:rPr>
          <w:rFonts w:ascii="Arial" w:hAnsi="Arial" w:cs="Arial"/>
          <w:sz w:val="24"/>
          <w:szCs w:val="24"/>
        </w:rPr>
        <w:t xml:space="preserve"> to Member States and other COMESA Institutions</w:t>
      </w:r>
    </w:p>
    <w:p w:rsidR="000F61E9" w:rsidRPr="00AD6B2E" w:rsidRDefault="000F61E9" w:rsidP="00231A0B">
      <w:pPr>
        <w:pStyle w:val="ListParagraph"/>
        <w:numPr>
          <w:ilvl w:val="0"/>
          <w:numId w:val="7"/>
        </w:numPr>
        <w:ind w:left="1440" w:hanging="720"/>
        <w:jc w:val="both"/>
        <w:rPr>
          <w:rFonts w:ascii="Arial" w:hAnsi="Arial" w:cs="Arial"/>
          <w:sz w:val="24"/>
          <w:szCs w:val="24"/>
        </w:rPr>
      </w:pPr>
      <w:r w:rsidRPr="00AD6B2E">
        <w:rPr>
          <w:rFonts w:ascii="Arial" w:hAnsi="Arial" w:cs="Arial"/>
          <w:sz w:val="24"/>
          <w:szCs w:val="24"/>
        </w:rPr>
        <w:t xml:space="preserve">It also provides </w:t>
      </w:r>
      <w:r w:rsidRPr="00AD6B2E">
        <w:rPr>
          <w:rFonts w:ascii="Arial" w:hAnsi="Arial" w:cs="Arial"/>
          <w:b/>
          <w:i/>
          <w:sz w:val="24"/>
          <w:szCs w:val="24"/>
          <w:u w:val="single"/>
        </w:rPr>
        <w:t>interface</w:t>
      </w:r>
      <w:r w:rsidRPr="00AD6B2E">
        <w:rPr>
          <w:rFonts w:ascii="Arial" w:hAnsi="Arial" w:cs="Arial"/>
          <w:sz w:val="24"/>
          <w:szCs w:val="24"/>
        </w:rPr>
        <w:t xml:space="preserve"> between COMESA and external stakeholders as well as to provide Member States with a platform relevant to achieve mutually acceptable formal cooperation. Such policy dialogue is key to shaping interventions. </w:t>
      </w:r>
    </w:p>
    <w:p w:rsidR="000F61E9" w:rsidRPr="00AD6B2E" w:rsidRDefault="000F61E9" w:rsidP="00AD6B2E">
      <w:pPr>
        <w:jc w:val="both"/>
        <w:rPr>
          <w:rFonts w:ascii="Arial" w:hAnsi="Arial" w:cs="Arial"/>
          <w:sz w:val="24"/>
          <w:szCs w:val="24"/>
        </w:rPr>
      </w:pPr>
    </w:p>
    <w:p w:rsidR="000F61E9" w:rsidRPr="00AD6B2E" w:rsidRDefault="000F61E9" w:rsidP="00AD6B2E">
      <w:pPr>
        <w:ind w:left="1440" w:hanging="720"/>
        <w:jc w:val="both"/>
        <w:rPr>
          <w:rFonts w:ascii="Arial" w:hAnsi="Arial" w:cs="Arial"/>
          <w:sz w:val="24"/>
          <w:szCs w:val="24"/>
        </w:rPr>
      </w:pPr>
      <w:r w:rsidRPr="00AD6B2E">
        <w:rPr>
          <w:rFonts w:ascii="Arial" w:hAnsi="Arial" w:cs="Arial"/>
          <w:sz w:val="24"/>
          <w:szCs w:val="24"/>
        </w:rPr>
        <w:t>(iv)</w:t>
      </w:r>
      <w:r w:rsidRPr="00AD6B2E">
        <w:rPr>
          <w:rFonts w:ascii="Arial" w:hAnsi="Arial" w:cs="Arial"/>
          <w:sz w:val="24"/>
          <w:szCs w:val="24"/>
        </w:rPr>
        <w:tab/>
      </w:r>
      <w:r w:rsidRPr="00AD6B2E">
        <w:rPr>
          <w:rFonts w:ascii="Arial" w:hAnsi="Arial" w:cs="Arial"/>
          <w:b/>
          <w:sz w:val="24"/>
          <w:szCs w:val="24"/>
        </w:rPr>
        <w:t>COMESA Institutions and agencies</w:t>
      </w:r>
      <w:r w:rsidRPr="00AD6B2E">
        <w:rPr>
          <w:rFonts w:ascii="Arial" w:hAnsi="Arial" w:cs="Arial"/>
          <w:sz w:val="24"/>
          <w:szCs w:val="24"/>
        </w:rPr>
        <w:t xml:space="preserve">:  established with a specific mandate. Given their technical focus, institutions and agencies provide guidance, </w:t>
      </w:r>
      <w:r w:rsidRPr="00AD6B2E">
        <w:rPr>
          <w:rFonts w:ascii="Arial" w:hAnsi="Arial" w:cs="Arial"/>
          <w:sz w:val="24"/>
          <w:szCs w:val="24"/>
        </w:rPr>
        <w:lastRenderedPageBreak/>
        <w:t>technical support and implement decisions of the Policy Organs. These also play a key role in implementing the MTSP.</w:t>
      </w:r>
    </w:p>
    <w:p w:rsidR="000F61E9" w:rsidRPr="00AD6B2E" w:rsidRDefault="000F61E9" w:rsidP="00AD6B2E">
      <w:pPr>
        <w:jc w:val="both"/>
        <w:rPr>
          <w:rFonts w:ascii="Arial" w:hAnsi="Arial" w:cs="Arial"/>
          <w:sz w:val="24"/>
          <w:szCs w:val="24"/>
        </w:rPr>
      </w:pPr>
    </w:p>
    <w:p w:rsidR="000F61E9" w:rsidRPr="00AD6B2E" w:rsidRDefault="000F61E9" w:rsidP="00AD6B2E">
      <w:pPr>
        <w:ind w:left="1440" w:hanging="720"/>
        <w:jc w:val="both"/>
        <w:rPr>
          <w:rFonts w:ascii="Arial" w:hAnsi="Arial" w:cs="Arial"/>
          <w:sz w:val="24"/>
          <w:szCs w:val="24"/>
        </w:rPr>
      </w:pPr>
      <w:r w:rsidRPr="00AD6B2E">
        <w:rPr>
          <w:rFonts w:ascii="Arial" w:hAnsi="Arial" w:cs="Arial"/>
          <w:sz w:val="24"/>
          <w:szCs w:val="24"/>
        </w:rPr>
        <w:t>(v)</w:t>
      </w:r>
      <w:r w:rsidRPr="00AD6B2E">
        <w:rPr>
          <w:rFonts w:ascii="Arial" w:hAnsi="Arial" w:cs="Arial"/>
          <w:sz w:val="24"/>
          <w:szCs w:val="24"/>
        </w:rPr>
        <w:tab/>
      </w:r>
      <w:r w:rsidRPr="00AD6B2E">
        <w:rPr>
          <w:rFonts w:ascii="Arial" w:hAnsi="Arial" w:cs="Arial"/>
          <w:b/>
          <w:sz w:val="24"/>
          <w:szCs w:val="24"/>
        </w:rPr>
        <w:t>Co-operating Partners</w:t>
      </w:r>
      <w:r w:rsidRPr="00AD6B2E">
        <w:rPr>
          <w:rFonts w:ascii="Arial" w:hAnsi="Arial" w:cs="Arial"/>
          <w:sz w:val="24"/>
          <w:szCs w:val="24"/>
        </w:rPr>
        <w:t>: provide financial and technical support for achievement of the strategic objectives, support aid effectiveness by promoting harmonization, coherence, rationalization, alignment and ownership of development partner assistance; and require mutual accountability in relation to the commitment, provision, utilization and reporting on all adjustment support and regional integration resources.</w:t>
      </w:r>
    </w:p>
    <w:p w:rsidR="006F6939" w:rsidRPr="00AD6B2E" w:rsidRDefault="006F6939" w:rsidP="00AD6B2E">
      <w:pPr>
        <w:rPr>
          <w:rFonts w:ascii="Arial" w:hAnsi="Arial" w:cs="Arial"/>
          <w:color w:val="000000" w:themeColor="text1"/>
          <w:sz w:val="24"/>
          <w:szCs w:val="24"/>
        </w:rPr>
      </w:pPr>
    </w:p>
    <w:p w:rsidR="00AE1F9B" w:rsidRDefault="0045266F" w:rsidP="00231A0B">
      <w:pPr>
        <w:pStyle w:val="Heading1"/>
        <w:numPr>
          <w:ilvl w:val="0"/>
          <w:numId w:val="3"/>
        </w:numPr>
        <w:spacing w:before="0"/>
        <w:ind w:hanging="720"/>
        <w:rPr>
          <w:rFonts w:ascii="Arial" w:hAnsi="Arial" w:cs="Arial"/>
          <w:b/>
          <w:color w:val="000000" w:themeColor="text1"/>
          <w:sz w:val="24"/>
          <w:szCs w:val="24"/>
        </w:rPr>
      </w:pPr>
      <w:bookmarkStart w:id="1" w:name="_Toc22370806"/>
      <w:r w:rsidRPr="00AD6B2E">
        <w:rPr>
          <w:rFonts w:ascii="Arial" w:hAnsi="Arial" w:cs="Arial"/>
          <w:b/>
          <w:color w:val="000000" w:themeColor="text1"/>
          <w:sz w:val="24"/>
          <w:szCs w:val="24"/>
        </w:rPr>
        <w:t>BACKGROUND</w:t>
      </w:r>
      <w:bookmarkEnd w:id="1"/>
      <w:r w:rsidRPr="00AD6B2E">
        <w:rPr>
          <w:rFonts w:ascii="Arial" w:hAnsi="Arial" w:cs="Arial"/>
          <w:b/>
          <w:color w:val="000000" w:themeColor="text1"/>
          <w:sz w:val="24"/>
          <w:szCs w:val="24"/>
        </w:rPr>
        <w:t xml:space="preserve"> </w:t>
      </w:r>
    </w:p>
    <w:p w:rsidR="00CD098A" w:rsidRPr="00CD098A" w:rsidRDefault="00CD098A" w:rsidP="00CD098A"/>
    <w:p w:rsidR="00B44C33" w:rsidRPr="00AD6B2E" w:rsidRDefault="00CD098A" w:rsidP="00293275">
      <w:pPr>
        <w:pStyle w:val="Heading3"/>
        <w:spacing w:before="0"/>
        <w:rPr>
          <w:rFonts w:ascii="Arial" w:hAnsi="Arial" w:cs="Arial"/>
          <w:b/>
          <w:color w:val="000000" w:themeColor="text1"/>
        </w:rPr>
      </w:pPr>
      <w:bookmarkStart w:id="2" w:name="_Toc22370807"/>
      <w:r w:rsidRPr="00AD6B2E">
        <w:rPr>
          <w:rFonts w:ascii="Arial" w:hAnsi="Arial" w:cs="Arial"/>
          <w:b/>
          <w:color w:val="000000" w:themeColor="text1"/>
        </w:rPr>
        <w:t>Context</w:t>
      </w:r>
      <w:bookmarkEnd w:id="2"/>
    </w:p>
    <w:p w:rsidR="00B44C33" w:rsidRPr="00AD6B2E" w:rsidRDefault="00B44C33" w:rsidP="00AD6B2E">
      <w:pPr>
        <w:rPr>
          <w:rFonts w:ascii="Arial" w:hAnsi="Arial" w:cs="Arial"/>
          <w:sz w:val="24"/>
          <w:szCs w:val="24"/>
        </w:rPr>
      </w:pPr>
    </w:p>
    <w:p w:rsidR="00702F38" w:rsidRPr="00AD6B2E" w:rsidRDefault="00DE1163" w:rsidP="005846BD">
      <w:pPr>
        <w:pStyle w:val="ListParagraph"/>
        <w:numPr>
          <w:ilvl w:val="0"/>
          <w:numId w:val="26"/>
        </w:numPr>
        <w:tabs>
          <w:tab w:val="left" w:pos="720"/>
        </w:tabs>
        <w:ind w:left="0" w:firstLine="0"/>
        <w:jc w:val="both"/>
        <w:rPr>
          <w:rFonts w:ascii="Arial" w:hAnsi="Arial" w:cs="Arial"/>
          <w:sz w:val="24"/>
          <w:szCs w:val="24"/>
        </w:rPr>
      </w:pPr>
      <w:r w:rsidRPr="00AD6B2E">
        <w:rPr>
          <w:rFonts w:ascii="Arial" w:hAnsi="Arial" w:cs="Arial"/>
          <w:sz w:val="24"/>
          <w:szCs w:val="24"/>
        </w:rPr>
        <w:t xml:space="preserve">In October 2016, the </w:t>
      </w:r>
      <w:r w:rsidR="000F61E9" w:rsidRPr="00AD6B2E">
        <w:rPr>
          <w:rFonts w:ascii="Arial" w:hAnsi="Arial" w:cs="Arial"/>
          <w:sz w:val="24"/>
          <w:szCs w:val="24"/>
        </w:rPr>
        <w:t>Council of Ministers</w:t>
      </w:r>
      <w:r w:rsidR="00702F38" w:rsidRPr="00AD6B2E">
        <w:rPr>
          <w:rFonts w:ascii="Arial" w:hAnsi="Arial" w:cs="Arial"/>
          <w:sz w:val="24"/>
          <w:szCs w:val="24"/>
        </w:rPr>
        <w:t xml:space="preserve"> </w:t>
      </w:r>
      <w:r w:rsidRPr="00AD6B2E">
        <w:rPr>
          <w:rFonts w:ascii="Arial" w:hAnsi="Arial" w:cs="Arial"/>
          <w:sz w:val="24"/>
          <w:szCs w:val="24"/>
        </w:rPr>
        <w:t xml:space="preserve">deliberated on the matter relating to remittance of assessed annual Member States contributions, as follows: </w:t>
      </w:r>
    </w:p>
    <w:p w:rsidR="00AD6B2E" w:rsidRPr="00AD6B2E" w:rsidRDefault="00AD6B2E" w:rsidP="00AD6B2E">
      <w:pPr>
        <w:jc w:val="both"/>
        <w:rPr>
          <w:rFonts w:ascii="Arial" w:hAnsi="Arial" w:cs="Arial"/>
          <w:b/>
          <w:sz w:val="24"/>
          <w:szCs w:val="24"/>
        </w:rPr>
      </w:pPr>
    </w:p>
    <w:p w:rsidR="00702F38" w:rsidRPr="00AD6B2E" w:rsidRDefault="00702F38" w:rsidP="005846BD">
      <w:pPr>
        <w:pStyle w:val="ListParagraph"/>
        <w:numPr>
          <w:ilvl w:val="0"/>
          <w:numId w:val="26"/>
        </w:numPr>
        <w:tabs>
          <w:tab w:val="left" w:pos="720"/>
        </w:tabs>
        <w:ind w:left="0" w:firstLine="0"/>
        <w:jc w:val="both"/>
        <w:rPr>
          <w:rFonts w:ascii="Arial" w:hAnsi="Arial" w:cs="Arial"/>
          <w:sz w:val="24"/>
          <w:szCs w:val="24"/>
        </w:rPr>
      </w:pPr>
      <w:r w:rsidRPr="00AD6B2E">
        <w:rPr>
          <w:rFonts w:ascii="Arial" w:hAnsi="Arial" w:cs="Arial"/>
          <w:sz w:val="24"/>
          <w:szCs w:val="24"/>
        </w:rPr>
        <w:t>Para 9 (iii):</w:t>
      </w:r>
      <w:r w:rsidRPr="00AD6B2E">
        <w:rPr>
          <w:rFonts w:ascii="Arial" w:hAnsi="Arial" w:cs="Arial"/>
          <w:sz w:val="24"/>
          <w:szCs w:val="24"/>
        </w:rPr>
        <w:tab/>
        <w:t>In considering the report on the contributions received by the Secretariat</w:t>
      </w:r>
      <w:r w:rsidR="00DE1163" w:rsidRPr="00AD6B2E">
        <w:rPr>
          <w:rFonts w:ascii="Arial" w:hAnsi="Arial" w:cs="Arial"/>
          <w:sz w:val="24"/>
          <w:szCs w:val="24"/>
        </w:rPr>
        <w:t xml:space="preserve"> (and COMESA Court of Justice and ALLPI)</w:t>
      </w:r>
      <w:r w:rsidRPr="00AD6B2E">
        <w:rPr>
          <w:rFonts w:ascii="Arial" w:hAnsi="Arial" w:cs="Arial"/>
          <w:sz w:val="24"/>
          <w:szCs w:val="24"/>
        </w:rPr>
        <w:t>, Council noted that the successful implementation of programmes by COMESA depended on the extent to which Member States contributed towards the implementation of its programmes. It was suggested that during the up-coming Council of Ministers meeting and Summit, there should be a substantive agenda on the low payment of contributions by Member States.  This matter should also be considered by the Ministers of Finance during the COMESA Fund and Governors of Central Banks meetings.</w:t>
      </w:r>
    </w:p>
    <w:p w:rsidR="00702F38" w:rsidRPr="00AD6B2E" w:rsidRDefault="00702F38" w:rsidP="00702F38">
      <w:pPr>
        <w:jc w:val="both"/>
        <w:rPr>
          <w:rFonts w:ascii="Arial" w:hAnsi="Arial" w:cs="Arial"/>
          <w:sz w:val="24"/>
          <w:szCs w:val="24"/>
        </w:rPr>
      </w:pPr>
    </w:p>
    <w:p w:rsidR="00702F38" w:rsidRPr="00AD6B2E" w:rsidRDefault="00702F38" w:rsidP="00702F38">
      <w:pPr>
        <w:jc w:val="both"/>
        <w:rPr>
          <w:rFonts w:ascii="Arial" w:hAnsi="Arial" w:cs="Arial"/>
          <w:b/>
          <w:sz w:val="24"/>
          <w:szCs w:val="24"/>
        </w:rPr>
      </w:pPr>
      <w:bookmarkStart w:id="3" w:name="_Hlk21796711"/>
      <w:r w:rsidRPr="00AD6B2E">
        <w:rPr>
          <w:rFonts w:ascii="Arial" w:hAnsi="Arial" w:cs="Arial"/>
          <w:b/>
          <w:sz w:val="24"/>
          <w:szCs w:val="24"/>
        </w:rPr>
        <w:t xml:space="preserve">Decisions </w:t>
      </w:r>
    </w:p>
    <w:p w:rsidR="00AD6B2E" w:rsidRPr="00AD6B2E" w:rsidRDefault="00AD6B2E" w:rsidP="00702F38">
      <w:pPr>
        <w:jc w:val="both"/>
        <w:rPr>
          <w:rFonts w:ascii="Arial" w:hAnsi="Arial" w:cs="Arial"/>
          <w:sz w:val="24"/>
          <w:szCs w:val="24"/>
        </w:rPr>
      </w:pPr>
    </w:p>
    <w:p w:rsidR="00702F38" w:rsidRDefault="00702F38" w:rsidP="005846BD">
      <w:pPr>
        <w:pStyle w:val="ListParagraph"/>
        <w:numPr>
          <w:ilvl w:val="0"/>
          <w:numId w:val="26"/>
        </w:numPr>
        <w:tabs>
          <w:tab w:val="left" w:pos="720"/>
        </w:tabs>
        <w:ind w:left="0" w:firstLine="0"/>
        <w:jc w:val="both"/>
        <w:rPr>
          <w:rFonts w:ascii="Arial" w:hAnsi="Arial" w:cs="Arial"/>
          <w:b/>
          <w:i/>
          <w:sz w:val="24"/>
          <w:szCs w:val="24"/>
        </w:rPr>
      </w:pPr>
      <w:r w:rsidRPr="00AD6B2E">
        <w:rPr>
          <w:rFonts w:ascii="Arial" w:hAnsi="Arial" w:cs="Arial"/>
          <w:b/>
          <w:i/>
          <w:sz w:val="24"/>
          <w:szCs w:val="24"/>
        </w:rPr>
        <w:t xml:space="preserve">Para 10 (x): Council decided that the Secretariat should submit a report on the status of contributions payable by Member States to the </w:t>
      </w:r>
      <w:bookmarkStart w:id="4" w:name="_Hlk21836684"/>
      <w:r w:rsidRPr="00AD6B2E">
        <w:rPr>
          <w:rFonts w:ascii="Arial" w:hAnsi="Arial" w:cs="Arial"/>
          <w:b/>
          <w:i/>
          <w:sz w:val="24"/>
          <w:szCs w:val="24"/>
        </w:rPr>
        <w:t xml:space="preserve">Ministers of Finance and Governors of the Central Banks </w:t>
      </w:r>
      <w:bookmarkEnd w:id="4"/>
      <w:r w:rsidRPr="00AD6B2E">
        <w:rPr>
          <w:rFonts w:ascii="Arial" w:hAnsi="Arial" w:cs="Arial"/>
          <w:b/>
          <w:i/>
          <w:sz w:val="24"/>
          <w:szCs w:val="24"/>
        </w:rPr>
        <w:t>Meeting and that of the COMESA Fund Ministerial meeting</w:t>
      </w:r>
      <w:r w:rsidR="00DE1163" w:rsidRPr="00AD6B2E">
        <w:rPr>
          <w:rFonts w:ascii="Arial" w:hAnsi="Arial" w:cs="Arial"/>
          <w:b/>
          <w:i/>
          <w:sz w:val="24"/>
          <w:szCs w:val="24"/>
        </w:rPr>
        <w:t>.</w:t>
      </w:r>
    </w:p>
    <w:p w:rsidR="00CD098A" w:rsidRPr="00AD6B2E" w:rsidRDefault="00CD098A" w:rsidP="00CD098A">
      <w:pPr>
        <w:pStyle w:val="ListParagraph"/>
        <w:ind w:left="0"/>
        <w:jc w:val="both"/>
        <w:rPr>
          <w:rFonts w:ascii="Arial" w:hAnsi="Arial" w:cs="Arial"/>
          <w:b/>
          <w:i/>
          <w:sz w:val="24"/>
          <w:szCs w:val="24"/>
        </w:rPr>
      </w:pPr>
    </w:p>
    <w:bookmarkEnd w:id="3"/>
    <w:p w:rsidR="00CD098A" w:rsidRPr="00AD6B2E" w:rsidRDefault="00CD098A" w:rsidP="00CD098A">
      <w:pPr>
        <w:jc w:val="both"/>
        <w:rPr>
          <w:rFonts w:ascii="Arial" w:hAnsi="Arial" w:cs="Arial"/>
          <w:b/>
          <w:sz w:val="24"/>
          <w:szCs w:val="24"/>
        </w:rPr>
      </w:pPr>
      <w:r>
        <w:rPr>
          <w:rFonts w:ascii="Arial" w:hAnsi="Arial" w:cs="Arial"/>
          <w:b/>
          <w:sz w:val="24"/>
          <w:szCs w:val="24"/>
        </w:rPr>
        <w:t xml:space="preserve">Action taken </w:t>
      </w:r>
      <w:r w:rsidRPr="00AD6B2E">
        <w:rPr>
          <w:rFonts w:ascii="Arial" w:hAnsi="Arial" w:cs="Arial"/>
          <w:b/>
          <w:sz w:val="24"/>
          <w:szCs w:val="24"/>
        </w:rPr>
        <w:t xml:space="preserve"> </w:t>
      </w:r>
    </w:p>
    <w:p w:rsidR="00CD098A" w:rsidRPr="00AD6B2E" w:rsidRDefault="00CD098A" w:rsidP="005846BD">
      <w:pPr>
        <w:pStyle w:val="ListParagraph"/>
        <w:numPr>
          <w:ilvl w:val="0"/>
          <w:numId w:val="26"/>
        </w:numPr>
        <w:tabs>
          <w:tab w:val="left" w:pos="720"/>
        </w:tabs>
        <w:ind w:left="0" w:firstLine="0"/>
        <w:jc w:val="both"/>
        <w:rPr>
          <w:rFonts w:ascii="Arial" w:hAnsi="Arial" w:cs="Arial"/>
          <w:b/>
          <w:i/>
          <w:sz w:val="24"/>
          <w:szCs w:val="24"/>
        </w:rPr>
      </w:pPr>
      <w:r>
        <w:rPr>
          <w:rFonts w:ascii="Arial" w:hAnsi="Arial" w:cs="Arial"/>
          <w:b/>
          <w:i/>
          <w:sz w:val="24"/>
          <w:szCs w:val="24"/>
        </w:rPr>
        <w:t xml:space="preserve">The paper has been prepared. Date of the meeting </w:t>
      </w:r>
      <w:r w:rsidR="00A83B72">
        <w:rPr>
          <w:rFonts w:ascii="Arial" w:hAnsi="Arial" w:cs="Arial"/>
          <w:b/>
          <w:i/>
          <w:sz w:val="24"/>
          <w:szCs w:val="24"/>
        </w:rPr>
        <w:t xml:space="preserve">of </w:t>
      </w:r>
      <w:r w:rsidR="00A83B72" w:rsidRPr="00AD6B2E">
        <w:rPr>
          <w:rFonts w:ascii="Arial" w:hAnsi="Arial" w:cs="Arial"/>
          <w:b/>
          <w:i/>
          <w:sz w:val="24"/>
          <w:szCs w:val="24"/>
        </w:rPr>
        <w:t xml:space="preserve">Ministers of Finance and Governors of the Central Banks </w:t>
      </w:r>
      <w:r>
        <w:rPr>
          <w:rFonts w:ascii="Arial" w:hAnsi="Arial" w:cs="Arial"/>
          <w:b/>
          <w:i/>
          <w:sz w:val="24"/>
          <w:szCs w:val="24"/>
        </w:rPr>
        <w:t>is yet to be decided by the Chair.</w:t>
      </w:r>
    </w:p>
    <w:p w:rsidR="006C63F4" w:rsidRPr="00AD6B2E" w:rsidRDefault="006C63F4" w:rsidP="006B768E">
      <w:pPr>
        <w:jc w:val="both"/>
        <w:rPr>
          <w:rFonts w:ascii="Arial" w:hAnsi="Arial" w:cs="Arial"/>
          <w:i/>
          <w:sz w:val="24"/>
          <w:szCs w:val="24"/>
        </w:rPr>
      </w:pPr>
    </w:p>
    <w:p w:rsidR="00B44C33" w:rsidRPr="00AD6B2E" w:rsidRDefault="00B44C33" w:rsidP="00293275">
      <w:pPr>
        <w:pStyle w:val="Heading3"/>
        <w:rPr>
          <w:rFonts w:ascii="Arial" w:hAnsi="Arial" w:cs="Arial"/>
          <w:b/>
          <w:color w:val="000000" w:themeColor="text1"/>
        </w:rPr>
      </w:pPr>
      <w:bookmarkStart w:id="5" w:name="_Toc22370808"/>
      <w:r w:rsidRPr="00AD6B2E">
        <w:rPr>
          <w:rFonts w:ascii="Arial" w:hAnsi="Arial" w:cs="Arial"/>
          <w:b/>
          <w:color w:val="000000" w:themeColor="text1"/>
        </w:rPr>
        <w:t xml:space="preserve">Purpose </w:t>
      </w:r>
      <w:r w:rsidR="00CD098A">
        <w:rPr>
          <w:rFonts w:ascii="Arial" w:hAnsi="Arial" w:cs="Arial"/>
          <w:b/>
          <w:color w:val="000000" w:themeColor="text1"/>
        </w:rPr>
        <w:t>of this paper</w:t>
      </w:r>
      <w:bookmarkEnd w:id="5"/>
      <w:r w:rsidR="00CD098A">
        <w:rPr>
          <w:rFonts w:ascii="Arial" w:hAnsi="Arial" w:cs="Arial"/>
          <w:b/>
          <w:color w:val="000000" w:themeColor="text1"/>
        </w:rPr>
        <w:t xml:space="preserve"> </w:t>
      </w:r>
    </w:p>
    <w:p w:rsidR="00B44C33" w:rsidRPr="00AD6B2E" w:rsidRDefault="00B44C33" w:rsidP="006B768E">
      <w:pPr>
        <w:jc w:val="both"/>
        <w:rPr>
          <w:rFonts w:ascii="Arial" w:hAnsi="Arial" w:cs="Arial"/>
          <w:sz w:val="24"/>
          <w:szCs w:val="24"/>
        </w:rPr>
      </w:pPr>
    </w:p>
    <w:p w:rsidR="000F61E9" w:rsidRPr="00AD6B2E" w:rsidRDefault="000F61E9" w:rsidP="005846BD">
      <w:pPr>
        <w:pStyle w:val="ListParagraph"/>
        <w:numPr>
          <w:ilvl w:val="0"/>
          <w:numId w:val="26"/>
        </w:numPr>
        <w:tabs>
          <w:tab w:val="left" w:pos="720"/>
        </w:tabs>
        <w:ind w:left="0" w:firstLine="0"/>
        <w:jc w:val="both"/>
        <w:rPr>
          <w:rFonts w:ascii="Arial" w:hAnsi="Arial" w:cs="Arial"/>
          <w:sz w:val="24"/>
          <w:szCs w:val="24"/>
        </w:rPr>
      </w:pPr>
      <w:r w:rsidRPr="00AD6B2E">
        <w:rPr>
          <w:rFonts w:ascii="Arial" w:hAnsi="Arial" w:cs="Arial"/>
          <w:sz w:val="24"/>
          <w:szCs w:val="24"/>
        </w:rPr>
        <w:t xml:space="preserve">Purpose of this paper is thus to engage the </w:t>
      </w:r>
      <w:r w:rsidR="00A83B72">
        <w:rPr>
          <w:rFonts w:ascii="Arial" w:hAnsi="Arial" w:cs="Arial"/>
          <w:sz w:val="24"/>
          <w:szCs w:val="24"/>
        </w:rPr>
        <w:t xml:space="preserve">Council </w:t>
      </w:r>
      <w:r w:rsidRPr="00AD6B2E">
        <w:rPr>
          <w:rFonts w:ascii="Arial" w:hAnsi="Arial" w:cs="Arial"/>
          <w:sz w:val="24"/>
          <w:szCs w:val="24"/>
        </w:rPr>
        <w:t xml:space="preserve">on measures to enhance existing framework by: </w:t>
      </w:r>
    </w:p>
    <w:p w:rsidR="000F61E9" w:rsidRPr="00AD6B2E" w:rsidRDefault="000F61E9" w:rsidP="000F61E9">
      <w:pPr>
        <w:rPr>
          <w:rFonts w:ascii="Arial" w:hAnsi="Arial" w:cs="Arial"/>
          <w:sz w:val="24"/>
          <w:szCs w:val="24"/>
        </w:rPr>
      </w:pPr>
    </w:p>
    <w:p w:rsidR="000F61E9" w:rsidRPr="00AD6B2E" w:rsidRDefault="000F61E9" w:rsidP="00AD6B2E">
      <w:pPr>
        <w:ind w:left="1440" w:hanging="720"/>
        <w:jc w:val="both"/>
        <w:rPr>
          <w:rFonts w:ascii="Arial" w:hAnsi="Arial" w:cs="Arial"/>
          <w:sz w:val="24"/>
          <w:szCs w:val="24"/>
        </w:rPr>
      </w:pPr>
      <w:r w:rsidRPr="00AD6B2E">
        <w:rPr>
          <w:rFonts w:ascii="Arial" w:hAnsi="Arial" w:cs="Arial"/>
          <w:sz w:val="24"/>
          <w:szCs w:val="24"/>
        </w:rPr>
        <w:t>(i)</w:t>
      </w:r>
      <w:r w:rsidRPr="00AD6B2E">
        <w:rPr>
          <w:rFonts w:ascii="Arial" w:hAnsi="Arial" w:cs="Arial"/>
          <w:sz w:val="24"/>
          <w:szCs w:val="24"/>
        </w:rPr>
        <w:tab/>
        <w:t>Ensuring Compliance of Treaty provisions and decisions of the Authority by Member States in remittance of assessed annual Member States contributions;</w:t>
      </w:r>
    </w:p>
    <w:p w:rsidR="000F61E9" w:rsidRPr="00AD6B2E" w:rsidRDefault="000F61E9" w:rsidP="00AD6B2E">
      <w:pPr>
        <w:ind w:left="1440" w:hanging="720"/>
        <w:jc w:val="both"/>
        <w:rPr>
          <w:rFonts w:ascii="Arial" w:hAnsi="Arial" w:cs="Arial"/>
          <w:sz w:val="24"/>
          <w:szCs w:val="24"/>
        </w:rPr>
      </w:pPr>
    </w:p>
    <w:p w:rsidR="000F61E9" w:rsidRDefault="000F61E9" w:rsidP="00AD6B2E">
      <w:pPr>
        <w:ind w:left="1440" w:hanging="720"/>
        <w:jc w:val="both"/>
        <w:rPr>
          <w:rFonts w:ascii="Arial" w:hAnsi="Arial" w:cs="Arial"/>
          <w:sz w:val="24"/>
          <w:szCs w:val="24"/>
        </w:rPr>
      </w:pPr>
      <w:r w:rsidRPr="00AD6B2E">
        <w:rPr>
          <w:rFonts w:ascii="Arial" w:hAnsi="Arial" w:cs="Arial"/>
          <w:sz w:val="24"/>
          <w:szCs w:val="24"/>
        </w:rPr>
        <w:lastRenderedPageBreak/>
        <w:t>(</w:t>
      </w:r>
      <w:r w:rsidR="006B768E" w:rsidRPr="00AD6B2E">
        <w:rPr>
          <w:rFonts w:ascii="Arial" w:hAnsi="Arial" w:cs="Arial"/>
          <w:sz w:val="24"/>
          <w:szCs w:val="24"/>
        </w:rPr>
        <w:t>i</w:t>
      </w:r>
      <w:r w:rsidRPr="00AD6B2E">
        <w:rPr>
          <w:rFonts w:ascii="Arial" w:hAnsi="Arial" w:cs="Arial"/>
          <w:sz w:val="24"/>
          <w:szCs w:val="24"/>
        </w:rPr>
        <w:t>i)</w:t>
      </w:r>
      <w:r w:rsidRPr="00AD6B2E">
        <w:rPr>
          <w:rFonts w:ascii="Arial" w:hAnsi="Arial" w:cs="Arial"/>
          <w:sz w:val="24"/>
          <w:szCs w:val="24"/>
        </w:rPr>
        <w:tab/>
      </w:r>
      <w:r w:rsidR="00A83B72">
        <w:rPr>
          <w:rFonts w:ascii="Arial" w:hAnsi="Arial" w:cs="Arial"/>
          <w:sz w:val="24"/>
          <w:szCs w:val="24"/>
        </w:rPr>
        <w:t>Facilitate</w:t>
      </w:r>
      <w:r w:rsidRPr="00AD6B2E">
        <w:rPr>
          <w:rFonts w:ascii="Arial" w:hAnsi="Arial" w:cs="Arial"/>
          <w:sz w:val="24"/>
          <w:szCs w:val="24"/>
        </w:rPr>
        <w:t xml:space="preserve"> remittance of all amounts due towards 2019 budget; </w:t>
      </w:r>
    </w:p>
    <w:p w:rsidR="00A83B72" w:rsidRPr="00AD6B2E" w:rsidRDefault="00A83B72" w:rsidP="00AD6B2E">
      <w:pPr>
        <w:ind w:left="1440" w:hanging="720"/>
        <w:jc w:val="both"/>
        <w:rPr>
          <w:rFonts w:ascii="Arial" w:hAnsi="Arial" w:cs="Arial"/>
          <w:sz w:val="24"/>
          <w:szCs w:val="24"/>
        </w:rPr>
      </w:pPr>
    </w:p>
    <w:p w:rsidR="000F61E9" w:rsidRPr="00AD6B2E" w:rsidRDefault="000F61E9" w:rsidP="00AD6B2E">
      <w:pPr>
        <w:ind w:left="1440" w:hanging="720"/>
        <w:jc w:val="both"/>
        <w:rPr>
          <w:rFonts w:ascii="Arial" w:hAnsi="Arial" w:cs="Arial"/>
          <w:sz w:val="24"/>
          <w:szCs w:val="24"/>
        </w:rPr>
      </w:pPr>
      <w:r w:rsidRPr="00AD6B2E">
        <w:rPr>
          <w:rFonts w:ascii="Arial" w:hAnsi="Arial" w:cs="Arial"/>
          <w:sz w:val="24"/>
          <w:szCs w:val="24"/>
        </w:rPr>
        <w:t>(i</w:t>
      </w:r>
      <w:r w:rsidR="006B768E" w:rsidRPr="00AD6B2E">
        <w:rPr>
          <w:rFonts w:ascii="Arial" w:hAnsi="Arial" w:cs="Arial"/>
          <w:sz w:val="24"/>
          <w:szCs w:val="24"/>
        </w:rPr>
        <w:t>i</w:t>
      </w:r>
      <w:r w:rsidRPr="00AD6B2E">
        <w:rPr>
          <w:rFonts w:ascii="Arial" w:hAnsi="Arial" w:cs="Arial"/>
          <w:sz w:val="24"/>
          <w:szCs w:val="24"/>
        </w:rPr>
        <w:t>i)</w:t>
      </w:r>
      <w:r w:rsidRPr="00AD6B2E">
        <w:rPr>
          <w:rFonts w:ascii="Arial" w:hAnsi="Arial" w:cs="Arial"/>
          <w:sz w:val="24"/>
          <w:szCs w:val="24"/>
        </w:rPr>
        <w:tab/>
      </w:r>
      <w:r w:rsidR="00AD6B2E" w:rsidRPr="00AD6B2E">
        <w:rPr>
          <w:rFonts w:ascii="Arial" w:hAnsi="Arial" w:cs="Arial"/>
          <w:sz w:val="24"/>
          <w:szCs w:val="24"/>
        </w:rPr>
        <w:t>F</w:t>
      </w:r>
      <w:r w:rsidRPr="00AD6B2E">
        <w:rPr>
          <w:rFonts w:ascii="Arial" w:hAnsi="Arial" w:cs="Arial"/>
          <w:sz w:val="24"/>
          <w:szCs w:val="24"/>
        </w:rPr>
        <w:t>acilitating submission and follow-up of a repayment plans to clear the arrears of assessed annual Member States contributions; and</w:t>
      </w:r>
    </w:p>
    <w:p w:rsidR="000F61E9" w:rsidRPr="00AD6B2E" w:rsidRDefault="000F61E9" w:rsidP="00AD6B2E">
      <w:pPr>
        <w:ind w:left="1440" w:hanging="720"/>
        <w:jc w:val="both"/>
        <w:rPr>
          <w:rFonts w:ascii="Arial" w:hAnsi="Arial" w:cs="Arial"/>
          <w:sz w:val="24"/>
          <w:szCs w:val="24"/>
        </w:rPr>
      </w:pPr>
    </w:p>
    <w:p w:rsidR="000F61E9" w:rsidRPr="00AD6B2E" w:rsidRDefault="000F61E9" w:rsidP="00AD6B2E">
      <w:pPr>
        <w:ind w:left="1440" w:hanging="720"/>
        <w:jc w:val="both"/>
        <w:rPr>
          <w:rFonts w:ascii="Arial" w:hAnsi="Arial" w:cs="Arial"/>
          <w:sz w:val="24"/>
          <w:szCs w:val="24"/>
        </w:rPr>
      </w:pPr>
      <w:r w:rsidRPr="00AD6B2E">
        <w:rPr>
          <w:rFonts w:ascii="Arial" w:hAnsi="Arial" w:cs="Arial"/>
          <w:sz w:val="24"/>
          <w:szCs w:val="24"/>
        </w:rPr>
        <w:t>(i</w:t>
      </w:r>
      <w:r w:rsidR="006B768E" w:rsidRPr="00AD6B2E">
        <w:rPr>
          <w:rFonts w:ascii="Arial" w:hAnsi="Arial" w:cs="Arial"/>
          <w:sz w:val="24"/>
          <w:szCs w:val="24"/>
        </w:rPr>
        <w:t>v</w:t>
      </w:r>
      <w:r w:rsidRPr="00AD6B2E">
        <w:rPr>
          <w:rFonts w:ascii="Arial" w:hAnsi="Arial" w:cs="Arial"/>
          <w:sz w:val="24"/>
          <w:szCs w:val="24"/>
        </w:rPr>
        <w:t>)</w:t>
      </w:r>
      <w:r w:rsidRPr="00AD6B2E">
        <w:rPr>
          <w:rFonts w:ascii="Arial" w:hAnsi="Arial" w:cs="Arial"/>
          <w:sz w:val="24"/>
          <w:szCs w:val="24"/>
        </w:rPr>
        <w:tab/>
        <w:t>Ensuring that the adequate budgetary funds, that are part of national budget are remitted at source, i.e. from Ministry of Finance and or Central Banks in each Member State.</w:t>
      </w:r>
    </w:p>
    <w:p w:rsidR="000F61E9" w:rsidRPr="00AD6B2E" w:rsidRDefault="000F61E9" w:rsidP="00AD6B2E">
      <w:pPr>
        <w:rPr>
          <w:rFonts w:ascii="Arial" w:hAnsi="Arial" w:cs="Arial"/>
          <w:sz w:val="24"/>
          <w:szCs w:val="24"/>
        </w:rPr>
      </w:pPr>
    </w:p>
    <w:p w:rsidR="00AE1F9B" w:rsidRPr="00293275" w:rsidRDefault="0045266F" w:rsidP="00231A0B">
      <w:pPr>
        <w:pStyle w:val="Heading1"/>
        <w:numPr>
          <w:ilvl w:val="0"/>
          <w:numId w:val="3"/>
        </w:numPr>
        <w:spacing w:before="0"/>
        <w:ind w:hanging="720"/>
        <w:rPr>
          <w:rFonts w:ascii="Arial" w:hAnsi="Arial" w:cs="Arial"/>
          <w:b/>
          <w:color w:val="000000" w:themeColor="text1"/>
          <w:sz w:val="24"/>
          <w:szCs w:val="24"/>
        </w:rPr>
      </w:pPr>
      <w:bookmarkStart w:id="6" w:name="_Toc22370809"/>
      <w:r w:rsidRPr="00293275">
        <w:rPr>
          <w:rFonts w:ascii="Arial" w:hAnsi="Arial" w:cs="Arial"/>
          <w:b/>
          <w:color w:val="000000" w:themeColor="text1"/>
          <w:sz w:val="24"/>
          <w:szCs w:val="24"/>
        </w:rPr>
        <w:t>EXISTING FRAMEWORK - REMITTANCE OF ASSESSED CONTRIBUTIONS</w:t>
      </w:r>
      <w:bookmarkEnd w:id="6"/>
    </w:p>
    <w:p w:rsidR="00293275" w:rsidRPr="00293275" w:rsidRDefault="00293275" w:rsidP="00293275">
      <w:pPr>
        <w:rPr>
          <w:sz w:val="24"/>
          <w:szCs w:val="24"/>
        </w:rPr>
      </w:pPr>
    </w:p>
    <w:p w:rsidR="00E2698D" w:rsidRPr="00293275" w:rsidRDefault="00E2698D" w:rsidP="00293275">
      <w:pPr>
        <w:pStyle w:val="Heading3"/>
        <w:spacing w:before="0"/>
        <w:rPr>
          <w:rFonts w:ascii="Arial" w:hAnsi="Arial" w:cs="Arial"/>
          <w:b/>
          <w:color w:val="000000" w:themeColor="text1"/>
        </w:rPr>
      </w:pPr>
      <w:bookmarkStart w:id="7" w:name="_Toc22370810"/>
      <w:r w:rsidRPr="00293275">
        <w:rPr>
          <w:rFonts w:ascii="Arial" w:hAnsi="Arial" w:cs="Arial"/>
          <w:color w:val="000000" w:themeColor="text1"/>
        </w:rPr>
        <w:t>3.1</w:t>
      </w:r>
      <w:r w:rsidRPr="00293275">
        <w:rPr>
          <w:rFonts w:ascii="Arial" w:hAnsi="Arial" w:cs="Arial"/>
          <w:b/>
          <w:color w:val="000000" w:themeColor="text1"/>
        </w:rPr>
        <w:tab/>
        <w:t xml:space="preserve">Treaty </w:t>
      </w:r>
      <w:r w:rsidR="00293275" w:rsidRPr="00293275">
        <w:rPr>
          <w:rFonts w:ascii="Arial" w:hAnsi="Arial" w:cs="Arial"/>
          <w:b/>
          <w:color w:val="000000" w:themeColor="text1"/>
        </w:rPr>
        <w:t>P</w:t>
      </w:r>
      <w:r w:rsidRPr="00293275">
        <w:rPr>
          <w:rFonts w:ascii="Arial" w:hAnsi="Arial" w:cs="Arial"/>
          <w:b/>
          <w:color w:val="000000" w:themeColor="text1"/>
        </w:rPr>
        <w:t>rovisions</w:t>
      </w:r>
      <w:bookmarkEnd w:id="7"/>
    </w:p>
    <w:p w:rsidR="00E2698D" w:rsidRPr="00293275" w:rsidRDefault="00E2698D" w:rsidP="00293275">
      <w:pPr>
        <w:rPr>
          <w:rFonts w:ascii="Arial" w:hAnsi="Arial" w:cs="Arial"/>
          <w:color w:val="000000" w:themeColor="text1"/>
          <w:sz w:val="24"/>
          <w:szCs w:val="24"/>
        </w:rPr>
      </w:pPr>
    </w:p>
    <w:p w:rsidR="00E2698D" w:rsidRPr="00293275" w:rsidRDefault="00E2698D" w:rsidP="00293275">
      <w:pPr>
        <w:pStyle w:val="DefaultText"/>
        <w:tabs>
          <w:tab w:val="clear" w:pos="-709"/>
        </w:tabs>
        <w:spacing w:line="240" w:lineRule="auto"/>
        <w:ind w:left="720"/>
        <w:rPr>
          <w:rFonts w:ascii="Arial" w:hAnsi="Arial" w:cs="Arial"/>
          <w:b/>
          <w:color w:val="000000" w:themeColor="text1"/>
        </w:rPr>
      </w:pPr>
      <w:r w:rsidRPr="00293275">
        <w:rPr>
          <w:rFonts w:ascii="Arial" w:hAnsi="Arial" w:cs="Arial"/>
          <w:b/>
          <w:color w:val="000000" w:themeColor="text1"/>
        </w:rPr>
        <w:t>Source: COMESA Treaty</w:t>
      </w:r>
    </w:p>
    <w:p w:rsidR="00E2698D" w:rsidRPr="00293275" w:rsidRDefault="00E2698D" w:rsidP="00293275">
      <w:pPr>
        <w:pStyle w:val="DefaultText"/>
        <w:tabs>
          <w:tab w:val="clear" w:pos="-709"/>
        </w:tabs>
        <w:spacing w:line="240" w:lineRule="auto"/>
        <w:ind w:left="720"/>
        <w:rPr>
          <w:rFonts w:ascii="Arial" w:hAnsi="Arial" w:cs="Arial"/>
          <w:i/>
          <w:color w:val="000000" w:themeColor="text1"/>
        </w:rPr>
      </w:pPr>
      <w:r w:rsidRPr="00293275">
        <w:rPr>
          <w:rFonts w:ascii="Arial" w:eastAsiaTheme="minorEastAsia" w:hAnsi="Arial" w:cs="Arial"/>
          <w:b/>
          <w:color w:val="000000" w:themeColor="text1"/>
        </w:rPr>
        <w:t>Article 166(6):</w:t>
      </w:r>
      <w:r w:rsidRPr="00293275">
        <w:rPr>
          <w:rFonts w:ascii="Arial" w:hAnsi="Arial" w:cs="Arial"/>
          <w:i/>
          <w:color w:val="000000" w:themeColor="text1"/>
        </w:rPr>
        <w:t xml:space="preserve"> “Fifty per cent of the contributions for each Member State shall be paid into the budget of the Secretariat within one month from the beginning of the financial year to which they </w:t>
      </w:r>
      <w:r w:rsidR="00293275" w:rsidRPr="00293275">
        <w:rPr>
          <w:rFonts w:ascii="Arial" w:hAnsi="Arial" w:cs="Arial"/>
          <w:i/>
          <w:color w:val="000000" w:themeColor="text1"/>
        </w:rPr>
        <w:t>relate,</w:t>
      </w:r>
      <w:r w:rsidRPr="00293275">
        <w:rPr>
          <w:rFonts w:ascii="Arial" w:hAnsi="Arial" w:cs="Arial"/>
          <w:i/>
          <w:color w:val="000000" w:themeColor="text1"/>
        </w:rPr>
        <w:t xml:space="preserve"> and the remainder shall be paid within six months from the beginning of the financial year”.</w:t>
      </w:r>
    </w:p>
    <w:p w:rsidR="00E2698D" w:rsidRPr="00293275" w:rsidRDefault="00E2698D" w:rsidP="00293275">
      <w:pPr>
        <w:pStyle w:val="DefaultText"/>
        <w:tabs>
          <w:tab w:val="clear" w:pos="-709"/>
        </w:tabs>
        <w:spacing w:line="240" w:lineRule="auto"/>
        <w:rPr>
          <w:rFonts w:ascii="Arial" w:hAnsi="Arial" w:cs="Arial"/>
          <w:color w:val="000000" w:themeColor="text1"/>
        </w:rPr>
      </w:pPr>
    </w:p>
    <w:p w:rsidR="00E2698D" w:rsidRPr="00293275" w:rsidRDefault="00E2698D" w:rsidP="00293275">
      <w:pPr>
        <w:pStyle w:val="DefaultText"/>
        <w:tabs>
          <w:tab w:val="clear" w:pos="-709"/>
        </w:tabs>
        <w:spacing w:line="240" w:lineRule="auto"/>
        <w:ind w:left="720"/>
        <w:rPr>
          <w:rFonts w:ascii="Arial" w:hAnsi="Arial" w:cs="Arial"/>
          <w:b/>
          <w:color w:val="000000" w:themeColor="text1"/>
        </w:rPr>
      </w:pPr>
      <w:r w:rsidRPr="00293275">
        <w:rPr>
          <w:rFonts w:ascii="Arial" w:hAnsi="Arial" w:cs="Arial"/>
          <w:b/>
          <w:color w:val="000000" w:themeColor="text1"/>
        </w:rPr>
        <w:t>Source: COMESA Treaty</w:t>
      </w:r>
    </w:p>
    <w:p w:rsidR="00E2698D" w:rsidRPr="00293275" w:rsidRDefault="00E2698D" w:rsidP="00293275">
      <w:pPr>
        <w:ind w:left="720"/>
        <w:jc w:val="both"/>
        <w:rPr>
          <w:rFonts w:ascii="Arial" w:eastAsiaTheme="minorEastAsia" w:hAnsi="Arial" w:cs="Arial"/>
          <w:i/>
          <w:color w:val="000000" w:themeColor="text1"/>
          <w:sz w:val="24"/>
          <w:szCs w:val="24"/>
        </w:rPr>
      </w:pPr>
      <w:r w:rsidRPr="00293275">
        <w:rPr>
          <w:rFonts w:ascii="Arial" w:eastAsiaTheme="minorEastAsia" w:hAnsi="Arial" w:cs="Arial"/>
          <w:b/>
          <w:i/>
          <w:color w:val="000000" w:themeColor="text1"/>
          <w:sz w:val="24"/>
          <w:szCs w:val="24"/>
        </w:rPr>
        <w:t>ARTICLE 171 (6) Sanctions)</w:t>
      </w:r>
      <w:r w:rsidRPr="00293275">
        <w:rPr>
          <w:rFonts w:ascii="Arial" w:eastAsiaTheme="minorEastAsia" w:hAnsi="Arial" w:cs="Arial"/>
          <w:i/>
          <w:color w:val="000000" w:themeColor="text1"/>
          <w:sz w:val="24"/>
          <w:szCs w:val="24"/>
        </w:rPr>
        <w:t>:  Where a Member State is in arrears for more than two years in the payment of its contributions for reasons other than those caused by public or natural calamity or exceptional circumstance that gravely affects its economy, such Member State may, by a resolution of the Authority, be suspended from taking part in the activities of the Common Market and shall cease to enjoy the benefits provided for under this Treaty.</w:t>
      </w:r>
    </w:p>
    <w:p w:rsidR="00E2698D" w:rsidRPr="00293275" w:rsidRDefault="00E2698D" w:rsidP="00293275">
      <w:pPr>
        <w:pStyle w:val="Heading3"/>
        <w:spacing w:before="0"/>
        <w:rPr>
          <w:rFonts w:ascii="Arial" w:hAnsi="Arial" w:cs="Arial"/>
          <w:b/>
          <w:color w:val="000000" w:themeColor="text1"/>
        </w:rPr>
      </w:pPr>
    </w:p>
    <w:p w:rsidR="00E2698D" w:rsidRPr="00293275" w:rsidRDefault="00E2698D" w:rsidP="00293275">
      <w:pPr>
        <w:pStyle w:val="Heading3"/>
        <w:spacing w:before="0"/>
        <w:ind w:left="720" w:hanging="720"/>
        <w:rPr>
          <w:rFonts w:ascii="Arial" w:hAnsi="Arial" w:cs="Arial"/>
          <w:b/>
        </w:rPr>
      </w:pPr>
      <w:bookmarkStart w:id="8" w:name="_Toc22370811"/>
      <w:r w:rsidRPr="00293275">
        <w:rPr>
          <w:rFonts w:ascii="Arial" w:hAnsi="Arial" w:cs="Arial"/>
          <w:b/>
        </w:rPr>
        <w:t>3.2</w:t>
      </w:r>
      <w:r w:rsidRPr="00293275">
        <w:rPr>
          <w:rFonts w:ascii="Arial" w:hAnsi="Arial" w:cs="Arial"/>
          <w:b/>
        </w:rPr>
        <w:tab/>
      </w:r>
      <w:r w:rsidRPr="00293275">
        <w:rPr>
          <w:rFonts w:ascii="Arial" w:hAnsi="Arial" w:cs="Arial"/>
          <w:b/>
          <w:color w:val="000000" w:themeColor="text1"/>
        </w:rPr>
        <w:t>Decisions of the Authority</w:t>
      </w:r>
      <w:bookmarkEnd w:id="8"/>
    </w:p>
    <w:p w:rsidR="00E2698D" w:rsidRPr="00293275" w:rsidRDefault="00E2698D" w:rsidP="00293275">
      <w:pPr>
        <w:pStyle w:val="DefaultText"/>
        <w:tabs>
          <w:tab w:val="clear" w:pos="-709"/>
        </w:tabs>
        <w:spacing w:line="240" w:lineRule="auto"/>
        <w:ind w:left="720"/>
        <w:rPr>
          <w:rFonts w:ascii="Arial" w:hAnsi="Arial" w:cs="Arial"/>
        </w:rPr>
      </w:pPr>
    </w:p>
    <w:p w:rsidR="00E2698D" w:rsidRPr="00293275" w:rsidRDefault="00E2698D" w:rsidP="00293275">
      <w:pPr>
        <w:pStyle w:val="DefaultText"/>
        <w:tabs>
          <w:tab w:val="clear" w:pos="-709"/>
        </w:tabs>
        <w:spacing w:line="240" w:lineRule="auto"/>
        <w:ind w:firstLine="720"/>
        <w:rPr>
          <w:rFonts w:ascii="Arial" w:hAnsi="Arial" w:cs="Arial"/>
          <w:b/>
        </w:rPr>
      </w:pPr>
      <w:r w:rsidRPr="00293275">
        <w:rPr>
          <w:rFonts w:ascii="Arial" w:hAnsi="Arial" w:cs="Arial"/>
          <w:b/>
        </w:rPr>
        <w:t>Source: Second Summit of the COMESA Authority (April 1997)</w:t>
      </w:r>
    </w:p>
    <w:p w:rsidR="00E2698D" w:rsidRPr="00293275" w:rsidRDefault="00E2698D" w:rsidP="00231A0B">
      <w:pPr>
        <w:pStyle w:val="ListParagraph"/>
        <w:numPr>
          <w:ilvl w:val="0"/>
          <w:numId w:val="2"/>
        </w:numPr>
        <w:ind w:left="1440"/>
        <w:jc w:val="both"/>
        <w:rPr>
          <w:rFonts w:ascii="Arial" w:hAnsi="Arial" w:cs="Arial"/>
          <w:i/>
          <w:sz w:val="24"/>
          <w:szCs w:val="24"/>
        </w:rPr>
      </w:pPr>
      <w:r w:rsidRPr="00293275">
        <w:rPr>
          <w:rFonts w:ascii="Arial" w:hAnsi="Arial" w:cs="Arial"/>
          <w:i/>
          <w:sz w:val="24"/>
          <w:szCs w:val="24"/>
        </w:rPr>
        <w:t>Any Member State that failed to meet its budgetary commitments for two or more years should have all benefits and operations suspended in that Country and lose its rights and privileges, including addressing Policy Organs Meetings.  The suspension should also cover all new extra budgetary resources, projects, except these currently being implemented;</w:t>
      </w:r>
    </w:p>
    <w:p w:rsidR="00E2698D" w:rsidRPr="00293275" w:rsidRDefault="00E2698D" w:rsidP="00293275">
      <w:pPr>
        <w:pStyle w:val="ListParagraph"/>
        <w:ind w:left="1440" w:hanging="720"/>
        <w:jc w:val="both"/>
        <w:rPr>
          <w:rFonts w:ascii="Arial" w:hAnsi="Arial" w:cs="Arial"/>
          <w:i/>
          <w:sz w:val="24"/>
          <w:szCs w:val="24"/>
        </w:rPr>
      </w:pPr>
    </w:p>
    <w:p w:rsidR="00E2698D" w:rsidRPr="00293275" w:rsidRDefault="00E2698D" w:rsidP="00231A0B">
      <w:pPr>
        <w:pStyle w:val="ListParagraph"/>
        <w:numPr>
          <w:ilvl w:val="0"/>
          <w:numId w:val="2"/>
        </w:numPr>
        <w:ind w:left="1440"/>
        <w:jc w:val="both"/>
        <w:rPr>
          <w:rFonts w:ascii="Arial" w:hAnsi="Arial" w:cs="Arial"/>
          <w:i/>
          <w:sz w:val="24"/>
          <w:szCs w:val="24"/>
        </w:rPr>
      </w:pPr>
      <w:r w:rsidRPr="00293275">
        <w:rPr>
          <w:rFonts w:ascii="Arial" w:hAnsi="Arial" w:cs="Arial"/>
          <w:i/>
          <w:sz w:val="24"/>
          <w:szCs w:val="24"/>
        </w:rPr>
        <w:t xml:space="preserve">All arrears at the end of every financial year should accrue interest of one per cent; and </w:t>
      </w:r>
    </w:p>
    <w:p w:rsidR="00E2698D" w:rsidRPr="00293275" w:rsidRDefault="00E2698D" w:rsidP="00293275">
      <w:pPr>
        <w:pStyle w:val="ListParagraph"/>
        <w:ind w:left="1440" w:hanging="720"/>
        <w:jc w:val="both"/>
        <w:rPr>
          <w:rFonts w:ascii="Arial" w:hAnsi="Arial" w:cs="Arial"/>
          <w:i/>
          <w:sz w:val="24"/>
          <w:szCs w:val="24"/>
        </w:rPr>
      </w:pPr>
    </w:p>
    <w:p w:rsidR="00E2698D" w:rsidRPr="00293275" w:rsidRDefault="00E2698D" w:rsidP="00231A0B">
      <w:pPr>
        <w:pStyle w:val="ListParagraph"/>
        <w:numPr>
          <w:ilvl w:val="0"/>
          <w:numId w:val="2"/>
        </w:numPr>
        <w:ind w:left="1440"/>
        <w:jc w:val="both"/>
        <w:rPr>
          <w:rFonts w:ascii="Arial" w:hAnsi="Arial" w:cs="Arial"/>
          <w:i/>
          <w:sz w:val="24"/>
          <w:szCs w:val="24"/>
        </w:rPr>
      </w:pPr>
      <w:r w:rsidRPr="00293275">
        <w:rPr>
          <w:rFonts w:ascii="Arial" w:hAnsi="Arial" w:cs="Arial"/>
          <w:i/>
          <w:sz w:val="24"/>
          <w:szCs w:val="24"/>
        </w:rPr>
        <w:t>No new recruitment should be undertaken from Member States with arrears of two years or more.</w:t>
      </w:r>
    </w:p>
    <w:p w:rsidR="00E2698D" w:rsidRPr="00293275" w:rsidRDefault="00E2698D" w:rsidP="00293275">
      <w:pPr>
        <w:pStyle w:val="DefaultText"/>
        <w:tabs>
          <w:tab w:val="clear" w:pos="-709"/>
        </w:tabs>
        <w:spacing w:line="240" w:lineRule="auto"/>
        <w:ind w:left="1440" w:hanging="720"/>
        <w:rPr>
          <w:rFonts w:ascii="Arial" w:hAnsi="Arial" w:cs="Arial"/>
        </w:rPr>
      </w:pPr>
    </w:p>
    <w:p w:rsidR="00E2698D" w:rsidRPr="00293275" w:rsidRDefault="00E2698D" w:rsidP="00293275">
      <w:pPr>
        <w:pStyle w:val="DefaultText"/>
        <w:tabs>
          <w:tab w:val="clear" w:pos="-709"/>
        </w:tabs>
        <w:spacing w:line="240" w:lineRule="auto"/>
        <w:ind w:firstLine="630"/>
        <w:rPr>
          <w:rFonts w:ascii="Arial" w:hAnsi="Arial" w:cs="Arial"/>
          <w:b/>
        </w:rPr>
      </w:pPr>
      <w:r w:rsidRPr="00293275">
        <w:rPr>
          <w:rFonts w:ascii="Arial" w:hAnsi="Arial" w:cs="Arial"/>
          <w:b/>
        </w:rPr>
        <w:t>Source: Fourth Summit of the COMESA Authority (May 1999)</w:t>
      </w:r>
    </w:p>
    <w:p w:rsidR="00E2698D" w:rsidRPr="00293275" w:rsidRDefault="00E2698D" w:rsidP="00DD7E20">
      <w:pPr>
        <w:pStyle w:val="ListParagraph"/>
        <w:ind w:left="630"/>
        <w:jc w:val="both"/>
        <w:rPr>
          <w:rFonts w:ascii="Arial" w:eastAsiaTheme="minorEastAsia" w:hAnsi="Arial" w:cs="Arial"/>
          <w:i/>
          <w:sz w:val="24"/>
          <w:szCs w:val="24"/>
        </w:rPr>
      </w:pPr>
      <w:r w:rsidRPr="00293275">
        <w:rPr>
          <w:rFonts w:ascii="Arial" w:eastAsiaTheme="minorEastAsia" w:hAnsi="Arial" w:cs="Arial"/>
          <w:i/>
          <w:sz w:val="24"/>
          <w:szCs w:val="24"/>
        </w:rPr>
        <w:t xml:space="preserve">Where the (COMESA) Authority had waived the application of sanctions on any State and such state failed to comply with her repayment plan, then such state shall </w:t>
      </w:r>
      <w:r w:rsidRPr="00DD7E20">
        <w:rPr>
          <w:rFonts w:ascii="Arial" w:hAnsi="Arial" w:cs="Arial"/>
          <w:sz w:val="24"/>
          <w:szCs w:val="24"/>
        </w:rPr>
        <w:t>automatically</w:t>
      </w:r>
      <w:r w:rsidRPr="00293275">
        <w:rPr>
          <w:rFonts w:ascii="Arial" w:eastAsiaTheme="minorEastAsia" w:hAnsi="Arial" w:cs="Arial"/>
          <w:i/>
          <w:sz w:val="24"/>
          <w:szCs w:val="24"/>
        </w:rPr>
        <w:t xml:space="preserve"> </w:t>
      </w:r>
      <w:r w:rsidR="00DD7E20">
        <w:rPr>
          <w:rFonts w:ascii="Arial" w:eastAsiaTheme="minorEastAsia" w:hAnsi="Arial" w:cs="Arial"/>
          <w:i/>
          <w:sz w:val="24"/>
          <w:szCs w:val="24"/>
        </w:rPr>
        <w:t xml:space="preserve">  </w:t>
      </w:r>
      <w:r w:rsidRPr="00293275">
        <w:rPr>
          <w:rFonts w:ascii="Arial" w:eastAsiaTheme="minorEastAsia" w:hAnsi="Arial" w:cs="Arial"/>
          <w:i/>
          <w:sz w:val="24"/>
          <w:szCs w:val="24"/>
        </w:rPr>
        <w:t>revert into the sanction status.</w:t>
      </w:r>
    </w:p>
    <w:p w:rsidR="00DD7E20" w:rsidRDefault="00DD7E20" w:rsidP="00293275">
      <w:pPr>
        <w:pStyle w:val="Heading3"/>
        <w:spacing w:before="0"/>
        <w:jc w:val="both"/>
        <w:rPr>
          <w:rFonts w:ascii="Times New Roman" w:hAnsi="Times New Roman" w:cs="Times New Roman"/>
          <w:b/>
          <w:sz w:val="22"/>
          <w:szCs w:val="22"/>
        </w:rPr>
      </w:pPr>
    </w:p>
    <w:p w:rsidR="00E2698D" w:rsidRPr="00293275" w:rsidRDefault="00E2698D" w:rsidP="00293275">
      <w:pPr>
        <w:pStyle w:val="Heading3"/>
        <w:spacing w:before="0"/>
        <w:jc w:val="both"/>
        <w:rPr>
          <w:rFonts w:ascii="Arial" w:hAnsi="Arial" w:cs="Arial"/>
          <w:b/>
          <w:color w:val="000000" w:themeColor="text1"/>
        </w:rPr>
      </w:pPr>
      <w:bookmarkStart w:id="9" w:name="_Toc22370812"/>
      <w:r w:rsidRPr="00293275">
        <w:rPr>
          <w:rFonts w:ascii="Arial" w:hAnsi="Arial" w:cs="Arial"/>
          <w:b/>
          <w:color w:val="000000" w:themeColor="text1"/>
        </w:rPr>
        <w:t>3.3</w:t>
      </w:r>
      <w:r w:rsidRPr="0003796E">
        <w:rPr>
          <w:rFonts w:ascii="Times New Roman" w:hAnsi="Times New Roman" w:cs="Times New Roman"/>
          <w:b/>
          <w:sz w:val="22"/>
          <w:szCs w:val="22"/>
        </w:rPr>
        <w:tab/>
      </w:r>
      <w:r w:rsidR="009E5887" w:rsidRPr="00293275">
        <w:rPr>
          <w:rFonts w:ascii="Arial" w:hAnsi="Arial" w:cs="Arial"/>
          <w:b/>
          <w:color w:val="000000" w:themeColor="text1"/>
        </w:rPr>
        <w:t>Relevant Financial Rules</w:t>
      </w:r>
      <w:r w:rsidR="00306E80" w:rsidRPr="00293275">
        <w:rPr>
          <w:rFonts w:ascii="Arial" w:hAnsi="Arial" w:cs="Arial"/>
          <w:b/>
          <w:color w:val="000000" w:themeColor="text1"/>
        </w:rPr>
        <w:t xml:space="preserve">, </w:t>
      </w:r>
      <w:r w:rsidR="009E5887" w:rsidRPr="00293275">
        <w:rPr>
          <w:rFonts w:ascii="Arial" w:hAnsi="Arial" w:cs="Arial"/>
          <w:b/>
          <w:color w:val="000000" w:themeColor="text1"/>
        </w:rPr>
        <w:t>Regulations</w:t>
      </w:r>
      <w:r w:rsidR="00306E80" w:rsidRPr="00293275">
        <w:rPr>
          <w:rFonts w:ascii="Arial" w:hAnsi="Arial" w:cs="Arial"/>
          <w:b/>
          <w:color w:val="000000" w:themeColor="text1"/>
        </w:rPr>
        <w:t xml:space="preserve"> and Debtors Policy</w:t>
      </w:r>
      <w:bookmarkEnd w:id="9"/>
    </w:p>
    <w:p w:rsidR="00293275" w:rsidRPr="00293275" w:rsidRDefault="00293275" w:rsidP="00293275">
      <w:pPr>
        <w:jc w:val="both"/>
        <w:rPr>
          <w:rFonts w:ascii="Arial" w:hAnsi="Arial" w:cs="Arial"/>
          <w:sz w:val="24"/>
          <w:szCs w:val="24"/>
        </w:rPr>
      </w:pPr>
    </w:p>
    <w:p w:rsidR="00306E80" w:rsidRPr="00293275" w:rsidRDefault="00306E80" w:rsidP="005846BD">
      <w:pPr>
        <w:pStyle w:val="ListParagraph"/>
        <w:numPr>
          <w:ilvl w:val="0"/>
          <w:numId w:val="26"/>
        </w:numPr>
        <w:tabs>
          <w:tab w:val="left" w:pos="720"/>
        </w:tabs>
        <w:ind w:left="0" w:firstLine="0"/>
        <w:jc w:val="both"/>
        <w:rPr>
          <w:rFonts w:ascii="Arial" w:hAnsi="Arial" w:cs="Arial"/>
          <w:sz w:val="24"/>
          <w:szCs w:val="24"/>
        </w:rPr>
      </w:pPr>
      <w:r w:rsidRPr="00293275">
        <w:rPr>
          <w:rFonts w:ascii="Arial" w:hAnsi="Arial" w:cs="Arial"/>
          <w:sz w:val="24"/>
          <w:szCs w:val="24"/>
        </w:rPr>
        <w:t xml:space="preserve">The Council has enacted Financial Rules, Regulations and Debtors Policy, to ensure adherence to standards and risk management practices, pertaining assessed contributions from Member States. </w:t>
      </w:r>
      <w:r w:rsidR="00293275" w:rsidRPr="00293275">
        <w:rPr>
          <w:rFonts w:ascii="Arial" w:hAnsi="Arial" w:cs="Arial"/>
          <w:sz w:val="24"/>
          <w:szCs w:val="24"/>
        </w:rPr>
        <w:t>These provisions</w:t>
      </w:r>
      <w:r w:rsidRPr="00293275">
        <w:rPr>
          <w:rFonts w:ascii="Arial" w:hAnsi="Arial" w:cs="Arial"/>
          <w:sz w:val="24"/>
          <w:szCs w:val="24"/>
        </w:rPr>
        <w:t xml:space="preserve"> are adhered to by the COMESA Secretariat and Its institutions. They relate to:</w:t>
      </w:r>
    </w:p>
    <w:p w:rsidR="00306E80" w:rsidRPr="00293275" w:rsidRDefault="00306E80" w:rsidP="00293275">
      <w:pPr>
        <w:jc w:val="both"/>
        <w:rPr>
          <w:rFonts w:ascii="Arial" w:hAnsi="Arial" w:cs="Arial"/>
          <w:sz w:val="24"/>
          <w:szCs w:val="24"/>
        </w:rPr>
      </w:pPr>
    </w:p>
    <w:p w:rsidR="00306E80" w:rsidRPr="00293275" w:rsidRDefault="00306E80" w:rsidP="00293275">
      <w:pPr>
        <w:ind w:firstLine="720"/>
        <w:rPr>
          <w:rFonts w:ascii="Arial" w:hAnsi="Arial" w:cs="Arial"/>
          <w:sz w:val="24"/>
          <w:szCs w:val="24"/>
        </w:rPr>
      </w:pPr>
      <w:r w:rsidRPr="00293275">
        <w:rPr>
          <w:rFonts w:ascii="Arial" w:hAnsi="Arial" w:cs="Arial"/>
          <w:sz w:val="24"/>
          <w:szCs w:val="24"/>
        </w:rPr>
        <w:t>PART II – DEBTORS CONTROL ACTIVITIES</w:t>
      </w:r>
      <w:r w:rsidRPr="00293275">
        <w:rPr>
          <w:rFonts w:ascii="Arial" w:hAnsi="Arial" w:cs="Arial"/>
          <w:sz w:val="24"/>
          <w:szCs w:val="24"/>
        </w:rPr>
        <w:tab/>
      </w:r>
    </w:p>
    <w:p w:rsidR="00306E80" w:rsidRPr="00293275" w:rsidRDefault="00306E80" w:rsidP="00293275">
      <w:pPr>
        <w:ind w:left="720"/>
        <w:rPr>
          <w:rFonts w:ascii="Arial" w:hAnsi="Arial" w:cs="Arial"/>
          <w:sz w:val="24"/>
          <w:szCs w:val="24"/>
        </w:rPr>
      </w:pPr>
      <w:r w:rsidRPr="00293275">
        <w:rPr>
          <w:rFonts w:ascii="Arial" w:hAnsi="Arial" w:cs="Arial"/>
          <w:sz w:val="24"/>
          <w:szCs w:val="24"/>
        </w:rPr>
        <w:t>Article 4 - Establishing debtor</w:t>
      </w:r>
    </w:p>
    <w:p w:rsidR="00306E80" w:rsidRPr="00293275" w:rsidRDefault="00306E80" w:rsidP="00293275">
      <w:pPr>
        <w:ind w:left="720"/>
        <w:rPr>
          <w:rFonts w:ascii="Arial" w:hAnsi="Arial" w:cs="Arial"/>
          <w:sz w:val="24"/>
          <w:szCs w:val="24"/>
        </w:rPr>
      </w:pPr>
      <w:r w:rsidRPr="00293275">
        <w:rPr>
          <w:rFonts w:ascii="Arial" w:hAnsi="Arial" w:cs="Arial"/>
          <w:sz w:val="24"/>
          <w:szCs w:val="24"/>
        </w:rPr>
        <w:t>Article 5 - Initial recognition and measurement</w:t>
      </w:r>
      <w:r w:rsidRPr="00293275">
        <w:rPr>
          <w:rFonts w:ascii="Arial" w:hAnsi="Arial" w:cs="Arial"/>
          <w:sz w:val="24"/>
          <w:szCs w:val="24"/>
        </w:rPr>
        <w:tab/>
      </w:r>
    </w:p>
    <w:p w:rsidR="00306E80" w:rsidRPr="00293275" w:rsidRDefault="00306E80" w:rsidP="00293275">
      <w:pPr>
        <w:ind w:left="720"/>
        <w:rPr>
          <w:rFonts w:ascii="Arial" w:hAnsi="Arial" w:cs="Arial"/>
          <w:sz w:val="24"/>
          <w:szCs w:val="24"/>
        </w:rPr>
      </w:pPr>
      <w:r w:rsidRPr="00293275">
        <w:rPr>
          <w:rFonts w:ascii="Arial" w:hAnsi="Arial" w:cs="Arial"/>
          <w:sz w:val="24"/>
          <w:szCs w:val="24"/>
        </w:rPr>
        <w:t>Article 6 - Subsequent recognition and measurement</w:t>
      </w:r>
      <w:r w:rsidRPr="00293275">
        <w:rPr>
          <w:rFonts w:ascii="Arial" w:hAnsi="Arial" w:cs="Arial"/>
          <w:sz w:val="24"/>
          <w:szCs w:val="24"/>
        </w:rPr>
        <w:tab/>
      </w:r>
    </w:p>
    <w:p w:rsidR="00306E80" w:rsidRPr="00293275" w:rsidRDefault="00306E80" w:rsidP="00293275">
      <w:pPr>
        <w:ind w:left="720"/>
        <w:rPr>
          <w:rFonts w:ascii="Arial" w:hAnsi="Arial" w:cs="Arial"/>
          <w:sz w:val="24"/>
          <w:szCs w:val="24"/>
        </w:rPr>
      </w:pPr>
      <w:r w:rsidRPr="00293275">
        <w:rPr>
          <w:rFonts w:ascii="Arial" w:hAnsi="Arial" w:cs="Arial"/>
          <w:sz w:val="24"/>
          <w:szCs w:val="24"/>
        </w:rPr>
        <w:t>Article 7 – Collections</w:t>
      </w:r>
    </w:p>
    <w:p w:rsidR="00306E80" w:rsidRPr="00293275" w:rsidRDefault="00306E80" w:rsidP="00293275">
      <w:pPr>
        <w:ind w:left="720"/>
        <w:rPr>
          <w:rFonts w:ascii="Arial" w:hAnsi="Arial" w:cs="Arial"/>
          <w:sz w:val="24"/>
          <w:szCs w:val="24"/>
        </w:rPr>
      </w:pPr>
      <w:r w:rsidRPr="00293275">
        <w:rPr>
          <w:rFonts w:ascii="Arial" w:hAnsi="Arial" w:cs="Arial"/>
          <w:sz w:val="24"/>
          <w:szCs w:val="24"/>
        </w:rPr>
        <w:t>Article 8 – Provisions for estimated uncollectible debtors</w:t>
      </w:r>
      <w:r w:rsidRPr="00293275">
        <w:rPr>
          <w:rFonts w:ascii="Arial" w:hAnsi="Arial" w:cs="Arial"/>
          <w:sz w:val="24"/>
          <w:szCs w:val="24"/>
        </w:rPr>
        <w:tab/>
      </w:r>
    </w:p>
    <w:p w:rsidR="00306E80" w:rsidRPr="00293275" w:rsidRDefault="00306E80" w:rsidP="00293275">
      <w:pPr>
        <w:ind w:left="720"/>
        <w:rPr>
          <w:rFonts w:ascii="Arial" w:hAnsi="Arial" w:cs="Arial"/>
          <w:sz w:val="24"/>
          <w:szCs w:val="24"/>
        </w:rPr>
      </w:pPr>
      <w:r w:rsidRPr="00293275">
        <w:rPr>
          <w:rFonts w:ascii="Arial" w:hAnsi="Arial" w:cs="Arial"/>
          <w:sz w:val="24"/>
          <w:szCs w:val="24"/>
        </w:rPr>
        <w:t>Article 9 - Write-off</w:t>
      </w:r>
    </w:p>
    <w:p w:rsidR="00306E80" w:rsidRPr="00293275" w:rsidRDefault="00306E80" w:rsidP="00293275">
      <w:pPr>
        <w:ind w:firstLine="720"/>
        <w:rPr>
          <w:rFonts w:ascii="Arial" w:hAnsi="Arial" w:cs="Arial"/>
          <w:sz w:val="24"/>
          <w:szCs w:val="24"/>
        </w:rPr>
      </w:pPr>
      <w:r w:rsidRPr="00293275">
        <w:rPr>
          <w:rFonts w:ascii="Arial" w:hAnsi="Arial" w:cs="Arial"/>
          <w:sz w:val="24"/>
          <w:szCs w:val="24"/>
        </w:rPr>
        <w:t>PART III – IDENTIFICATION OF DEBTORS</w:t>
      </w:r>
    </w:p>
    <w:p w:rsidR="00306E80" w:rsidRPr="00293275" w:rsidRDefault="00306E80" w:rsidP="00293275">
      <w:pPr>
        <w:ind w:left="720"/>
        <w:rPr>
          <w:rFonts w:ascii="Arial" w:hAnsi="Arial" w:cs="Arial"/>
          <w:sz w:val="24"/>
          <w:szCs w:val="24"/>
        </w:rPr>
      </w:pPr>
      <w:r w:rsidRPr="00293275">
        <w:rPr>
          <w:rFonts w:ascii="Arial" w:hAnsi="Arial" w:cs="Arial"/>
          <w:sz w:val="24"/>
          <w:szCs w:val="24"/>
        </w:rPr>
        <w:t xml:space="preserve">Article 10 - </w:t>
      </w:r>
      <w:r w:rsidRPr="00293275">
        <w:rPr>
          <w:rFonts w:ascii="Arial" w:hAnsi="Arial" w:cs="Arial"/>
          <w:sz w:val="24"/>
          <w:szCs w:val="24"/>
        </w:rPr>
        <w:tab/>
        <w:t>Assessed annual Member States contributions</w:t>
      </w:r>
    </w:p>
    <w:p w:rsidR="00E2698D" w:rsidRPr="00293275" w:rsidRDefault="00306E80" w:rsidP="00293275">
      <w:pPr>
        <w:ind w:left="720"/>
        <w:rPr>
          <w:rFonts w:ascii="Arial" w:hAnsi="Arial" w:cs="Arial"/>
          <w:sz w:val="24"/>
          <w:szCs w:val="24"/>
        </w:rPr>
      </w:pPr>
      <w:r w:rsidRPr="00293275">
        <w:rPr>
          <w:rFonts w:ascii="Arial" w:hAnsi="Arial" w:cs="Arial"/>
          <w:sz w:val="24"/>
          <w:szCs w:val="24"/>
        </w:rPr>
        <w:t xml:space="preserve">Article 11 - </w:t>
      </w:r>
      <w:r w:rsidRPr="00293275">
        <w:rPr>
          <w:rFonts w:ascii="Arial" w:hAnsi="Arial" w:cs="Arial"/>
          <w:sz w:val="24"/>
          <w:szCs w:val="24"/>
        </w:rPr>
        <w:tab/>
        <w:t>Other debtors</w:t>
      </w:r>
    </w:p>
    <w:p w:rsidR="00E2698D" w:rsidRPr="00293275" w:rsidRDefault="00E2698D" w:rsidP="00293275">
      <w:pPr>
        <w:rPr>
          <w:rFonts w:ascii="Arial" w:hAnsi="Arial" w:cs="Arial"/>
          <w:sz w:val="24"/>
          <w:szCs w:val="24"/>
        </w:rPr>
      </w:pPr>
    </w:p>
    <w:p w:rsidR="002D52E4" w:rsidRPr="00293275" w:rsidRDefault="0045266F" w:rsidP="00231A0B">
      <w:pPr>
        <w:pStyle w:val="Heading1"/>
        <w:numPr>
          <w:ilvl w:val="0"/>
          <w:numId w:val="3"/>
        </w:numPr>
        <w:spacing w:before="0"/>
        <w:ind w:hanging="720"/>
        <w:rPr>
          <w:rFonts w:ascii="Arial" w:hAnsi="Arial" w:cs="Arial"/>
          <w:b/>
          <w:color w:val="000000" w:themeColor="text1"/>
          <w:sz w:val="24"/>
          <w:szCs w:val="24"/>
        </w:rPr>
      </w:pPr>
      <w:bookmarkStart w:id="10" w:name="_Toc22370813"/>
      <w:r w:rsidRPr="00293275">
        <w:rPr>
          <w:rFonts w:ascii="Arial" w:hAnsi="Arial" w:cs="Arial"/>
          <w:b/>
          <w:color w:val="000000" w:themeColor="text1"/>
          <w:sz w:val="24"/>
          <w:szCs w:val="24"/>
        </w:rPr>
        <w:t>LAST REVIEW AND DIRECTION OF COMESA POLICY ORGANS</w:t>
      </w:r>
      <w:bookmarkEnd w:id="10"/>
      <w:r w:rsidRPr="00293275">
        <w:rPr>
          <w:rFonts w:ascii="Arial" w:hAnsi="Arial" w:cs="Arial"/>
          <w:b/>
          <w:color w:val="000000" w:themeColor="text1"/>
          <w:sz w:val="24"/>
          <w:szCs w:val="24"/>
        </w:rPr>
        <w:t xml:space="preserve"> </w:t>
      </w:r>
    </w:p>
    <w:p w:rsidR="00293275" w:rsidRPr="00293275" w:rsidRDefault="00293275" w:rsidP="00293275">
      <w:pPr>
        <w:rPr>
          <w:rFonts w:ascii="Arial" w:hAnsi="Arial" w:cs="Arial"/>
          <w:color w:val="000000" w:themeColor="text1"/>
          <w:sz w:val="24"/>
          <w:szCs w:val="24"/>
        </w:rPr>
      </w:pPr>
    </w:p>
    <w:p w:rsidR="003D7965" w:rsidRPr="00293275" w:rsidRDefault="0026097C" w:rsidP="00231A0B">
      <w:pPr>
        <w:pStyle w:val="Heading3"/>
        <w:numPr>
          <w:ilvl w:val="1"/>
          <w:numId w:val="3"/>
        </w:numPr>
        <w:ind w:left="720"/>
        <w:rPr>
          <w:rFonts w:ascii="Arial" w:hAnsi="Arial" w:cs="Arial"/>
          <w:b/>
          <w:color w:val="000000" w:themeColor="text1"/>
        </w:rPr>
      </w:pPr>
      <w:bookmarkStart w:id="11" w:name="_Toc22370814"/>
      <w:r w:rsidRPr="00293275">
        <w:rPr>
          <w:rFonts w:ascii="Arial" w:hAnsi="Arial" w:cs="Arial"/>
          <w:b/>
          <w:color w:val="000000" w:themeColor="text1"/>
        </w:rPr>
        <w:t xml:space="preserve">COMESA </w:t>
      </w:r>
      <w:r w:rsidR="003D7965" w:rsidRPr="00293275">
        <w:rPr>
          <w:rFonts w:ascii="Arial" w:hAnsi="Arial" w:cs="Arial"/>
          <w:b/>
          <w:color w:val="000000" w:themeColor="text1"/>
        </w:rPr>
        <w:t>Authority of Heads of State and Government</w:t>
      </w:r>
      <w:r w:rsidR="0045266F" w:rsidRPr="00293275">
        <w:rPr>
          <w:rFonts w:ascii="Arial" w:hAnsi="Arial" w:cs="Arial"/>
          <w:b/>
          <w:color w:val="000000" w:themeColor="text1"/>
        </w:rPr>
        <w:t xml:space="preserve"> (July-2018)</w:t>
      </w:r>
      <w:bookmarkEnd w:id="11"/>
    </w:p>
    <w:p w:rsidR="0045266F" w:rsidRPr="00293275" w:rsidRDefault="0045266F" w:rsidP="0045266F">
      <w:pPr>
        <w:rPr>
          <w:rFonts w:ascii="Arial" w:hAnsi="Arial" w:cs="Arial"/>
          <w:color w:val="000000" w:themeColor="text1"/>
          <w:sz w:val="24"/>
          <w:szCs w:val="24"/>
        </w:rPr>
      </w:pPr>
    </w:p>
    <w:p w:rsidR="0026097C" w:rsidRPr="00293275" w:rsidRDefault="0026097C" w:rsidP="005846BD">
      <w:pPr>
        <w:pStyle w:val="ListParagraph"/>
        <w:numPr>
          <w:ilvl w:val="0"/>
          <w:numId w:val="26"/>
        </w:numPr>
        <w:tabs>
          <w:tab w:val="left" w:pos="720"/>
        </w:tabs>
        <w:ind w:left="0" w:firstLine="0"/>
        <w:jc w:val="both"/>
        <w:rPr>
          <w:rFonts w:ascii="Arial" w:hAnsi="Arial" w:cs="Arial"/>
          <w:sz w:val="24"/>
          <w:szCs w:val="24"/>
        </w:rPr>
      </w:pPr>
      <w:r w:rsidRPr="00293275">
        <w:rPr>
          <w:rFonts w:ascii="Arial" w:hAnsi="Arial" w:cs="Arial"/>
          <w:sz w:val="24"/>
          <w:szCs w:val="24"/>
        </w:rPr>
        <w:t xml:space="preserve">During its most recent meeting, the COMESA Authority of Heads of State and Government received and deliberated on a Report from the Council of Ministers, highlighting status of remittance of assessed contributions.  </w:t>
      </w:r>
      <w:r w:rsidR="00D76F6B" w:rsidRPr="00293275">
        <w:rPr>
          <w:rFonts w:ascii="Arial" w:hAnsi="Arial" w:cs="Arial"/>
          <w:sz w:val="24"/>
          <w:szCs w:val="24"/>
        </w:rPr>
        <w:t xml:space="preserve">Regarding unremitted assessed annual Member States contributions, the </w:t>
      </w:r>
      <w:r w:rsidRPr="00293275">
        <w:rPr>
          <w:rFonts w:ascii="Arial" w:hAnsi="Arial" w:cs="Arial"/>
          <w:sz w:val="24"/>
          <w:szCs w:val="24"/>
        </w:rPr>
        <w:t xml:space="preserve">Authority endorsed the </w:t>
      </w:r>
      <w:r w:rsidR="00D76F6B" w:rsidRPr="00293275">
        <w:rPr>
          <w:rFonts w:ascii="Arial" w:hAnsi="Arial" w:cs="Arial"/>
          <w:sz w:val="24"/>
          <w:szCs w:val="24"/>
        </w:rPr>
        <w:t>decisions submitted to it by the Council</w:t>
      </w:r>
      <w:r w:rsidR="00E2698D" w:rsidRPr="00293275">
        <w:rPr>
          <w:rFonts w:ascii="Arial" w:hAnsi="Arial" w:cs="Arial"/>
          <w:sz w:val="24"/>
          <w:szCs w:val="24"/>
        </w:rPr>
        <w:t>.</w:t>
      </w:r>
    </w:p>
    <w:p w:rsidR="00E2698D" w:rsidRPr="00293275" w:rsidRDefault="00E2698D" w:rsidP="0026097C">
      <w:pPr>
        <w:jc w:val="both"/>
        <w:rPr>
          <w:rFonts w:ascii="Arial" w:hAnsi="Arial" w:cs="Arial"/>
          <w:sz w:val="24"/>
          <w:szCs w:val="24"/>
        </w:rPr>
      </w:pPr>
    </w:p>
    <w:p w:rsidR="00D76F6B" w:rsidRPr="00293275" w:rsidRDefault="00E2698D" w:rsidP="005846BD">
      <w:pPr>
        <w:pStyle w:val="ListParagraph"/>
        <w:numPr>
          <w:ilvl w:val="0"/>
          <w:numId w:val="26"/>
        </w:numPr>
        <w:tabs>
          <w:tab w:val="left" w:pos="720"/>
        </w:tabs>
        <w:ind w:left="0" w:firstLine="0"/>
        <w:jc w:val="both"/>
        <w:rPr>
          <w:rFonts w:ascii="Arial" w:hAnsi="Arial" w:cs="Arial"/>
          <w:sz w:val="24"/>
          <w:szCs w:val="24"/>
        </w:rPr>
      </w:pPr>
      <w:r w:rsidRPr="00293275">
        <w:rPr>
          <w:rFonts w:ascii="Arial" w:hAnsi="Arial" w:cs="Arial"/>
          <w:sz w:val="24"/>
          <w:szCs w:val="24"/>
        </w:rPr>
        <w:t xml:space="preserve">The Authority </w:t>
      </w:r>
      <w:r w:rsidR="00696016">
        <w:rPr>
          <w:rFonts w:ascii="Arial" w:hAnsi="Arial" w:cs="Arial"/>
          <w:sz w:val="24"/>
          <w:szCs w:val="24"/>
        </w:rPr>
        <w:t xml:space="preserve">in July 2018, decided that </w:t>
      </w:r>
      <w:r w:rsidR="00D76F6B" w:rsidRPr="00293275">
        <w:rPr>
          <w:rFonts w:ascii="Arial" w:hAnsi="Arial" w:cs="Arial"/>
          <w:sz w:val="24"/>
          <w:szCs w:val="24"/>
        </w:rPr>
        <w:t xml:space="preserve">Member States </w:t>
      </w:r>
      <w:r w:rsidR="00696016">
        <w:rPr>
          <w:rFonts w:ascii="Arial" w:hAnsi="Arial" w:cs="Arial"/>
          <w:sz w:val="24"/>
          <w:szCs w:val="24"/>
        </w:rPr>
        <w:t xml:space="preserve">should </w:t>
      </w:r>
      <w:r w:rsidR="00D76F6B" w:rsidRPr="00293275">
        <w:rPr>
          <w:rFonts w:ascii="Arial" w:hAnsi="Arial" w:cs="Arial"/>
          <w:sz w:val="24"/>
          <w:szCs w:val="24"/>
        </w:rPr>
        <w:t xml:space="preserve">remit assessed Member States contributions as follows: </w:t>
      </w:r>
    </w:p>
    <w:p w:rsidR="00D76F6B" w:rsidRPr="00293275" w:rsidRDefault="00D76F6B" w:rsidP="00D76F6B">
      <w:pPr>
        <w:jc w:val="both"/>
        <w:rPr>
          <w:rFonts w:ascii="Arial" w:hAnsi="Arial" w:cs="Arial"/>
          <w:sz w:val="24"/>
          <w:szCs w:val="24"/>
        </w:rPr>
      </w:pPr>
    </w:p>
    <w:p w:rsidR="00D76F6B" w:rsidRPr="00293275" w:rsidRDefault="00D76F6B" w:rsidP="00293275">
      <w:pPr>
        <w:ind w:left="1440" w:hanging="720"/>
        <w:jc w:val="both"/>
        <w:rPr>
          <w:rFonts w:ascii="Arial" w:hAnsi="Arial" w:cs="Arial"/>
          <w:b/>
          <w:i/>
          <w:sz w:val="24"/>
          <w:szCs w:val="24"/>
        </w:rPr>
      </w:pPr>
      <w:r w:rsidRPr="00293275">
        <w:rPr>
          <w:rFonts w:ascii="Arial" w:hAnsi="Arial" w:cs="Arial"/>
          <w:b/>
          <w:i/>
          <w:sz w:val="24"/>
          <w:szCs w:val="24"/>
        </w:rPr>
        <w:t>(</w:t>
      </w:r>
      <w:r w:rsidR="00E2698D" w:rsidRPr="00293275">
        <w:rPr>
          <w:rFonts w:ascii="Arial" w:hAnsi="Arial" w:cs="Arial"/>
          <w:b/>
          <w:i/>
          <w:sz w:val="24"/>
          <w:szCs w:val="24"/>
        </w:rPr>
        <w:t>i</w:t>
      </w:r>
      <w:r w:rsidRPr="00293275">
        <w:rPr>
          <w:rFonts w:ascii="Arial" w:hAnsi="Arial" w:cs="Arial"/>
          <w:b/>
          <w:i/>
          <w:sz w:val="24"/>
          <w:szCs w:val="24"/>
        </w:rPr>
        <w:t>)</w:t>
      </w:r>
      <w:r w:rsidRPr="00293275">
        <w:rPr>
          <w:rFonts w:ascii="Arial" w:hAnsi="Arial" w:cs="Arial"/>
          <w:b/>
          <w:i/>
          <w:sz w:val="24"/>
          <w:szCs w:val="24"/>
        </w:rPr>
        <w:tab/>
        <w:t xml:space="preserve">2018 budget: The Authority set a deadline of 31st July 2018, for 2018 assessed contributions to the remitted; and </w:t>
      </w:r>
    </w:p>
    <w:p w:rsidR="00D76F6B" w:rsidRPr="00293275" w:rsidRDefault="00D76F6B" w:rsidP="00293275">
      <w:pPr>
        <w:ind w:left="1440" w:hanging="720"/>
        <w:jc w:val="both"/>
        <w:rPr>
          <w:rFonts w:ascii="Arial" w:hAnsi="Arial" w:cs="Arial"/>
          <w:b/>
          <w:i/>
          <w:sz w:val="24"/>
          <w:szCs w:val="24"/>
        </w:rPr>
      </w:pPr>
    </w:p>
    <w:p w:rsidR="00D76F6B" w:rsidRPr="00293275" w:rsidRDefault="00D76F6B" w:rsidP="00293275">
      <w:pPr>
        <w:ind w:left="1440" w:hanging="720"/>
        <w:jc w:val="both"/>
        <w:rPr>
          <w:rFonts w:ascii="Arial" w:hAnsi="Arial" w:cs="Arial"/>
          <w:b/>
          <w:i/>
          <w:sz w:val="24"/>
          <w:szCs w:val="24"/>
        </w:rPr>
      </w:pPr>
      <w:r w:rsidRPr="00293275">
        <w:rPr>
          <w:rFonts w:ascii="Arial" w:hAnsi="Arial" w:cs="Arial"/>
          <w:b/>
          <w:i/>
          <w:sz w:val="24"/>
          <w:szCs w:val="24"/>
        </w:rPr>
        <w:t>(</w:t>
      </w:r>
      <w:r w:rsidR="00E2698D" w:rsidRPr="00293275">
        <w:rPr>
          <w:rFonts w:ascii="Arial" w:hAnsi="Arial" w:cs="Arial"/>
          <w:b/>
          <w:i/>
          <w:sz w:val="24"/>
          <w:szCs w:val="24"/>
        </w:rPr>
        <w:t>ii</w:t>
      </w:r>
      <w:r w:rsidRPr="00293275">
        <w:rPr>
          <w:rFonts w:ascii="Arial" w:hAnsi="Arial" w:cs="Arial"/>
          <w:b/>
          <w:i/>
          <w:sz w:val="24"/>
          <w:szCs w:val="24"/>
        </w:rPr>
        <w:t>)</w:t>
      </w:r>
      <w:r w:rsidRPr="00293275">
        <w:rPr>
          <w:rFonts w:ascii="Arial" w:hAnsi="Arial" w:cs="Arial"/>
          <w:b/>
          <w:i/>
          <w:sz w:val="24"/>
          <w:szCs w:val="24"/>
        </w:rPr>
        <w:tab/>
        <w:t>2017 budget: The Authority set a deadline of 30th September 2018, for 2017 assessed contributions to the remitted. The Authority urged Member States, which are unable to clear the 2017 arrears by this date, to propose and submit a repayment plan.</w:t>
      </w:r>
    </w:p>
    <w:p w:rsidR="00D76F6B" w:rsidRPr="00293275" w:rsidRDefault="00D76F6B" w:rsidP="00293275">
      <w:pPr>
        <w:ind w:left="1440" w:hanging="720"/>
        <w:jc w:val="both"/>
        <w:rPr>
          <w:rFonts w:ascii="Arial" w:hAnsi="Arial" w:cs="Arial"/>
          <w:b/>
          <w:i/>
          <w:sz w:val="24"/>
          <w:szCs w:val="24"/>
        </w:rPr>
      </w:pPr>
    </w:p>
    <w:p w:rsidR="00D76F6B" w:rsidRPr="00293275" w:rsidRDefault="00D76F6B" w:rsidP="00293275">
      <w:pPr>
        <w:ind w:left="1440" w:hanging="720"/>
        <w:jc w:val="both"/>
        <w:rPr>
          <w:rFonts w:ascii="Arial" w:hAnsi="Arial" w:cs="Arial"/>
          <w:b/>
          <w:i/>
          <w:sz w:val="24"/>
          <w:szCs w:val="24"/>
        </w:rPr>
      </w:pPr>
      <w:r w:rsidRPr="00293275">
        <w:rPr>
          <w:rFonts w:ascii="Arial" w:hAnsi="Arial" w:cs="Arial"/>
          <w:b/>
          <w:i/>
          <w:sz w:val="24"/>
          <w:szCs w:val="24"/>
        </w:rPr>
        <w:t>(</w:t>
      </w:r>
      <w:r w:rsidR="00E2698D" w:rsidRPr="00293275">
        <w:rPr>
          <w:rFonts w:ascii="Arial" w:hAnsi="Arial" w:cs="Arial"/>
          <w:b/>
          <w:i/>
          <w:sz w:val="24"/>
          <w:szCs w:val="24"/>
        </w:rPr>
        <w:t>iii</w:t>
      </w:r>
      <w:r w:rsidRPr="00293275">
        <w:rPr>
          <w:rFonts w:ascii="Arial" w:hAnsi="Arial" w:cs="Arial"/>
          <w:b/>
          <w:i/>
          <w:sz w:val="24"/>
          <w:szCs w:val="24"/>
        </w:rPr>
        <w:t>)</w:t>
      </w:r>
      <w:r w:rsidRPr="00293275">
        <w:rPr>
          <w:rFonts w:ascii="Arial" w:hAnsi="Arial" w:cs="Arial"/>
          <w:b/>
          <w:i/>
          <w:sz w:val="24"/>
          <w:szCs w:val="24"/>
        </w:rPr>
        <w:tab/>
        <w:t>Uganda: which had arrears of over two (2) years was urged to address the following Article 171 (6) provision, as well as its previous decisions</w:t>
      </w:r>
      <w:r w:rsidR="00696016">
        <w:rPr>
          <w:rFonts w:ascii="Arial" w:hAnsi="Arial" w:cs="Arial"/>
          <w:b/>
          <w:i/>
          <w:sz w:val="24"/>
          <w:szCs w:val="24"/>
        </w:rPr>
        <w:t>.</w:t>
      </w:r>
    </w:p>
    <w:p w:rsidR="00D76F6B" w:rsidRPr="00293275" w:rsidRDefault="00D76F6B" w:rsidP="00293275">
      <w:pPr>
        <w:ind w:left="1440" w:hanging="720"/>
        <w:jc w:val="both"/>
        <w:rPr>
          <w:rFonts w:ascii="Arial" w:hAnsi="Arial" w:cs="Arial"/>
          <w:b/>
          <w:i/>
          <w:sz w:val="24"/>
          <w:szCs w:val="24"/>
        </w:rPr>
      </w:pPr>
    </w:p>
    <w:p w:rsidR="00696016" w:rsidRPr="00293275" w:rsidRDefault="00696016" w:rsidP="00696016">
      <w:pPr>
        <w:ind w:left="1440" w:hanging="720"/>
        <w:jc w:val="both"/>
        <w:rPr>
          <w:rFonts w:ascii="Arial" w:hAnsi="Arial" w:cs="Arial"/>
          <w:b/>
          <w:i/>
          <w:sz w:val="24"/>
          <w:szCs w:val="24"/>
        </w:rPr>
      </w:pPr>
      <w:r w:rsidRPr="00293275">
        <w:rPr>
          <w:rFonts w:ascii="Arial" w:hAnsi="Arial" w:cs="Arial"/>
          <w:b/>
          <w:i/>
          <w:sz w:val="24"/>
          <w:szCs w:val="24"/>
        </w:rPr>
        <w:t>(iii)</w:t>
      </w:r>
      <w:r w:rsidRPr="00293275">
        <w:rPr>
          <w:rFonts w:ascii="Arial" w:hAnsi="Arial" w:cs="Arial"/>
          <w:b/>
          <w:i/>
          <w:sz w:val="24"/>
          <w:szCs w:val="24"/>
        </w:rPr>
        <w:tab/>
      </w:r>
      <w:r>
        <w:rPr>
          <w:rFonts w:ascii="Arial" w:hAnsi="Arial" w:cs="Arial"/>
          <w:b/>
          <w:i/>
          <w:sz w:val="24"/>
          <w:szCs w:val="24"/>
        </w:rPr>
        <w:t>Comoros, Djibouti and Libya</w:t>
      </w:r>
      <w:r w:rsidRPr="00293275">
        <w:rPr>
          <w:rFonts w:ascii="Arial" w:hAnsi="Arial" w:cs="Arial"/>
          <w:b/>
          <w:i/>
          <w:sz w:val="24"/>
          <w:szCs w:val="24"/>
        </w:rPr>
        <w:t xml:space="preserve">: </w:t>
      </w:r>
      <w:r>
        <w:rPr>
          <w:rFonts w:ascii="Arial" w:hAnsi="Arial" w:cs="Arial"/>
          <w:b/>
          <w:i/>
          <w:sz w:val="24"/>
          <w:szCs w:val="24"/>
        </w:rPr>
        <w:t>to address adherence to the arrears’ repayment plans approved by the Authority in October 2016.</w:t>
      </w:r>
    </w:p>
    <w:p w:rsidR="00D76F6B" w:rsidRPr="00C72831" w:rsidRDefault="00D76F6B" w:rsidP="00C72831">
      <w:pPr>
        <w:ind w:left="720"/>
        <w:jc w:val="both"/>
        <w:rPr>
          <w:rFonts w:ascii="Arial" w:hAnsi="Arial" w:cs="Arial"/>
          <w:b/>
          <w:i/>
          <w:sz w:val="24"/>
          <w:szCs w:val="24"/>
        </w:rPr>
      </w:pPr>
    </w:p>
    <w:p w:rsidR="0026097C" w:rsidRPr="006C05FE" w:rsidRDefault="0026097C" w:rsidP="00696016">
      <w:pPr>
        <w:pStyle w:val="ListParagraph"/>
        <w:numPr>
          <w:ilvl w:val="0"/>
          <w:numId w:val="26"/>
        </w:numPr>
        <w:tabs>
          <w:tab w:val="left" w:pos="720"/>
        </w:tabs>
        <w:ind w:left="0" w:firstLine="0"/>
        <w:jc w:val="both"/>
        <w:rPr>
          <w:rFonts w:ascii="Arial" w:hAnsi="Arial" w:cs="Arial"/>
          <w:sz w:val="24"/>
          <w:szCs w:val="24"/>
        </w:rPr>
      </w:pPr>
      <w:r w:rsidRPr="006C05FE">
        <w:rPr>
          <w:rFonts w:ascii="Arial" w:hAnsi="Arial" w:cs="Arial"/>
          <w:sz w:val="24"/>
          <w:szCs w:val="24"/>
        </w:rPr>
        <w:t xml:space="preserve">The direction given by the COMESA Authority should be seen in light of the following provisions under Article 8 (The Authority - Composition and Functions) of the Treaty: </w:t>
      </w:r>
    </w:p>
    <w:p w:rsidR="0026097C" w:rsidRPr="006C05FE" w:rsidRDefault="0026097C" w:rsidP="003F5EBF">
      <w:pPr>
        <w:pStyle w:val="ListParagraph"/>
        <w:ind w:left="0"/>
        <w:jc w:val="both"/>
        <w:rPr>
          <w:rFonts w:ascii="Arial" w:hAnsi="Arial" w:cs="Arial"/>
          <w:sz w:val="24"/>
          <w:szCs w:val="24"/>
        </w:rPr>
      </w:pPr>
    </w:p>
    <w:p w:rsidR="0026097C" w:rsidRPr="003F5EBF" w:rsidRDefault="0026097C" w:rsidP="006C05FE">
      <w:pPr>
        <w:ind w:left="720"/>
        <w:jc w:val="both"/>
        <w:rPr>
          <w:rFonts w:ascii="Arial" w:hAnsi="Arial" w:cs="Arial"/>
          <w:b/>
          <w:i/>
          <w:sz w:val="24"/>
          <w:szCs w:val="24"/>
        </w:rPr>
      </w:pPr>
      <w:r w:rsidRPr="003F5EBF">
        <w:rPr>
          <w:rFonts w:ascii="Arial" w:hAnsi="Arial" w:cs="Arial"/>
          <w:b/>
          <w:i/>
          <w:sz w:val="24"/>
          <w:szCs w:val="24"/>
        </w:rPr>
        <w:t>Article 8(2). The Authority shall be the supreme Policy Organ of the Common Market and shall be responsible for the general policy and direction and control of the performance of the executive functions of the Common Market and the achievement of its aims and objectives and shall have such other powers as are vested in it under this Treaty.</w:t>
      </w:r>
    </w:p>
    <w:p w:rsidR="0026097C" w:rsidRPr="003F5EBF" w:rsidRDefault="0026097C" w:rsidP="006C05FE">
      <w:pPr>
        <w:ind w:left="720"/>
        <w:jc w:val="both"/>
        <w:rPr>
          <w:rFonts w:ascii="Arial" w:hAnsi="Arial" w:cs="Arial"/>
          <w:b/>
          <w:i/>
          <w:sz w:val="24"/>
          <w:szCs w:val="24"/>
        </w:rPr>
      </w:pPr>
    </w:p>
    <w:p w:rsidR="0026097C" w:rsidRPr="003F5EBF" w:rsidRDefault="0026097C" w:rsidP="006C05FE">
      <w:pPr>
        <w:ind w:left="720"/>
        <w:jc w:val="both"/>
        <w:rPr>
          <w:rFonts w:ascii="Arial" w:hAnsi="Arial" w:cs="Arial"/>
          <w:b/>
          <w:i/>
          <w:sz w:val="24"/>
          <w:szCs w:val="24"/>
        </w:rPr>
      </w:pPr>
      <w:r w:rsidRPr="003F5EBF">
        <w:rPr>
          <w:rFonts w:ascii="Arial" w:hAnsi="Arial" w:cs="Arial"/>
          <w:b/>
          <w:i/>
          <w:sz w:val="24"/>
          <w:szCs w:val="24"/>
        </w:rPr>
        <w:t xml:space="preserve">Article 8(3). Subject to the </w:t>
      </w:r>
      <w:r w:rsidRPr="003F5EBF">
        <w:rPr>
          <w:rFonts w:ascii="Arial" w:hAnsi="Arial" w:cs="Arial"/>
          <w:b/>
          <w:i/>
          <w:sz w:val="24"/>
          <w:szCs w:val="24"/>
          <w:u w:val="single"/>
        </w:rPr>
        <w:t>provisions of this Treaty</w:t>
      </w:r>
      <w:r w:rsidRPr="003F5EBF">
        <w:rPr>
          <w:rFonts w:ascii="Arial" w:hAnsi="Arial" w:cs="Arial"/>
          <w:b/>
          <w:i/>
          <w:sz w:val="24"/>
          <w:szCs w:val="24"/>
        </w:rPr>
        <w:t xml:space="preserve">, the directions and decisions of the Authority taken or given in pursuance of the provisions of this Treaty, shall as the case may be, be </w:t>
      </w:r>
      <w:r w:rsidRPr="003F5EBF">
        <w:rPr>
          <w:rFonts w:ascii="Arial" w:hAnsi="Arial" w:cs="Arial"/>
          <w:b/>
          <w:i/>
          <w:sz w:val="24"/>
          <w:szCs w:val="24"/>
          <w:u w:val="single"/>
        </w:rPr>
        <w:t>binding on the Member States</w:t>
      </w:r>
      <w:r w:rsidRPr="003F5EBF">
        <w:rPr>
          <w:rFonts w:ascii="Arial" w:hAnsi="Arial" w:cs="Arial"/>
          <w:b/>
          <w:i/>
          <w:sz w:val="24"/>
          <w:szCs w:val="24"/>
        </w:rPr>
        <w:t xml:space="preserve"> and on all other organs of the Common Market other than the Court in the exercise of its jurisdiction, and on those to whom they may be addressed to under this Treaty.</w:t>
      </w:r>
    </w:p>
    <w:p w:rsidR="0026097C" w:rsidRPr="003F5EBF" w:rsidRDefault="0026097C" w:rsidP="006C05FE">
      <w:pPr>
        <w:ind w:left="720"/>
        <w:jc w:val="both"/>
        <w:rPr>
          <w:rFonts w:ascii="Arial" w:hAnsi="Arial" w:cs="Arial"/>
          <w:b/>
          <w:i/>
          <w:sz w:val="24"/>
          <w:szCs w:val="24"/>
        </w:rPr>
      </w:pPr>
    </w:p>
    <w:p w:rsidR="0026097C" w:rsidRPr="003F5EBF" w:rsidRDefault="0026097C" w:rsidP="006C05FE">
      <w:pPr>
        <w:ind w:left="720"/>
        <w:jc w:val="both"/>
        <w:rPr>
          <w:rFonts w:ascii="Arial" w:hAnsi="Arial" w:cs="Arial"/>
          <w:b/>
          <w:i/>
          <w:sz w:val="24"/>
          <w:szCs w:val="24"/>
        </w:rPr>
      </w:pPr>
      <w:r w:rsidRPr="003F5EBF">
        <w:rPr>
          <w:rFonts w:ascii="Arial" w:hAnsi="Arial" w:cs="Arial"/>
          <w:b/>
          <w:i/>
          <w:sz w:val="24"/>
          <w:szCs w:val="24"/>
        </w:rPr>
        <w:t xml:space="preserve">Article 8(4): The directions and decisions of the Authority shall be </w:t>
      </w:r>
      <w:r w:rsidRPr="003F5EBF">
        <w:rPr>
          <w:rFonts w:ascii="Arial" w:hAnsi="Arial" w:cs="Arial"/>
          <w:b/>
          <w:i/>
          <w:sz w:val="24"/>
          <w:szCs w:val="24"/>
          <w:u w:val="single"/>
        </w:rPr>
        <w:t>notified to those to whom they are addressed</w:t>
      </w:r>
      <w:r w:rsidRPr="003F5EBF">
        <w:rPr>
          <w:rFonts w:ascii="Arial" w:hAnsi="Arial" w:cs="Arial"/>
          <w:b/>
          <w:i/>
          <w:sz w:val="24"/>
          <w:szCs w:val="24"/>
        </w:rPr>
        <w:t xml:space="preserve"> and shall take effect upon the receipt of such notification or on such date as may be specified in the direction or decision.</w:t>
      </w:r>
    </w:p>
    <w:p w:rsidR="003D7965" w:rsidRPr="006C05FE" w:rsidRDefault="0026097C" w:rsidP="006C05FE">
      <w:pPr>
        <w:jc w:val="both"/>
        <w:rPr>
          <w:rFonts w:ascii="Arial" w:hAnsi="Arial" w:cs="Arial"/>
          <w:sz w:val="24"/>
          <w:szCs w:val="24"/>
        </w:rPr>
      </w:pPr>
      <w:r w:rsidRPr="006C05FE">
        <w:rPr>
          <w:rFonts w:ascii="Arial" w:hAnsi="Arial" w:cs="Arial"/>
          <w:sz w:val="24"/>
          <w:szCs w:val="24"/>
        </w:rPr>
        <w:t xml:space="preserve"> </w:t>
      </w:r>
    </w:p>
    <w:p w:rsidR="003D7965" w:rsidRPr="006C05FE" w:rsidRDefault="0026097C" w:rsidP="00231A0B">
      <w:pPr>
        <w:pStyle w:val="Heading3"/>
        <w:numPr>
          <w:ilvl w:val="1"/>
          <w:numId w:val="3"/>
        </w:numPr>
        <w:spacing w:before="0"/>
        <w:ind w:left="720"/>
        <w:rPr>
          <w:rFonts w:ascii="Arial" w:hAnsi="Arial" w:cs="Arial"/>
          <w:b/>
          <w:color w:val="000000" w:themeColor="text1"/>
        </w:rPr>
      </w:pPr>
      <w:bookmarkStart w:id="12" w:name="_Toc22370815"/>
      <w:r w:rsidRPr="006C05FE">
        <w:rPr>
          <w:rFonts w:ascii="Arial" w:hAnsi="Arial" w:cs="Arial"/>
          <w:b/>
          <w:color w:val="000000" w:themeColor="text1"/>
        </w:rPr>
        <w:t>COMESA Council of Ministers</w:t>
      </w:r>
      <w:r w:rsidR="0045266F" w:rsidRPr="006C05FE">
        <w:rPr>
          <w:rFonts w:ascii="Arial" w:hAnsi="Arial" w:cs="Arial"/>
          <w:b/>
          <w:color w:val="000000" w:themeColor="text1"/>
        </w:rPr>
        <w:t xml:space="preserve"> (April 2019)</w:t>
      </w:r>
      <w:bookmarkEnd w:id="12"/>
    </w:p>
    <w:p w:rsidR="003D7965" w:rsidRPr="006C05FE" w:rsidRDefault="003D7965" w:rsidP="006C05FE">
      <w:pPr>
        <w:rPr>
          <w:rFonts w:ascii="Arial" w:hAnsi="Arial" w:cs="Arial"/>
          <w:sz w:val="24"/>
          <w:szCs w:val="24"/>
        </w:rPr>
      </w:pPr>
    </w:p>
    <w:p w:rsidR="005D619C" w:rsidRDefault="005D619C" w:rsidP="00696016">
      <w:pPr>
        <w:pStyle w:val="ListParagraph"/>
        <w:numPr>
          <w:ilvl w:val="0"/>
          <w:numId w:val="26"/>
        </w:numPr>
        <w:tabs>
          <w:tab w:val="left" w:pos="720"/>
        </w:tabs>
        <w:ind w:left="0" w:firstLine="0"/>
        <w:jc w:val="both"/>
        <w:rPr>
          <w:rFonts w:ascii="Arial" w:hAnsi="Arial" w:cs="Arial"/>
          <w:sz w:val="24"/>
          <w:szCs w:val="24"/>
        </w:rPr>
      </w:pPr>
      <w:r w:rsidRPr="006C05FE">
        <w:rPr>
          <w:rFonts w:ascii="Arial" w:hAnsi="Arial" w:cs="Arial"/>
          <w:sz w:val="24"/>
          <w:szCs w:val="24"/>
        </w:rPr>
        <w:t xml:space="preserve">In November 2018, as well as in April 2019, the Council of Ministers deliberated on implementation of the decisions of the Authority. </w:t>
      </w:r>
    </w:p>
    <w:p w:rsidR="006C05FE" w:rsidRPr="006C05FE" w:rsidRDefault="006C05FE" w:rsidP="006C05FE">
      <w:pPr>
        <w:pStyle w:val="ListParagraph"/>
        <w:ind w:left="0"/>
        <w:jc w:val="both"/>
        <w:rPr>
          <w:rFonts w:ascii="Arial" w:hAnsi="Arial" w:cs="Arial"/>
          <w:sz w:val="24"/>
          <w:szCs w:val="24"/>
        </w:rPr>
      </w:pPr>
    </w:p>
    <w:p w:rsidR="005D619C" w:rsidRPr="006C05FE" w:rsidRDefault="005D619C" w:rsidP="00696016">
      <w:pPr>
        <w:pStyle w:val="ListParagraph"/>
        <w:numPr>
          <w:ilvl w:val="0"/>
          <w:numId w:val="26"/>
        </w:numPr>
        <w:tabs>
          <w:tab w:val="left" w:pos="720"/>
        </w:tabs>
        <w:ind w:left="0" w:firstLine="0"/>
        <w:jc w:val="both"/>
        <w:rPr>
          <w:rFonts w:ascii="Arial" w:hAnsi="Arial" w:cs="Arial"/>
          <w:sz w:val="24"/>
          <w:szCs w:val="24"/>
        </w:rPr>
      </w:pPr>
      <w:r w:rsidRPr="006C05FE">
        <w:rPr>
          <w:rFonts w:ascii="Arial" w:hAnsi="Arial" w:cs="Arial"/>
          <w:sz w:val="24"/>
          <w:szCs w:val="24"/>
        </w:rPr>
        <w:t xml:space="preserve">The Council discussed the issues and risks, regarding the non-remittance of assessed contributions by Member States, which included the following: </w:t>
      </w:r>
    </w:p>
    <w:p w:rsidR="005D619C" w:rsidRPr="006C05FE" w:rsidRDefault="005D619C" w:rsidP="006C05FE">
      <w:pPr>
        <w:rPr>
          <w:rFonts w:ascii="Arial" w:hAnsi="Arial" w:cs="Arial"/>
          <w:sz w:val="24"/>
          <w:szCs w:val="24"/>
        </w:rPr>
      </w:pPr>
    </w:p>
    <w:p w:rsidR="005D619C" w:rsidRPr="006C05FE" w:rsidRDefault="005D619C" w:rsidP="006C05FE">
      <w:pPr>
        <w:ind w:left="1440" w:hanging="720"/>
        <w:jc w:val="both"/>
        <w:rPr>
          <w:rFonts w:ascii="Arial" w:hAnsi="Arial" w:cs="Arial"/>
          <w:sz w:val="24"/>
          <w:szCs w:val="24"/>
        </w:rPr>
      </w:pPr>
      <w:r w:rsidRPr="006C05FE">
        <w:rPr>
          <w:rFonts w:ascii="Arial" w:hAnsi="Arial" w:cs="Arial"/>
          <w:sz w:val="24"/>
          <w:szCs w:val="24"/>
        </w:rPr>
        <w:t>(i)</w:t>
      </w:r>
      <w:r w:rsidRPr="006C05FE">
        <w:rPr>
          <w:rFonts w:ascii="Arial" w:hAnsi="Arial" w:cs="Arial"/>
          <w:sz w:val="24"/>
          <w:szCs w:val="24"/>
        </w:rPr>
        <w:tab/>
        <w:t>The continued dependence on Reserve Fund to finance COMESA programmes and activities;</w:t>
      </w:r>
    </w:p>
    <w:p w:rsidR="005D619C" w:rsidRPr="006C05FE" w:rsidRDefault="005D619C" w:rsidP="006C05FE">
      <w:pPr>
        <w:ind w:left="1440" w:hanging="720"/>
        <w:jc w:val="both"/>
        <w:rPr>
          <w:rFonts w:ascii="Arial" w:hAnsi="Arial" w:cs="Arial"/>
          <w:sz w:val="24"/>
          <w:szCs w:val="24"/>
        </w:rPr>
      </w:pPr>
    </w:p>
    <w:p w:rsidR="005D619C" w:rsidRPr="006C05FE" w:rsidRDefault="005D619C" w:rsidP="006C05FE">
      <w:pPr>
        <w:ind w:left="1440" w:hanging="720"/>
        <w:jc w:val="both"/>
        <w:rPr>
          <w:rFonts w:ascii="Arial" w:hAnsi="Arial" w:cs="Arial"/>
          <w:sz w:val="24"/>
          <w:szCs w:val="24"/>
        </w:rPr>
      </w:pPr>
      <w:r w:rsidRPr="006C05FE">
        <w:rPr>
          <w:rFonts w:ascii="Arial" w:hAnsi="Arial" w:cs="Arial"/>
          <w:sz w:val="24"/>
          <w:szCs w:val="24"/>
        </w:rPr>
        <w:t>(ii)</w:t>
      </w:r>
      <w:r w:rsidRPr="006C05FE">
        <w:rPr>
          <w:rFonts w:ascii="Arial" w:hAnsi="Arial" w:cs="Arial"/>
          <w:sz w:val="24"/>
          <w:szCs w:val="24"/>
        </w:rPr>
        <w:tab/>
        <w:t>The depletion of the Reserve Fund as arrears have built up; and</w:t>
      </w:r>
    </w:p>
    <w:p w:rsidR="005D619C" w:rsidRPr="006C05FE" w:rsidRDefault="005D619C" w:rsidP="006C05FE">
      <w:pPr>
        <w:ind w:left="1440" w:hanging="720"/>
        <w:jc w:val="both"/>
        <w:rPr>
          <w:rFonts w:ascii="Arial" w:hAnsi="Arial" w:cs="Arial"/>
          <w:sz w:val="24"/>
          <w:szCs w:val="24"/>
        </w:rPr>
      </w:pPr>
    </w:p>
    <w:p w:rsidR="005D619C" w:rsidRPr="006C05FE" w:rsidRDefault="005D619C" w:rsidP="006C05FE">
      <w:pPr>
        <w:ind w:left="1440" w:hanging="720"/>
        <w:jc w:val="both"/>
        <w:rPr>
          <w:rFonts w:ascii="Arial" w:hAnsi="Arial" w:cs="Arial"/>
          <w:sz w:val="24"/>
          <w:szCs w:val="24"/>
        </w:rPr>
      </w:pPr>
      <w:r w:rsidRPr="006C05FE">
        <w:rPr>
          <w:rFonts w:ascii="Arial" w:hAnsi="Arial" w:cs="Arial"/>
          <w:sz w:val="24"/>
          <w:szCs w:val="24"/>
        </w:rPr>
        <w:t>(iii)</w:t>
      </w:r>
      <w:r w:rsidRPr="0003796E">
        <w:rPr>
          <w:rFonts w:ascii="Times New Roman" w:hAnsi="Times New Roman" w:cs="Times New Roman"/>
        </w:rPr>
        <w:tab/>
      </w:r>
      <w:r w:rsidRPr="006C05FE">
        <w:rPr>
          <w:rFonts w:ascii="Arial" w:hAnsi="Arial" w:cs="Arial"/>
          <w:sz w:val="24"/>
          <w:szCs w:val="24"/>
        </w:rPr>
        <w:t>Erosion of trust and confidence by Cooperating Partners, as non-remittance of contributions is translated as non-commitment of Member States to COMESA.</w:t>
      </w:r>
    </w:p>
    <w:p w:rsidR="005D619C" w:rsidRPr="0003796E" w:rsidRDefault="005D619C" w:rsidP="005D619C">
      <w:pPr>
        <w:rPr>
          <w:rFonts w:ascii="Times New Roman" w:hAnsi="Times New Roman" w:cs="Times New Roman"/>
        </w:rPr>
      </w:pPr>
    </w:p>
    <w:p w:rsidR="005D619C" w:rsidRPr="006C05FE" w:rsidRDefault="00E2698D" w:rsidP="00696016">
      <w:pPr>
        <w:pStyle w:val="ListParagraph"/>
        <w:numPr>
          <w:ilvl w:val="0"/>
          <w:numId w:val="26"/>
        </w:numPr>
        <w:tabs>
          <w:tab w:val="left" w:pos="720"/>
        </w:tabs>
        <w:ind w:left="0" w:firstLine="0"/>
        <w:jc w:val="both"/>
        <w:rPr>
          <w:rFonts w:ascii="Arial" w:hAnsi="Arial" w:cs="Arial"/>
          <w:b/>
          <w:i/>
          <w:sz w:val="24"/>
          <w:szCs w:val="24"/>
        </w:rPr>
      </w:pPr>
      <w:r w:rsidRPr="006C05FE">
        <w:rPr>
          <w:rFonts w:ascii="Arial" w:hAnsi="Arial" w:cs="Arial"/>
          <w:b/>
          <w:i/>
          <w:sz w:val="24"/>
          <w:szCs w:val="24"/>
        </w:rPr>
        <w:t xml:space="preserve">The </w:t>
      </w:r>
      <w:r w:rsidR="005D619C" w:rsidRPr="006C05FE">
        <w:rPr>
          <w:rFonts w:ascii="Arial" w:hAnsi="Arial" w:cs="Arial"/>
          <w:b/>
          <w:i/>
          <w:sz w:val="24"/>
          <w:szCs w:val="24"/>
        </w:rPr>
        <w:t xml:space="preserve">Council </w:t>
      </w:r>
      <w:r w:rsidRPr="006C05FE">
        <w:rPr>
          <w:rFonts w:ascii="Arial" w:hAnsi="Arial" w:cs="Arial"/>
          <w:b/>
          <w:i/>
          <w:sz w:val="24"/>
          <w:szCs w:val="24"/>
        </w:rPr>
        <w:t xml:space="preserve">(in April 2019) </w:t>
      </w:r>
      <w:r w:rsidR="005D619C" w:rsidRPr="006C05FE">
        <w:rPr>
          <w:rFonts w:ascii="Arial" w:hAnsi="Arial" w:cs="Arial"/>
          <w:b/>
          <w:i/>
          <w:sz w:val="24"/>
          <w:szCs w:val="24"/>
        </w:rPr>
        <w:t xml:space="preserve">decided that: </w:t>
      </w:r>
    </w:p>
    <w:p w:rsidR="005D619C" w:rsidRPr="006C05FE" w:rsidRDefault="005D619C" w:rsidP="006C05FE">
      <w:pPr>
        <w:jc w:val="both"/>
        <w:rPr>
          <w:rFonts w:ascii="Arial" w:hAnsi="Arial" w:cs="Arial"/>
          <w:b/>
          <w:i/>
          <w:sz w:val="24"/>
          <w:szCs w:val="24"/>
        </w:rPr>
      </w:pPr>
    </w:p>
    <w:p w:rsidR="00E2698D" w:rsidRDefault="005D619C" w:rsidP="00231A0B">
      <w:pPr>
        <w:pStyle w:val="ListParagraph"/>
        <w:numPr>
          <w:ilvl w:val="0"/>
          <w:numId w:val="4"/>
        </w:numPr>
        <w:ind w:left="1440"/>
        <w:jc w:val="both"/>
        <w:rPr>
          <w:rFonts w:ascii="Arial" w:hAnsi="Arial" w:cs="Arial"/>
          <w:b/>
          <w:i/>
          <w:sz w:val="24"/>
          <w:szCs w:val="24"/>
        </w:rPr>
      </w:pPr>
      <w:r w:rsidRPr="006C05FE">
        <w:rPr>
          <w:rFonts w:ascii="Arial" w:hAnsi="Arial" w:cs="Arial"/>
          <w:b/>
          <w:i/>
          <w:sz w:val="24"/>
          <w:szCs w:val="24"/>
        </w:rPr>
        <w:t>The Secretariat should consistently apply the sanctions, as approved by the Authority on all defaulting Member States with immediate effect;</w:t>
      </w:r>
    </w:p>
    <w:p w:rsidR="008D5178" w:rsidRPr="006C05FE" w:rsidRDefault="008D5178" w:rsidP="008D5178">
      <w:pPr>
        <w:pStyle w:val="ListParagraph"/>
        <w:ind w:left="1440"/>
        <w:jc w:val="both"/>
        <w:rPr>
          <w:rFonts w:ascii="Arial" w:hAnsi="Arial" w:cs="Arial"/>
          <w:b/>
          <w:i/>
          <w:sz w:val="24"/>
          <w:szCs w:val="24"/>
        </w:rPr>
      </w:pPr>
    </w:p>
    <w:p w:rsidR="00E2698D" w:rsidRDefault="005D619C" w:rsidP="00231A0B">
      <w:pPr>
        <w:pStyle w:val="ListParagraph"/>
        <w:numPr>
          <w:ilvl w:val="0"/>
          <w:numId w:val="4"/>
        </w:numPr>
        <w:ind w:left="1440"/>
        <w:jc w:val="both"/>
        <w:rPr>
          <w:rFonts w:ascii="Arial" w:hAnsi="Arial" w:cs="Arial"/>
          <w:b/>
          <w:i/>
          <w:sz w:val="24"/>
          <w:szCs w:val="24"/>
        </w:rPr>
      </w:pPr>
      <w:r w:rsidRPr="006C05FE">
        <w:rPr>
          <w:rFonts w:ascii="Arial" w:hAnsi="Arial" w:cs="Arial"/>
          <w:b/>
          <w:i/>
          <w:sz w:val="24"/>
          <w:szCs w:val="24"/>
        </w:rPr>
        <w:lastRenderedPageBreak/>
        <w:t>The matter on non-remittance of assessed contributions should be escalated to the Bureau of the Authority; and</w:t>
      </w:r>
    </w:p>
    <w:p w:rsidR="008D5178" w:rsidRPr="006C05FE" w:rsidRDefault="008D5178" w:rsidP="008D5178">
      <w:pPr>
        <w:pStyle w:val="ListParagraph"/>
        <w:ind w:left="1440"/>
        <w:jc w:val="both"/>
        <w:rPr>
          <w:rFonts w:ascii="Arial" w:hAnsi="Arial" w:cs="Arial"/>
          <w:b/>
          <w:i/>
          <w:sz w:val="24"/>
          <w:szCs w:val="24"/>
        </w:rPr>
      </w:pPr>
    </w:p>
    <w:p w:rsidR="00C067F1" w:rsidRDefault="005D619C" w:rsidP="00231A0B">
      <w:pPr>
        <w:pStyle w:val="ListParagraph"/>
        <w:numPr>
          <w:ilvl w:val="0"/>
          <w:numId w:val="4"/>
        </w:numPr>
        <w:ind w:left="1440"/>
        <w:jc w:val="both"/>
        <w:rPr>
          <w:rFonts w:ascii="Arial" w:hAnsi="Arial" w:cs="Arial"/>
          <w:sz w:val="24"/>
          <w:szCs w:val="24"/>
        </w:rPr>
        <w:sectPr w:rsidR="00C067F1">
          <w:pgSz w:w="12240" w:h="15840"/>
          <w:pgMar w:top="1440" w:right="1440" w:bottom="1440" w:left="1440" w:header="720" w:footer="720" w:gutter="0"/>
          <w:cols w:space="720"/>
          <w:docGrid w:linePitch="360"/>
        </w:sectPr>
      </w:pPr>
      <w:r w:rsidRPr="006C05FE">
        <w:rPr>
          <w:rFonts w:ascii="Arial" w:hAnsi="Arial" w:cs="Arial"/>
          <w:b/>
          <w:i/>
          <w:sz w:val="24"/>
          <w:szCs w:val="24"/>
        </w:rPr>
        <w:t>The draft report on resource mobilization strategy should be finalised.  To this effect, Member States should submit their comments not later than 30 April 2019 as decided in November 2018</w:t>
      </w:r>
      <w:r w:rsidR="006C05FE">
        <w:rPr>
          <w:rFonts w:ascii="Arial" w:hAnsi="Arial" w:cs="Arial"/>
          <w:sz w:val="24"/>
          <w:szCs w:val="24"/>
        </w:rPr>
        <w:t>.</w:t>
      </w:r>
    </w:p>
    <w:p w:rsidR="00AE1F9B" w:rsidRPr="006C05FE" w:rsidRDefault="000F61E9" w:rsidP="00231A0B">
      <w:pPr>
        <w:pStyle w:val="Heading1"/>
        <w:numPr>
          <w:ilvl w:val="0"/>
          <w:numId w:val="3"/>
        </w:numPr>
        <w:spacing w:before="0"/>
        <w:ind w:hanging="720"/>
        <w:jc w:val="both"/>
        <w:rPr>
          <w:rFonts w:ascii="Arial" w:hAnsi="Arial" w:cs="Arial"/>
          <w:b/>
          <w:color w:val="000000" w:themeColor="text1"/>
          <w:sz w:val="24"/>
          <w:szCs w:val="24"/>
        </w:rPr>
      </w:pPr>
      <w:bookmarkStart w:id="13" w:name="_Toc22370816"/>
      <w:r w:rsidRPr="006C05FE">
        <w:rPr>
          <w:rFonts w:ascii="Arial" w:hAnsi="Arial" w:cs="Arial"/>
          <w:b/>
          <w:color w:val="000000" w:themeColor="text1"/>
          <w:sz w:val="24"/>
          <w:szCs w:val="24"/>
        </w:rPr>
        <w:lastRenderedPageBreak/>
        <w:t xml:space="preserve">REVIEW OF THE PERFORMANCE AND TREND </w:t>
      </w:r>
      <w:r w:rsidR="008D5178">
        <w:rPr>
          <w:rFonts w:ascii="Arial" w:hAnsi="Arial" w:cs="Arial"/>
          <w:b/>
          <w:color w:val="000000" w:themeColor="text1"/>
          <w:sz w:val="24"/>
          <w:szCs w:val="24"/>
        </w:rPr>
        <w:t>REGARDING ASSESSED CONTRIBUTIONS REMITTANCE</w:t>
      </w:r>
      <w:bookmarkEnd w:id="13"/>
      <w:r w:rsidR="008D5178">
        <w:rPr>
          <w:rFonts w:ascii="Arial" w:hAnsi="Arial" w:cs="Arial"/>
          <w:b/>
          <w:color w:val="000000" w:themeColor="text1"/>
          <w:sz w:val="24"/>
          <w:szCs w:val="24"/>
        </w:rPr>
        <w:t xml:space="preserve"> </w:t>
      </w:r>
    </w:p>
    <w:p w:rsidR="0003796E" w:rsidRPr="006C05FE" w:rsidRDefault="0003796E" w:rsidP="006C05FE">
      <w:pPr>
        <w:jc w:val="both"/>
        <w:rPr>
          <w:rFonts w:ascii="Arial" w:hAnsi="Arial" w:cs="Arial"/>
          <w:color w:val="000000" w:themeColor="text1"/>
          <w:sz w:val="24"/>
          <w:szCs w:val="24"/>
        </w:rPr>
      </w:pPr>
    </w:p>
    <w:p w:rsidR="0003796E" w:rsidRPr="003A160C" w:rsidRDefault="0003796E" w:rsidP="00231A0B">
      <w:pPr>
        <w:pStyle w:val="Heading3"/>
        <w:numPr>
          <w:ilvl w:val="1"/>
          <w:numId w:val="3"/>
        </w:numPr>
        <w:spacing w:before="0"/>
        <w:ind w:left="720"/>
        <w:jc w:val="both"/>
        <w:rPr>
          <w:rFonts w:ascii="Arial" w:hAnsi="Arial" w:cs="Arial"/>
          <w:b/>
          <w:color w:val="000000" w:themeColor="text1"/>
        </w:rPr>
      </w:pPr>
      <w:bookmarkStart w:id="14" w:name="_Toc22370817"/>
      <w:r w:rsidRPr="006C05FE">
        <w:rPr>
          <w:rFonts w:ascii="Arial" w:hAnsi="Arial" w:cs="Arial"/>
          <w:b/>
          <w:color w:val="000000" w:themeColor="text1"/>
        </w:rPr>
        <w:t>Outstanding assessed contribution as at 3</w:t>
      </w:r>
      <w:r w:rsidR="000F310D">
        <w:rPr>
          <w:rFonts w:ascii="Arial" w:hAnsi="Arial" w:cs="Arial"/>
          <w:b/>
          <w:color w:val="000000" w:themeColor="text1"/>
        </w:rPr>
        <w:t xml:space="preserve">0 September </w:t>
      </w:r>
      <w:r w:rsidRPr="006C05FE">
        <w:rPr>
          <w:rFonts w:ascii="Arial" w:hAnsi="Arial" w:cs="Arial"/>
          <w:b/>
          <w:color w:val="000000" w:themeColor="text1"/>
        </w:rPr>
        <w:t>2019</w:t>
      </w:r>
      <w:bookmarkEnd w:id="14"/>
    </w:p>
    <w:p w:rsidR="004275A3" w:rsidRPr="00BF3EB5" w:rsidRDefault="00C067F1" w:rsidP="00696016">
      <w:pPr>
        <w:pStyle w:val="ListParagraph"/>
        <w:numPr>
          <w:ilvl w:val="0"/>
          <w:numId w:val="26"/>
        </w:numPr>
        <w:tabs>
          <w:tab w:val="left" w:pos="720"/>
        </w:tabs>
        <w:ind w:left="0" w:firstLine="0"/>
        <w:jc w:val="both"/>
        <w:rPr>
          <w:rFonts w:ascii="Arial" w:hAnsi="Arial" w:cs="Arial"/>
          <w:color w:val="000000" w:themeColor="text1"/>
          <w:sz w:val="24"/>
          <w:szCs w:val="24"/>
        </w:rPr>
      </w:pPr>
      <w:r>
        <w:rPr>
          <w:rFonts w:ascii="Arial" w:hAnsi="Arial" w:cs="Arial"/>
          <w:color w:val="000000" w:themeColor="text1"/>
          <w:sz w:val="24"/>
          <w:szCs w:val="24"/>
        </w:rPr>
        <w:t xml:space="preserve">Table </w:t>
      </w:r>
      <w:r w:rsidR="00306E80" w:rsidRPr="006C05FE">
        <w:rPr>
          <w:rFonts w:ascii="Arial" w:hAnsi="Arial" w:cs="Arial"/>
          <w:color w:val="000000" w:themeColor="text1"/>
          <w:sz w:val="24"/>
          <w:szCs w:val="24"/>
        </w:rPr>
        <w:t>1</w:t>
      </w:r>
      <w:r>
        <w:rPr>
          <w:rFonts w:ascii="Arial" w:hAnsi="Arial" w:cs="Arial"/>
          <w:color w:val="000000" w:themeColor="text1"/>
          <w:sz w:val="24"/>
          <w:szCs w:val="24"/>
        </w:rPr>
        <w:t xml:space="preserve"> below shows that </w:t>
      </w:r>
      <w:r w:rsidR="00306E80" w:rsidRPr="006C05FE">
        <w:rPr>
          <w:rFonts w:ascii="Arial" w:hAnsi="Arial" w:cs="Arial"/>
          <w:color w:val="000000" w:themeColor="text1"/>
          <w:sz w:val="24"/>
          <w:szCs w:val="24"/>
        </w:rPr>
        <w:t xml:space="preserve">remittance of assessed annual Member States contributions is not in accordance with the provisions </w:t>
      </w:r>
      <w:r w:rsidR="007D120D">
        <w:rPr>
          <w:rFonts w:ascii="Arial" w:hAnsi="Arial" w:cs="Arial"/>
          <w:color w:val="000000" w:themeColor="text1"/>
          <w:sz w:val="24"/>
          <w:szCs w:val="24"/>
        </w:rPr>
        <w:t>(Article 166</w:t>
      </w:r>
      <w:r w:rsidR="003A160C">
        <w:rPr>
          <w:rFonts w:ascii="Arial" w:hAnsi="Arial" w:cs="Arial"/>
          <w:color w:val="000000" w:themeColor="text1"/>
          <w:sz w:val="24"/>
          <w:szCs w:val="24"/>
        </w:rPr>
        <w:t>)(6))</w:t>
      </w:r>
      <w:bookmarkStart w:id="15" w:name="_Hlk11064661"/>
      <w:r w:rsidR="00306E80" w:rsidRPr="00BF3EB5">
        <w:rPr>
          <w:rFonts w:ascii="Arial" w:hAnsi="Arial" w:cs="Arial"/>
          <w:color w:val="000000" w:themeColor="text1"/>
          <w:sz w:val="24"/>
          <w:szCs w:val="24"/>
        </w:rPr>
        <w:t>:</w:t>
      </w:r>
      <w:r>
        <w:rPr>
          <w:rFonts w:ascii="Arial" w:hAnsi="Arial" w:cs="Arial"/>
          <w:color w:val="000000" w:themeColor="text1"/>
          <w:sz w:val="24"/>
          <w:szCs w:val="24"/>
        </w:rPr>
        <w:t xml:space="preserve"> -</w:t>
      </w:r>
      <w:r w:rsidR="00306E80" w:rsidRPr="00BF3EB5">
        <w:rPr>
          <w:rFonts w:ascii="Arial" w:hAnsi="Arial" w:cs="Arial"/>
          <w:color w:val="000000" w:themeColor="text1"/>
          <w:sz w:val="24"/>
          <w:szCs w:val="24"/>
        </w:rPr>
        <w:t xml:space="preserve"> </w:t>
      </w:r>
    </w:p>
    <w:p w:rsidR="00C067F1" w:rsidRDefault="00C067F1" w:rsidP="006C05FE">
      <w:pPr>
        <w:rPr>
          <w:rFonts w:ascii="Times New Roman" w:hAnsi="Times New Roman" w:cs="Times New Roman"/>
          <w:b/>
        </w:rPr>
      </w:pPr>
    </w:p>
    <w:p w:rsidR="00C067F1" w:rsidRDefault="00D3544B" w:rsidP="00C067F1">
      <w:pPr>
        <w:ind w:left="-720"/>
        <w:rPr>
          <w:rFonts w:ascii="Times New Roman" w:hAnsi="Times New Roman" w:cs="Times New Roman"/>
          <w:b/>
        </w:rPr>
        <w:sectPr w:rsidR="00C067F1" w:rsidSect="00C067F1">
          <w:headerReference w:type="even" r:id="rId12"/>
          <w:pgSz w:w="15840" w:h="12240" w:orient="landscape"/>
          <w:pgMar w:top="630" w:right="1440" w:bottom="1440" w:left="1440" w:header="720" w:footer="720" w:gutter="0"/>
          <w:cols w:space="720"/>
          <w:docGrid w:linePitch="360"/>
        </w:sectPr>
      </w:pPr>
      <w:r>
        <w:rPr>
          <w:rFonts w:ascii="Times New Roman" w:hAnsi="Times New Roman" w:cs="Times New Roman"/>
          <w:b/>
        </w:rPr>
        <w:object w:dxaOrig="15736" w:dyaOrig="7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4.25pt;height:345.75pt" o:ole="">
            <v:imagedata r:id="rId13" o:title=""/>
          </v:shape>
          <o:OLEObject Type="Embed" ProgID="Excel.Sheet.12" ShapeID="_x0000_i1025" DrawAspect="Content" ObjectID="_1633037017" r:id="rId14"/>
        </w:object>
      </w:r>
    </w:p>
    <w:p w:rsidR="004275A3" w:rsidRDefault="004275A3" w:rsidP="006C05FE">
      <w:pPr>
        <w:rPr>
          <w:rFonts w:ascii="Times New Roman" w:hAnsi="Times New Roman" w:cs="Times New Roman"/>
          <w:b/>
        </w:rPr>
      </w:pPr>
    </w:p>
    <w:p w:rsidR="00C067F1" w:rsidRDefault="00C067F1" w:rsidP="006C05FE">
      <w:pPr>
        <w:rPr>
          <w:rFonts w:ascii="Times New Roman" w:hAnsi="Times New Roman" w:cs="Times New Roman"/>
          <w:b/>
        </w:rPr>
      </w:pPr>
    </w:p>
    <w:p w:rsidR="00C067F1" w:rsidRPr="00BF3EB5" w:rsidRDefault="00C067F1" w:rsidP="00696016">
      <w:pPr>
        <w:pStyle w:val="ListParagraph"/>
        <w:numPr>
          <w:ilvl w:val="0"/>
          <w:numId w:val="26"/>
        </w:numPr>
        <w:tabs>
          <w:tab w:val="left" w:pos="720"/>
        </w:tabs>
        <w:ind w:left="0" w:firstLine="0"/>
        <w:jc w:val="both"/>
        <w:rPr>
          <w:rFonts w:ascii="Arial" w:hAnsi="Arial" w:cs="Arial"/>
          <w:color w:val="000000" w:themeColor="text1"/>
          <w:sz w:val="24"/>
          <w:szCs w:val="24"/>
        </w:rPr>
      </w:pPr>
      <w:r w:rsidRPr="006C05FE">
        <w:rPr>
          <w:rFonts w:ascii="Arial" w:hAnsi="Arial" w:cs="Arial"/>
          <w:color w:val="000000" w:themeColor="text1"/>
          <w:sz w:val="24"/>
          <w:szCs w:val="24"/>
        </w:rPr>
        <w:t xml:space="preserve">As indicated in </w:t>
      </w:r>
      <w:r>
        <w:rPr>
          <w:rFonts w:ascii="Arial" w:hAnsi="Arial" w:cs="Arial"/>
          <w:color w:val="000000" w:themeColor="text1"/>
          <w:sz w:val="24"/>
          <w:szCs w:val="24"/>
        </w:rPr>
        <w:t xml:space="preserve">Table </w:t>
      </w:r>
      <w:r w:rsidRPr="006C05FE">
        <w:rPr>
          <w:rFonts w:ascii="Arial" w:hAnsi="Arial" w:cs="Arial"/>
          <w:color w:val="000000" w:themeColor="text1"/>
          <w:sz w:val="24"/>
          <w:szCs w:val="24"/>
        </w:rPr>
        <w:t xml:space="preserve">1, remittance of assessed annual Member States contributions is not in accordance with the provisions </w:t>
      </w:r>
      <w:r>
        <w:rPr>
          <w:rFonts w:ascii="Arial" w:hAnsi="Arial" w:cs="Arial"/>
          <w:color w:val="000000" w:themeColor="text1"/>
          <w:sz w:val="24"/>
          <w:szCs w:val="24"/>
        </w:rPr>
        <w:t>(Article 166)(6)).</w:t>
      </w:r>
      <w:r w:rsidRPr="006C05FE">
        <w:rPr>
          <w:rFonts w:ascii="Arial" w:hAnsi="Arial" w:cs="Arial"/>
          <w:color w:val="000000" w:themeColor="text1"/>
          <w:sz w:val="24"/>
          <w:szCs w:val="24"/>
        </w:rPr>
        <w:t xml:space="preserve">of the Treaty and the binding decisions of the Authority. </w:t>
      </w:r>
      <w:r>
        <w:rPr>
          <w:rFonts w:ascii="Arial" w:hAnsi="Arial" w:cs="Arial"/>
          <w:color w:val="000000" w:themeColor="text1"/>
          <w:sz w:val="24"/>
          <w:szCs w:val="24"/>
        </w:rPr>
        <w:t xml:space="preserve"> </w:t>
      </w:r>
      <w:r w:rsidRPr="00BF3EB5">
        <w:rPr>
          <w:rFonts w:ascii="Arial" w:hAnsi="Arial" w:cs="Arial"/>
          <w:color w:val="000000" w:themeColor="text1"/>
          <w:sz w:val="24"/>
          <w:szCs w:val="24"/>
        </w:rPr>
        <w:t xml:space="preserve">The analysis given in Table </w:t>
      </w:r>
      <w:r>
        <w:rPr>
          <w:rFonts w:ascii="Arial" w:hAnsi="Arial" w:cs="Arial"/>
          <w:color w:val="000000" w:themeColor="text1"/>
          <w:sz w:val="24"/>
          <w:szCs w:val="24"/>
        </w:rPr>
        <w:t xml:space="preserve">2 </w:t>
      </w:r>
      <w:r w:rsidRPr="00BF3EB5">
        <w:rPr>
          <w:rFonts w:ascii="Arial" w:hAnsi="Arial" w:cs="Arial"/>
          <w:color w:val="000000" w:themeColor="text1"/>
          <w:sz w:val="24"/>
          <w:szCs w:val="24"/>
        </w:rPr>
        <w:t xml:space="preserve">below, should be a cause for concern by Member States and COMESA Policy Organs: </w:t>
      </w:r>
    </w:p>
    <w:p w:rsidR="00C067F1" w:rsidRDefault="00C067F1" w:rsidP="006C05FE">
      <w:pPr>
        <w:rPr>
          <w:rFonts w:ascii="Times New Roman" w:hAnsi="Times New Roman" w:cs="Times New Roman"/>
          <w:b/>
        </w:rPr>
      </w:pPr>
    </w:p>
    <w:p w:rsidR="00306E80" w:rsidRDefault="004275A3" w:rsidP="00306E80">
      <w:pPr>
        <w:rPr>
          <w:rFonts w:ascii="Arial" w:hAnsi="Arial" w:cs="Arial"/>
          <w:b/>
        </w:rPr>
      </w:pPr>
      <w:r w:rsidRPr="006C05FE">
        <w:rPr>
          <w:rFonts w:ascii="Arial" w:hAnsi="Arial" w:cs="Arial"/>
          <w:b/>
        </w:rPr>
        <w:t xml:space="preserve">Table </w:t>
      </w:r>
      <w:r w:rsidR="00C067F1">
        <w:rPr>
          <w:rFonts w:ascii="Arial" w:hAnsi="Arial" w:cs="Arial"/>
          <w:b/>
        </w:rPr>
        <w:t>2</w:t>
      </w:r>
      <w:r w:rsidRPr="006C05FE">
        <w:rPr>
          <w:rFonts w:ascii="Arial" w:hAnsi="Arial" w:cs="Arial"/>
          <w:b/>
        </w:rPr>
        <w:t>: Analysis of Assessed Contributions due from Member States, as at 31 May 2019 (US$)</w:t>
      </w: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629"/>
        <w:gridCol w:w="1800"/>
        <w:gridCol w:w="1350"/>
        <w:gridCol w:w="1260"/>
        <w:gridCol w:w="1445"/>
      </w:tblGrid>
      <w:tr w:rsidR="00BF3EB5" w:rsidRPr="00FD1C6B" w:rsidTr="00BF3EB5">
        <w:trPr>
          <w:trHeight w:val="278"/>
        </w:trPr>
        <w:tc>
          <w:tcPr>
            <w:tcW w:w="1427" w:type="dxa"/>
            <w:vMerge w:val="restart"/>
            <w:shd w:val="clear" w:color="auto" w:fill="A8D08D" w:themeFill="accent6" w:themeFillTint="99"/>
          </w:tcPr>
          <w:bookmarkEnd w:id="15"/>
          <w:p w:rsidR="00BF3EB5" w:rsidRPr="00BF3EB5" w:rsidRDefault="00BF3EB5" w:rsidP="00FD1C6B">
            <w:pPr>
              <w:rPr>
                <w:rFonts w:ascii="Arial" w:eastAsia="Times New Roman" w:hAnsi="Arial" w:cs="Arial"/>
                <w:b/>
                <w:bCs/>
                <w:color w:val="000000"/>
              </w:rPr>
            </w:pPr>
            <w:r>
              <w:rPr>
                <w:rFonts w:ascii="Arial" w:eastAsia="Times New Roman" w:hAnsi="Arial" w:cs="Arial"/>
                <w:b/>
                <w:bCs/>
                <w:color w:val="000000"/>
              </w:rPr>
              <w:t>Description</w:t>
            </w:r>
          </w:p>
        </w:tc>
        <w:tc>
          <w:tcPr>
            <w:tcW w:w="1629" w:type="dxa"/>
            <w:vMerge w:val="restart"/>
            <w:shd w:val="clear" w:color="auto" w:fill="A8D08D" w:themeFill="accent6" w:themeFillTint="99"/>
          </w:tcPr>
          <w:p w:rsidR="00BF3EB5" w:rsidRPr="00BF3EB5" w:rsidRDefault="00BF3EB5" w:rsidP="00FD1C6B">
            <w:pPr>
              <w:jc w:val="right"/>
              <w:rPr>
                <w:rFonts w:ascii="Arial" w:eastAsia="Times New Roman" w:hAnsi="Arial" w:cs="Arial"/>
                <w:b/>
                <w:bCs/>
                <w:color w:val="000000"/>
              </w:rPr>
            </w:pPr>
            <w:r w:rsidRPr="00BF3EB5">
              <w:rPr>
                <w:rFonts w:ascii="Arial" w:eastAsia="Times New Roman" w:hAnsi="Arial" w:cs="Arial"/>
                <w:b/>
                <w:bCs/>
                <w:color w:val="000000"/>
              </w:rPr>
              <w:t>Total Due</w:t>
            </w:r>
          </w:p>
        </w:tc>
        <w:tc>
          <w:tcPr>
            <w:tcW w:w="1800" w:type="dxa"/>
            <w:shd w:val="clear" w:color="auto" w:fill="A8D08D" w:themeFill="accent6" w:themeFillTint="99"/>
            <w:noWrap/>
          </w:tcPr>
          <w:p w:rsidR="00BF3EB5" w:rsidRPr="00BF3EB5" w:rsidRDefault="00BF3EB5" w:rsidP="00FD1C6B">
            <w:pPr>
              <w:jc w:val="right"/>
              <w:rPr>
                <w:rFonts w:ascii="Arial" w:eastAsia="Times New Roman" w:hAnsi="Arial" w:cs="Arial"/>
                <w:b/>
                <w:bCs/>
                <w:color w:val="000000"/>
              </w:rPr>
            </w:pPr>
            <w:r w:rsidRPr="00BF3EB5">
              <w:rPr>
                <w:rFonts w:ascii="Arial" w:eastAsia="Times New Roman" w:hAnsi="Arial" w:cs="Arial"/>
                <w:b/>
                <w:bCs/>
                <w:color w:val="000000"/>
              </w:rPr>
              <w:t>Member States: Comoros, Djibouti</w:t>
            </w:r>
          </w:p>
        </w:tc>
        <w:tc>
          <w:tcPr>
            <w:tcW w:w="1350" w:type="dxa"/>
            <w:shd w:val="clear" w:color="auto" w:fill="A8D08D" w:themeFill="accent6" w:themeFillTint="99"/>
            <w:noWrap/>
          </w:tcPr>
          <w:p w:rsidR="00BF3EB5" w:rsidRPr="00BF3EB5" w:rsidRDefault="00BF3EB5" w:rsidP="00BF3EB5">
            <w:pPr>
              <w:jc w:val="right"/>
              <w:rPr>
                <w:rFonts w:ascii="Arial" w:eastAsia="Times New Roman" w:hAnsi="Arial" w:cs="Arial"/>
                <w:b/>
                <w:bCs/>
                <w:color w:val="000000"/>
              </w:rPr>
            </w:pPr>
            <w:r w:rsidRPr="00BF3EB5">
              <w:rPr>
                <w:rFonts w:ascii="Arial" w:eastAsia="Times New Roman" w:hAnsi="Arial" w:cs="Arial"/>
                <w:b/>
                <w:bCs/>
                <w:color w:val="000000"/>
              </w:rPr>
              <w:t>2017</w:t>
            </w:r>
          </w:p>
        </w:tc>
        <w:tc>
          <w:tcPr>
            <w:tcW w:w="1260" w:type="dxa"/>
            <w:shd w:val="clear" w:color="auto" w:fill="A8D08D" w:themeFill="accent6" w:themeFillTint="99"/>
            <w:noWrap/>
          </w:tcPr>
          <w:p w:rsidR="00BF3EB5" w:rsidRPr="00BF3EB5" w:rsidRDefault="00BF3EB5" w:rsidP="00BF3EB5">
            <w:pPr>
              <w:jc w:val="right"/>
              <w:rPr>
                <w:rFonts w:ascii="Arial" w:eastAsia="Times New Roman" w:hAnsi="Arial" w:cs="Arial"/>
                <w:b/>
                <w:bCs/>
                <w:color w:val="000000"/>
              </w:rPr>
            </w:pPr>
            <w:r w:rsidRPr="00BF3EB5">
              <w:rPr>
                <w:rFonts w:ascii="Arial" w:eastAsia="Times New Roman" w:hAnsi="Arial" w:cs="Arial"/>
                <w:b/>
                <w:bCs/>
                <w:color w:val="000000"/>
              </w:rPr>
              <w:t>2018</w:t>
            </w:r>
          </w:p>
        </w:tc>
        <w:tc>
          <w:tcPr>
            <w:tcW w:w="1445" w:type="dxa"/>
            <w:shd w:val="clear" w:color="auto" w:fill="A8D08D" w:themeFill="accent6" w:themeFillTint="99"/>
            <w:noWrap/>
          </w:tcPr>
          <w:p w:rsidR="00BF3EB5" w:rsidRPr="00BF3EB5" w:rsidRDefault="00BF3EB5" w:rsidP="00BF3EB5">
            <w:pPr>
              <w:jc w:val="right"/>
              <w:rPr>
                <w:rFonts w:ascii="Arial" w:eastAsia="Times New Roman" w:hAnsi="Arial" w:cs="Arial"/>
                <w:b/>
                <w:bCs/>
                <w:color w:val="000000"/>
              </w:rPr>
            </w:pPr>
            <w:r w:rsidRPr="00BF3EB5">
              <w:rPr>
                <w:rFonts w:ascii="Arial" w:eastAsia="Times New Roman" w:hAnsi="Arial" w:cs="Arial"/>
                <w:b/>
                <w:bCs/>
                <w:color w:val="000000"/>
              </w:rPr>
              <w:t>2019</w:t>
            </w:r>
          </w:p>
        </w:tc>
      </w:tr>
      <w:tr w:rsidR="00BF3EB5" w:rsidRPr="00FD1C6B" w:rsidTr="00BF3EB5">
        <w:trPr>
          <w:trHeight w:val="278"/>
        </w:trPr>
        <w:tc>
          <w:tcPr>
            <w:tcW w:w="1427" w:type="dxa"/>
            <w:vMerge/>
            <w:shd w:val="clear" w:color="auto" w:fill="A8D08D" w:themeFill="accent6" w:themeFillTint="99"/>
          </w:tcPr>
          <w:p w:rsidR="00BF3EB5" w:rsidRPr="00BF3EB5" w:rsidRDefault="00BF3EB5" w:rsidP="00BF3EB5">
            <w:pPr>
              <w:rPr>
                <w:rFonts w:ascii="Arial" w:eastAsia="Times New Roman" w:hAnsi="Arial" w:cs="Arial"/>
                <w:b/>
                <w:bCs/>
                <w:color w:val="000000"/>
              </w:rPr>
            </w:pPr>
          </w:p>
        </w:tc>
        <w:tc>
          <w:tcPr>
            <w:tcW w:w="1629" w:type="dxa"/>
            <w:vMerge/>
            <w:shd w:val="clear" w:color="auto" w:fill="A8D08D" w:themeFill="accent6" w:themeFillTint="99"/>
          </w:tcPr>
          <w:p w:rsidR="00BF3EB5" w:rsidRPr="00BF3EB5" w:rsidRDefault="00BF3EB5" w:rsidP="00BF3EB5">
            <w:pPr>
              <w:jc w:val="right"/>
              <w:rPr>
                <w:rFonts w:ascii="Arial" w:eastAsia="Times New Roman" w:hAnsi="Arial" w:cs="Arial"/>
                <w:b/>
                <w:bCs/>
                <w:color w:val="000000"/>
              </w:rPr>
            </w:pPr>
          </w:p>
        </w:tc>
        <w:tc>
          <w:tcPr>
            <w:tcW w:w="1800" w:type="dxa"/>
            <w:shd w:val="clear" w:color="auto" w:fill="A8D08D" w:themeFill="accent6" w:themeFillTint="99"/>
            <w:noWrap/>
          </w:tcPr>
          <w:p w:rsidR="00BF3EB5" w:rsidRPr="00BF3EB5" w:rsidRDefault="00BF3EB5" w:rsidP="00BF3EB5">
            <w:pPr>
              <w:jc w:val="right"/>
              <w:rPr>
                <w:rFonts w:ascii="Arial" w:eastAsia="Times New Roman" w:hAnsi="Arial" w:cs="Arial"/>
                <w:b/>
                <w:bCs/>
                <w:color w:val="000000"/>
              </w:rPr>
            </w:pPr>
            <w:r w:rsidRPr="00BF3EB5">
              <w:rPr>
                <w:rFonts w:ascii="Arial" w:eastAsia="Times New Roman" w:hAnsi="Arial" w:cs="Arial"/>
                <w:b/>
                <w:bCs/>
                <w:color w:val="000000"/>
              </w:rPr>
              <w:t>Repayment plan</w:t>
            </w:r>
          </w:p>
        </w:tc>
        <w:tc>
          <w:tcPr>
            <w:tcW w:w="1350" w:type="dxa"/>
            <w:shd w:val="clear" w:color="auto" w:fill="A8D08D" w:themeFill="accent6" w:themeFillTint="99"/>
            <w:noWrap/>
          </w:tcPr>
          <w:p w:rsidR="00BF3EB5" w:rsidRPr="00BF3EB5" w:rsidRDefault="00BF3EB5" w:rsidP="00BF3EB5">
            <w:pPr>
              <w:jc w:val="right"/>
              <w:rPr>
                <w:rFonts w:ascii="Arial" w:eastAsia="Times New Roman" w:hAnsi="Arial" w:cs="Arial"/>
                <w:b/>
                <w:bCs/>
                <w:color w:val="000000"/>
              </w:rPr>
            </w:pPr>
            <w:r w:rsidRPr="00BF3EB5">
              <w:rPr>
                <w:rFonts w:ascii="Arial" w:eastAsia="Times New Roman" w:hAnsi="Arial" w:cs="Arial"/>
                <w:b/>
                <w:bCs/>
                <w:color w:val="000000"/>
              </w:rPr>
              <w:t>Arrears: 1-2 years</w:t>
            </w:r>
          </w:p>
        </w:tc>
        <w:tc>
          <w:tcPr>
            <w:tcW w:w="1260" w:type="dxa"/>
            <w:shd w:val="clear" w:color="auto" w:fill="A8D08D" w:themeFill="accent6" w:themeFillTint="99"/>
            <w:noWrap/>
          </w:tcPr>
          <w:p w:rsidR="00BF3EB5" w:rsidRPr="00BF3EB5" w:rsidRDefault="00BF3EB5" w:rsidP="00BF3EB5">
            <w:pPr>
              <w:jc w:val="right"/>
              <w:rPr>
                <w:rFonts w:ascii="Arial" w:eastAsia="Times New Roman" w:hAnsi="Arial" w:cs="Arial"/>
                <w:b/>
                <w:bCs/>
                <w:color w:val="000000"/>
              </w:rPr>
            </w:pPr>
            <w:r w:rsidRPr="00BF3EB5">
              <w:rPr>
                <w:rFonts w:ascii="Arial" w:eastAsia="Times New Roman" w:hAnsi="Arial" w:cs="Arial"/>
                <w:b/>
                <w:bCs/>
                <w:color w:val="000000"/>
              </w:rPr>
              <w:t xml:space="preserve">Arrears: </w:t>
            </w:r>
            <w:r>
              <w:rPr>
                <w:rFonts w:ascii="Arial" w:eastAsia="Times New Roman" w:hAnsi="Arial" w:cs="Arial"/>
                <w:b/>
                <w:bCs/>
                <w:color w:val="000000"/>
              </w:rPr>
              <w:t xml:space="preserve">up to </w:t>
            </w:r>
            <w:r w:rsidRPr="00BF3EB5">
              <w:rPr>
                <w:rFonts w:ascii="Arial" w:eastAsia="Times New Roman" w:hAnsi="Arial" w:cs="Arial"/>
                <w:b/>
                <w:bCs/>
                <w:color w:val="000000"/>
              </w:rPr>
              <w:t>1 year</w:t>
            </w:r>
          </w:p>
        </w:tc>
        <w:tc>
          <w:tcPr>
            <w:tcW w:w="1445" w:type="dxa"/>
            <w:shd w:val="clear" w:color="auto" w:fill="A8D08D" w:themeFill="accent6" w:themeFillTint="99"/>
            <w:noWrap/>
          </w:tcPr>
          <w:p w:rsidR="00BF3EB5" w:rsidRPr="00BF3EB5" w:rsidRDefault="00BF3EB5" w:rsidP="00BF3EB5">
            <w:pPr>
              <w:jc w:val="right"/>
              <w:rPr>
                <w:rFonts w:ascii="Arial" w:eastAsia="Times New Roman" w:hAnsi="Arial" w:cs="Arial"/>
                <w:b/>
                <w:bCs/>
                <w:color w:val="000000"/>
              </w:rPr>
            </w:pPr>
            <w:r>
              <w:rPr>
                <w:rFonts w:ascii="Arial" w:eastAsia="Times New Roman" w:hAnsi="Arial" w:cs="Arial"/>
                <w:b/>
                <w:bCs/>
                <w:color w:val="000000"/>
              </w:rPr>
              <w:t>Current year</w:t>
            </w:r>
          </w:p>
        </w:tc>
      </w:tr>
      <w:tr w:rsidR="00FD1C6B" w:rsidRPr="00FD1C6B" w:rsidTr="00BF3EB5">
        <w:trPr>
          <w:trHeight w:val="278"/>
        </w:trPr>
        <w:tc>
          <w:tcPr>
            <w:tcW w:w="1427" w:type="dxa"/>
            <w:shd w:val="clear" w:color="auto" w:fill="A8D08D" w:themeFill="accent6" w:themeFillTint="99"/>
          </w:tcPr>
          <w:p w:rsidR="00FD1C6B" w:rsidRPr="00BF3EB5" w:rsidRDefault="00BF3EB5" w:rsidP="00FD1C6B">
            <w:pPr>
              <w:rPr>
                <w:rFonts w:ascii="Arial" w:eastAsia="Times New Roman" w:hAnsi="Arial" w:cs="Arial"/>
                <w:b/>
                <w:bCs/>
                <w:color w:val="000000"/>
              </w:rPr>
            </w:pPr>
            <w:r>
              <w:rPr>
                <w:rFonts w:ascii="Arial" w:eastAsia="Times New Roman" w:hAnsi="Arial" w:cs="Arial"/>
                <w:b/>
                <w:bCs/>
                <w:color w:val="000000"/>
              </w:rPr>
              <w:t>Col 1</w:t>
            </w:r>
          </w:p>
        </w:tc>
        <w:tc>
          <w:tcPr>
            <w:tcW w:w="1629" w:type="dxa"/>
            <w:shd w:val="clear" w:color="auto" w:fill="A8D08D" w:themeFill="accent6" w:themeFillTint="99"/>
          </w:tcPr>
          <w:p w:rsidR="00FD1C6B" w:rsidRPr="00BF3EB5" w:rsidRDefault="00FD1C6B" w:rsidP="00FD1C6B">
            <w:pPr>
              <w:jc w:val="right"/>
              <w:rPr>
                <w:rFonts w:ascii="Arial" w:eastAsia="Times New Roman" w:hAnsi="Arial" w:cs="Arial"/>
                <w:b/>
                <w:bCs/>
                <w:color w:val="000000"/>
              </w:rPr>
            </w:pPr>
            <w:r w:rsidRPr="00BF3EB5">
              <w:rPr>
                <w:rFonts w:ascii="Arial" w:eastAsia="Times New Roman" w:hAnsi="Arial" w:cs="Arial"/>
                <w:b/>
                <w:bCs/>
                <w:color w:val="000000"/>
              </w:rPr>
              <w:t xml:space="preserve">Col 2=Col </w:t>
            </w:r>
            <w:r w:rsidR="00BF3EB5" w:rsidRPr="00BF3EB5">
              <w:rPr>
                <w:rFonts w:ascii="Arial" w:eastAsia="Times New Roman" w:hAnsi="Arial" w:cs="Arial"/>
                <w:b/>
                <w:bCs/>
                <w:color w:val="000000"/>
              </w:rPr>
              <w:t>3-7</w:t>
            </w:r>
          </w:p>
        </w:tc>
        <w:tc>
          <w:tcPr>
            <w:tcW w:w="1800" w:type="dxa"/>
            <w:shd w:val="clear" w:color="auto" w:fill="A8D08D" w:themeFill="accent6" w:themeFillTint="99"/>
            <w:noWrap/>
          </w:tcPr>
          <w:p w:rsidR="00FD1C6B" w:rsidRPr="00BF3EB5" w:rsidRDefault="00BF3EB5" w:rsidP="00FD1C6B">
            <w:pPr>
              <w:jc w:val="right"/>
              <w:rPr>
                <w:rFonts w:ascii="Arial" w:eastAsia="Times New Roman" w:hAnsi="Arial" w:cs="Arial"/>
                <w:b/>
                <w:bCs/>
                <w:color w:val="000000"/>
              </w:rPr>
            </w:pPr>
            <w:r w:rsidRPr="00BF3EB5">
              <w:rPr>
                <w:rFonts w:ascii="Arial" w:eastAsia="Times New Roman" w:hAnsi="Arial" w:cs="Arial"/>
                <w:b/>
                <w:bCs/>
                <w:color w:val="000000"/>
              </w:rPr>
              <w:t>Col 4</w:t>
            </w:r>
          </w:p>
        </w:tc>
        <w:tc>
          <w:tcPr>
            <w:tcW w:w="1350" w:type="dxa"/>
            <w:shd w:val="clear" w:color="auto" w:fill="A8D08D" w:themeFill="accent6" w:themeFillTint="99"/>
            <w:noWrap/>
          </w:tcPr>
          <w:p w:rsidR="00FD1C6B" w:rsidRPr="00BF3EB5" w:rsidRDefault="00BF3EB5" w:rsidP="00BF3EB5">
            <w:pPr>
              <w:jc w:val="right"/>
              <w:rPr>
                <w:rFonts w:ascii="Arial" w:eastAsia="Times New Roman" w:hAnsi="Arial" w:cs="Arial"/>
                <w:b/>
                <w:bCs/>
                <w:color w:val="000000"/>
              </w:rPr>
            </w:pPr>
            <w:r w:rsidRPr="00BF3EB5">
              <w:rPr>
                <w:rFonts w:ascii="Arial" w:eastAsia="Times New Roman" w:hAnsi="Arial" w:cs="Arial"/>
                <w:b/>
                <w:bCs/>
                <w:color w:val="000000"/>
              </w:rPr>
              <w:t>Col 5</w:t>
            </w:r>
          </w:p>
        </w:tc>
        <w:tc>
          <w:tcPr>
            <w:tcW w:w="1260" w:type="dxa"/>
            <w:shd w:val="clear" w:color="auto" w:fill="A8D08D" w:themeFill="accent6" w:themeFillTint="99"/>
            <w:noWrap/>
          </w:tcPr>
          <w:p w:rsidR="00FD1C6B" w:rsidRPr="00BF3EB5" w:rsidRDefault="00BF3EB5" w:rsidP="00BF3EB5">
            <w:pPr>
              <w:jc w:val="right"/>
              <w:rPr>
                <w:rFonts w:ascii="Arial" w:eastAsia="Times New Roman" w:hAnsi="Arial" w:cs="Arial"/>
                <w:b/>
                <w:bCs/>
                <w:color w:val="000000"/>
              </w:rPr>
            </w:pPr>
            <w:r w:rsidRPr="00BF3EB5">
              <w:rPr>
                <w:rFonts w:ascii="Arial" w:eastAsia="Times New Roman" w:hAnsi="Arial" w:cs="Arial"/>
                <w:b/>
                <w:bCs/>
                <w:color w:val="000000"/>
              </w:rPr>
              <w:t>Col 6</w:t>
            </w:r>
          </w:p>
        </w:tc>
        <w:tc>
          <w:tcPr>
            <w:tcW w:w="1445" w:type="dxa"/>
            <w:shd w:val="clear" w:color="auto" w:fill="A8D08D" w:themeFill="accent6" w:themeFillTint="99"/>
            <w:noWrap/>
          </w:tcPr>
          <w:p w:rsidR="00FD1C6B" w:rsidRPr="00BF3EB5" w:rsidRDefault="00BF3EB5" w:rsidP="00BF3EB5">
            <w:pPr>
              <w:jc w:val="right"/>
              <w:rPr>
                <w:rFonts w:ascii="Arial" w:eastAsia="Times New Roman" w:hAnsi="Arial" w:cs="Arial"/>
                <w:b/>
                <w:bCs/>
                <w:color w:val="000000"/>
              </w:rPr>
            </w:pPr>
            <w:r w:rsidRPr="00BF3EB5">
              <w:rPr>
                <w:rFonts w:ascii="Arial" w:eastAsia="Times New Roman" w:hAnsi="Arial" w:cs="Arial"/>
                <w:b/>
                <w:bCs/>
                <w:color w:val="000000"/>
              </w:rPr>
              <w:t>Col 7</w:t>
            </w:r>
          </w:p>
        </w:tc>
      </w:tr>
      <w:tr w:rsidR="00D3544B" w:rsidRPr="00FD1C6B" w:rsidTr="00BF3EB5">
        <w:trPr>
          <w:trHeight w:val="278"/>
        </w:trPr>
        <w:tc>
          <w:tcPr>
            <w:tcW w:w="1427" w:type="dxa"/>
            <w:shd w:val="clear" w:color="auto" w:fill="auto"/>
            <w:hideMark/>
          </w:tcPr>
          <w:p w:rsidR="00D3544B" w:rsidRPr="00FD1C6B" w:rsidRDefault="00D3544B" w:rsidP="00D3544B">
            <w:pPr>
              <w:rPr>
                <w:rFonts w:ascii="Arial Narrow" w:eastAsia="Times New Roman" w:hAnsi="Arial Narrow" w:cs="Times New Roman"/>
                <w:b/>
                <w:bCs/>
                <w:color w:val="000000"/>
                <w:sz w:val="20"/>
                <w:szCs w:val="20"/>
              </w:rPr>
            </w:pPr>
            <w:r>
              <w:rPr>
                <w:rFonts w:ascii="Arial Narrow" w:eastAsia="Times New Roman" w:hAnsi="Arial Narrow" w:cs="Times New Roman"/>
                <w:b/>
                <w:bCs/>
                <w:color w:val="000000"/>
                <w:sz w:val="20"/>
                <w:szCs w:val="20"/>
              </w:rPr>
              <w:t>Amount</w:t>
            </w:r>
          </w:p>
        </w:tc>
        <w:tc>
          <w:tcPr>
            <w:tcW w:w="1629" w:type="dxa"/>
            <w:shd w:val="clear" w:color="auto" w:fill="auto"/>
            <w:hideMark/>
          </w:tcPr>
          <w:p w:rsidR="00D3544B" w:rsidRPr="00251024" w:rsidRDefault="00D3544B" w:rsidP="00D3544B">
            <w:pPr>
              <w:jc w:val="right"/>
            </w:pPr>
            <w:r w:rsidRPr="00251024">
              <w:t xml:space="preserve"> 27,079,013 </w:t>
            </w:r>
          </w:p>
        </w:tc>
        <w:tc>
          <w:tcPr>
            <w:tcW w:w="1800" w:type="dxa"/>
            <w:shd w:val="clear" w:color="auto" w:fill="auto"/>
            <w:noWrap/>
            <w:hideMark/>
          </w:tcPr>
          <w:p w:rsidR="00D3544B" w:rsidRPr="00251024" w:rsidRDefault="00D3544B" w:rsidP="00D3544B">
            <w:pPr>
              <w:jc w:val="right"/>
            </w:pPr>
            <w:r w:rsidRPr="00251024">
              <w:t xml:space="preserve"> 7,450,516 </w:t>
            </w:r>
          </w:p>
        </w:tc>
        <w:tc>
          <w:tcPr>
            <w:tcW w:w="1350" w:type="dxa"/>
            <w:shd w:val="clear" w:color="auto" w:fill="auto"/>
            <w:noWrap/>
            <w:hideMark/>
          </w:tcPr>
          <w:p w:rsidR="00D3544B" w:rsidRPr="00251024" w:rsidRDefault="00D3544B" w:rsidP="00D3544B">
            <w:pPr>
              <w:jc w:val="right"/>
            </w:pPr>
            <w:r w:rsidRPr="00251024">
              <w:t xml:space="preserve"> 830,661 </w:t>
            </w:r>
          </w:p>
        </w:tc>
        <w:tc>
          <w:tcPr>
            <w:tcW w:w="1260" w:type="dxa"/>
            <w:shd w:val="clear" w:color="auto" w:fill="auto"/>
            <w:noWrap/>
            <w:hideMark/>
          </w:tcPr>
          <w:p w:rsidR="00D3544B" w:rsidRPr="00251024" w:rsidRDefault="00D3544B" w:rsidP="00D3544B">
            <w:pPr>
              <w:jc w:val="right"/>
            </w:pPr>
            <w:r w:rsidRPr="00251024">
              <w:t xml:space="preserve"> 5,575,113 </w:t>
            </w:r>
          </w:p>
        </w:tc>
        <w:tc>
          <w:tcPr>
            <w:tcW w:w="1445" w:type="dxa"/>
            <w:shd w:val="clear" w:color="auto" w:fill="auto"/>
            <w:noWrap/>
            <w:hideMark/>
          </w:tcPr>
          <w:p w:rsidR="00D3544B" w:rsidRDefault="00D3544B" w:rsidP="00D3544B">
            <w:pPr>
              <w:jc w:val="right"/>
            </w:pPr>
            <w:r w:rsidRPr="00251024">
              <w:t xml:space="preserve"> 13,222,723 </w:t>
            </w:r>
          </w:p>
        </w:tc>
      </w:tr>
      <w:tr w:rsidR="00D3544B" w:rsidRPr="00FD1C6B" w:rsidTr="00BF3EB5">
        <w:trPr>
          <w:trHeight w:val="278"/>
        </w:trPr>
        <w:tc>
          <w:tcPr>
            <w:tcW w:w="1427" w:type="dxa"/>
            <w:shd w:val="clear" w:color="auto" w:fill="auto"/>
            <w:hideMark/>
          </w:tcPr>
          <w:p w:rsidR="00D3544B" w:rsidRPr="00FD1C6B" w:rsidRDefault="00D3544B" w:rsidP="00D3544B">
            <w:pPr>
              <w:rPr>
                <w:rFonts w:ascii="Arial Narrow" w:eastAsia="Times New Roman" w:hAnsi="Arial Narrow" w:cs="Times New Roman"/>
                <w:b/>
                <w:bCs/>
                <w:color w:val="000000"/>
                <w:sz w:val="20"/>
                <w:szCs w:val="20"/>
              </w:rPr>
            </w:pPr>
            <w:r w:rsidRPr="00FD1C6B">
              <w:rPr>
                <w:rFonts w:ascii="Arial Narrow" w:eastAsia="Times New Roman" w:hAnsi="Arial Narrow" w:cs="Times New Roman"/>
                <w:b/>
                <w:bCs/>
                <w:color w:val="000000"/>
                <w:sz w:val="20"/>
                <w:szCs w:val="20"/>
              </w:rPr>
              <w:t>%</w:t>
            </w:r>
          </w:p>
        </w:tc>
        <w:tc>
          <w:tcPr>
            <w:tcW w:w="1629" w:type="dxa"/>
            <w:shd w:val="clear" w:color="auto" w:fill="auto"/>
            <w:hideMark/>
          </w:tcPr>
          <w:p w:rsidR="00D3544B" w:rsidRPr="00DC5C54" w:rsidRDefault="00D3544B" w:rsidP="00D3544B">
            <w:pPr>
              <w:jc w:val="right"/>
            </w:pPr>
            <w:r w:rsidRPr="00DC5C54">
              <w:t>100%</w:t>
            </w:r>
          </w:p>
        </w:tc>
        <w:tc>
          <w:tcPr>
            <w:tcW w:w="1800" w:type="dxa"/>
            <w:shd w:val="clear" w:color="auto" w:fill="auto"/>
            <w:noWrap/>
            <w:hideMark/>
          </w:tcPr>
          <w:p w:rsidR="00D3544B" w:rsidRPr="00DC5C54" w:rsidRDefault="00D3544B" w:rsidP="00D3544B">
            <w:pPr>
              <w:jc w:val="right"/>
            </w:pPr>
            <w:r w:rsidRPr="00DC5C54">
              <w:t>28%</w:t>
            </w:r>
          </w:p>
        </w:tc>
        <w:tc>
          <w:tcPr>
            <w:tcW w:w="1350" w:type="dxa"/>
            <w:shd w:val="clear" w:color="auto" w:fill="auto"/>
            <w:noWrap/>
            <w:hideMark/>
          </w:tcPr>
          <w:p w:rsidR="00D3544B" w:rsidRPr="00DC5C54" w:rsidRDefault="00D3544B" w:rsidP="00D3544B">
            <w:pPr>
              <w:jc w:val="right"/>
            </w:pPr>
            <w:r w:rsidRPr="00DC5C54">
              <w:t>3%</w:t>
            </w:r>
          </w:p>
        </w:tc>
        <w:tc>
          <w:tcPr>
            <w:tcW w:w="1260" w:type="dxa"/>
            <w:shd w:val="clear" w:color="auto" w:fill="auto"/>
            <w:noWrap/>
            <w:hideMark/>
          </w:tcPr>
          <w:p w:rsidR="00D3544B" w:rsidRPr="00DC5C54" w:rsidRDefault="00D3544B" w:rsidP="00D3544B">
            <w:pPr>
              <w:jc w:val="right"/>
            </w:pPr>
            <w:r w:rsidRPr="00DC5C54">
              <w:t>21%</w:t>
            </w:r>
          </w:p>
        </w:tc>
        <w:tc>
          <w:tcPr>
            <w:tcW w:w="1445" w:type="dxa"/>
            <w:shd w:val="clear" w:color="auto" w:fill="auto"/>
            <w:noWrap/>
            <w:hideMark/>
          </w:tcPr>
          <w:p w:rsidR="00D3544B" w:rsidRDefault="00D3544B" w:rsidP="00D3544B">
            <w:pPr>
              <w:jc w:val="right"/>
            </w:pPr>
            <w:r w:rsidRPr="00DC5C54">
              <w:t>49%</w:t>
            </w:r>
          </w:p>
        </w:tc>
      </w:tr>
    </w:tbl>
    <w:p w:rsidR="00BF3EB5" w:rsidRDefault="00BF3EB5" w:rsidP="00BF3EB5">
      <w:pPr>
        <w:pStyle w:val="Heading3"/>
        <w:ind w:left="720"/>
        <w:rPr>
          <w:rFonts w:ascii="Arial" w:hAnsi="Arial" w:cs="Arial"/>
          <w:b/>
          <w:color w:val="000000" w:themeColor="text1"/>
        </w:rPr>
      </w:pPr>
    </w:p>
    <w:p w:rsidR="00BF3EB5" w:rsidRDefault="00BF3EB5" w:rsidP="00696016">
      <w:pPr>
        <w:pStyle w:val="ListParagraph"/>
        <w:numPr>
          <w:ilvl w:val="0"/>
          <w:numId w:val="26"/>
        </w:numPr>
        <w:tabs>
          <w:tab w:val="left" w:pos="720"/>
        </w:tabs>
        <w:ind w:left="0" w:firstLine="0"/>
        <w:jc w:val="both"/>
        <w:rPr>
          <w:rFonts w:ascii="Arial" w:hAnsi="Arial" w:cs="Arial"/>
          <w:color w:val="000000" w:themeColor="text1"/>
          <w:sz w:val="24"/>
          <w:szCs w:val="24"/>
        </w:rPr>
      </w:pPr>
      <w:r>
        <w:rPr>
          <w:rFonts w:ascii="Arial" w:hAnsi="Arial" w:cs="Arial"/>
          <w:color w:val="000000" w:themeColor="text1"/>
          <w:sz w:val="24"/>
          <w:szCs w:val="24"/>
        </w:rPr>
        <w:t xml:space="preserve">Data and information </w:t>
      </w:r>
      <w:r w:rsidR="00C067F1">
        <w:rPr>
          <w:rFonts w:ascii="Arial" w:hAnsi="Arial" w:cs="Arial"/>
          <w:color w:val="000000" w:themeColor="text1"/>
          <w:sz w:val="24"/>
          <w:szCs w:val="24"/>
        </w:rPr>
        <w:t>in Table 2 can be explained as follows: -</w:t>
      </w:r>
    </w:p>
    <w:p w:rsidR="00C067F1" w:rsidRDefault="00C067F1" w:rsidP="00C067F1">
      <w:pPr>
        <w:pStyle w:val="ListParagraph"/>
        <w:ind w:left="0"/>
        <w:jc w:val="both"/>
        <w:rPr>
          <w:rFonts w:ascii="Arial" w:hAnsi="Arial" w:cs="Arial"/>
          <w:color w:val="000000" w:themeColor="text1"/>
          <w:sz w:val="24"/>
          <w:szCs w:val="24"/>
        </w:rPr>
      </w:pPr>
    </w:p>
    <w:p w:rsidR="00C067F1" w:rsidRDefault="00C067F1" w:rsidP="00231A0B">
      <w:pPr>
        <w:pStyle w:val="ListParagraph"/>
        <w:numPr>
          <w:ilvl w:val="0"/>
          <w:numId w:val="13"/>
        </w:numPr>
        <w:jc w:val="both"/>
        <w:rPr>
          <w:rFonts w:ascii="Arial" w:hAnsi="Arial" w:cs="Arial"/>
          <w:color w:val="000000" w:themeColor="text1"/>
          <w:sz w:val="24"/>
          <w:szCs w:val="24"/>
        </w:rPr>
      </w:pPr>
      <w:r>
        <w:rPr>
          <w:rFonts w:ascii="Arial" w:hAnsi="Arial" w:cs="Arial"/>
          <w:color w:val="000000" w:themeColor="text1"/>
          <w:sz w:val="24"/>
          <w:szCs w:val="24"/>
        </w:rPr>
        <w:t>Three Member States with repayment plans agreed between each of them and the COMESA Authority have not adhered to the conditions set out in the agreement;</w:t>
      </w:r>
    </w:p>
    <w:p w:rsidR="00C067F1" w:rsidRDefault="00C067F1" w:rsidP="00C067F1">
      <w:pPr>
        <w:pStyle w:val="ListParagraph"/>
        <w:ind w:left="1440"/>
        <w:jc w:val="both"/>
        <w:rPr>
          <w:rFonts w:ascii="Arial" w:hAnsi="Arial" w:cs="Arial"/>
          <w:color w:val="000000" w:themeColor="text1"/>
          <w:sz w:val="24"/>
          <w:szCs w:val="24"/>
        </w:rPr>
      </w:pPr>
    </w:p>
    <w:p w:rsidR="00C067F1" w:rsidRDefault="00C067F1" w:rsidP="00231A0B">
      <w:pPr>
        <w:pStyle w:val="ListParagraph"/>
        <w:numPr>
          <w:ilvl w:val="0"/>
          <w:numId w:val="13"/>
        </w:numPr>
        <w:jc w:val="both"/>
        <w:rPr>
          <w:rFonts w:ascii="Arial" w:hAnsi="Arial" w:cs="Arial"/>
          <w:color w:val="000000" w:themeColor="text1"/>
          <w:sz w:val="24"/>
          <w:szCs w:val="24"/>
        </w:rPr>
      </w:pPr>
      <w:r>
        <w:rPr>
          <w:rFonts w:ascii="Arial" w:hAnsi="Arial" w:cs="Arial"/>
          <w:color w:val="000000" w:themeColor="text1"/>
          <w:sz w:val="24"/>
          <w:szCs w:val="24"/>
        </w:rPr>
        <w:t>Amounts in respect of assessed contributions for 2017 (US$</w:t>
      </w:r>
      <w:r w:rsidRPr="00C067F1">
        <w:rPr>
          <w:rFonts w:ascii="Arial" w:hAnsi="Arial" w:cs="Arial"/>
          <w:color w:val="000000" w:themeColor="text1"/>
          <w:sz w:val="24"/>
          <w:szCs w:val="24"/>
        </w:rPr>
        <w:t>830,661</w:t>
      </w:r>
      <w:r>
        <w:rPr>
          <w:rFonts w:ascii="Arial" w:hAnsi="Arial" w:cs="Arial"/>
          <w:color w:val="000000" w:themeColor="text1"/>
          <w:sz w:val="24"/>
          <w:szCs w:val="24"/>
        </w:rPr>
        <w:t>) and 2018 (US$</w:t>
      </w:r>
      <w:r w:rsidRPr="00C067F1">
        <w:rPr>
          <w:rFonts w:ascii="Arial" w:hAnsi="Arial" w:cs="Arial"/>
          <w:color w:val="000000" w:themeColor="text1"/>
          <w:sz w:val="24"/>
          <w:szCs w:val="24"/>
        </w:rPr>
        <w:t>5,575,113</w:t>
      </w:r>
      <w:r>
        <w:rPr>
          <w:rFonts w:ascii="Arial" w:hAnsi="Arial" w:cs="Arial"/>
          <w:color w:val="000000" w:themeColor="text1"/>
          <w:sz w:val="24"/>
          <w:szCs w:val="24"/>
        </w:rPr>
        <w:t>) remain remitted;</w:t>
      </w:r>
    </w:p>
    <w:p w:rsidR="00C067F1" w:rsidRPr="00C067F1" w:rsidRDefault="00C067F1" w:rsidP="00C067F1">
      <w:pPr>
        <w:pStyle w:val="ListParagraph"/>
        <w:rPr>
          <w:rFonts w:ascii="Arial" w:hAnsi="Arial" w:cs="Arial"/>
          <w:color w:val="000000" w:themeColor="text1"/>
          <w:sz w:val="24"/>
          <w:szCs w:val="24"/>
        </w:rPr>
      </w:pPr>
    </w:p>
    <w:p w:rsidR="00C067F1" w:rsidRDefault="00C067F1" w:rsidP="00231A0B">
      <w:pPr>
        <w:pStyle w:val="ListParagraph"/>
        <w:numPr>
          <w:ilvl w:val="0"/>
          <w:numId w:val="13"/>
        </w:numPr>
        <w:jc w:val="both"/>
        <w:rPr>
          <w:rFonts w:ascii="Arial" w:hAnsi="Arial" w:cs="Arial"/>
          <w:color w:val="000000" w:themeColor="text1"/>
          <w:sz w:val="24"/>
          <w:szCs w:val="24"/>
        </w:rPr>
      </w:pPr>
      <w:r>
        <w:rPr>
          <w:rFonts w:ascii="Arial" w:hAnsi="Arial" w:cs="Arial"/>
          <w:color w:val="000000" w:themeColor="text1"/>
          <w:sz w:val="24"/>
          <w:szCs w:val="24"/>
        </w:rPr>
        <w:t>Amounts in respect of assessed contributions for 2019 (US$13,</w:t>
      </w:r>
      <w:r w:rsidR="00D3544B">
        <w:rPr>
          <w:rFonts w:ascii="Arial" w:hAnsi="Arial" w:cs="Arial"/>
          <w:color w:val="000000" w:themeColor="text1"/>
          <w:sz w:val="24"/>
          <w:szCs w:val="24"/>
        </w:rPr>
        <w:t>222</w:t>
      </w:r>
      <w:r>
        <w:rPr>
          <w:rFonts w:ascii="Arial" w:hAnsi="Arial" w:cs="Arial"/>
          <w:color w:val="000000" w:themeColor="text1"/>
          <w:sz w:val="24"/>
          <w:szCs w:val="24"/>
        </w:rPr>
        <w:t>,</w:t>
      </w:r>
      <w:r w:rsidR="00D3544B">
        <w:rPr>
          <w:rFonts w:ascii="Arial" w:hAnsi="Arial" w:cs="Arial"/>
          <w:color w:val="000000" w:themeColor="text1"/>
          <w:sz w:val="24"/>
          <w:szCs w:val="24"/>
        </w:rPr>
        <w:t>723</w:t>
      </w:r>
      <w:r>
        <w:rPr>
          <w:rFonts w:ascii="Arial" w:hAnsi="Arial" w:cs="Arial"/>
          <w:color w:val="000000" w:themeColor="text1"/>
          <w:sz w:val="24"/>
          <w:szCs w:val="24"/>
        </w:rPr>
        <w:t>) also remain remitted; and</w:t>
      </w:r>
    </w:p>
    <w:p w:rsidR="00C067F1" w:rsidRPr="00C067F1" w:rsidRDefault="00C067F1" w:rsidP="00C067F1">
      <w:pPr>
        <w:pStyle w:val="ListParagraph"/>
        <w:rPr>
          <w:rFonts w:ascii="Arial" w:hAnsi="Arial" w:cs="Arial"/>
          <w:color w:val="000000" w:themeColor="text1"/>
          <w:sz w:val="24"/>
          <w:szCs w:val="24"/>
        </w:rPr>
      </w:pPr>
    </w:p>
    <w:p w:rsidR="00C067F1" w:rsidRDefault="00C067F1" w:rsidP="00231A0B">
      <w:pPr>
        <w:pStyle w:val="ListParagraph"/>
        <w:numPr>
          <w:ilvl w:val="0"/>
          <w:numId w:val="13"/>
        </w:numPr>
        <w:jc w:val="both"/>
        <w:rPr>
          <w:rFonts w:ascii="Arial" w:hAnsi="Arial" w:cs="Arial"/>
          <w:color w:val="000000" w:themeColor="text1"/>
          <w:sz w:val="24"/>
          <w:szCs w:val="24"/>
        </w:rPr>
      </w:pPr>
      <w:r>
        <w:rPr>
          <w:rFonts w:ascii="Arial" w:hAnsi="Arial" w:cs="Arial"/>
          <w:color w:val="000000" w:themeColor="text1"/>
          <w:sz w:val="24"/>
          <w:szCs w:val="24"/>
        </w:rPr>
        <w:t>Budgetary requirements for 2019, as in previous years continue to be met from withdrawals of the Reserve Fund.</w:t>
      </w:r>
    </w:p>
    <w:p w:rsidR="00BF3EB5" w:rsidRPr="00BF3EB5" w:rsidRDefault="00BF3EB5" w:rsidP="00BF3EB5"/>
    <w:p w:rsidR="0003796E" w:rsidRPr="006C05FE" w:rsidRDefault="0003796E" w:rsidP="00231A0B">
      <w:pPr>
        <w:pStyle w:val="Heading3"/>
        <w:numPr>
          <w:ilvl w:val="1"/>
          <w:numId w:val="3"/>
        </w:numPr>
        <w:ind w:left="720"/>
        <w:rPr>
          <w:rFonts w:ascii="Arial" w:hAnsi="Arial" w:cs="Arial"/>
          <w:b/>
          <w:color w:val="000000" w:themeColor="text1"/>
        </w:rPr>
      </w:pPr>
      <w:bookmarkStart w:id="16" w:name="_Toc22370818"/>
      <w:r w:rsidRPr="006C05FE">
        <w:rPr>
          <w:rFonts w:ascii="Arial" w:hAnsi="Arial" w:cs="Arial"/>
          <w:b/>
          <w:color w:val="000000" w:themeColor="text1"/>
        </w:rPr>
        <w:t>Trend over the years</w:t>
      </w:r>
      <w:bookmarkEnd w:id="16"/>
    </w:p>
    <w:p w:rsidR="0003796E" w:rsidRPr="006C05FE" w:rsidRDefault="0003796E" w:rsidP="0003796E">
      <w:pPr>
        <w:pStyle w:val="ListParagraph"/>
        <w:ind w:left="0"/>
        <w:jc w:val="both"/>
        <w:rPr>
          <w:rFonts w:ascii="Arial" w:hAnsi="Arial" w:cs="Arial"/>
          <w:sz w:val="24"/>
          <w:szCs w:val="24"/>
        </w:rPr>
      </w:pPr>
    </w:p>
    <w:p w:rsidR="004275A3" w:rsidRPr="006C05FE" w:rsidRDefault="0003796E" w:rsidP="00696016">
      <w:pPr>
        <w:pStyle w:val="ListParagraph"/>
        <w:numPr>
          <w:ilvl w:val="0"/>
          <w:numId w:val="26"/>
        </w:numPr>
        <w:tabs>
          <w:tab w:val="left" w:pos="720"/>
        </w:tabs>
        <w:ind w:left="0" w:firstLine="0"/>
        <w:jc w:val="both"/>
        <w:rPr>
          <w:rFonts w:ascii="Arial" w:hAnsi="Arial" w:cs="Arial"/>
          <w:sz w:val="24"/>
          <w:szCs w:val="24"/>
        </w:rPr>
      </w:pPr>
      <w:r w:rsidRPr="006C05FE">
        <w:rPr>
          <w:rFonts w:ascii="Arial" w:hAnsi="Arial" w:cs="Arial"/>
          <w:sz w:val="24"/>
          <w:szCs w:val="24"/>
        </w:rPr>
        <w:t>An examination of remittances made by Member States since 2007, shows that</w:t>
      </w:r>
      <w:r w:rsidR="004275A3" w:rsidRPr="006C05FE">
        <w:rPr>
          <w:rFonts w:ascii="Arial" w:hAnsi="Arial" w:cs="Arial"/>
          <w:sz w:val="24"/>
          <w:szCs w:val="24"/>
        </w:rPr>
        <w:t xml:space="preserve"> a number of Member </w:t>
      </w:r>
      <w:r w:rsidR="006C05FE" w:rsidRPr="006C05FE">
        <w:rPr>
          <w:rFonts w:ascii="Arial" w:hAnsi="Arial" w:cs="Arial"/>
          <w:sz w:val="24"/>
          <w:szCs w:val="24"/>
        </w:rPr>
        <w:t>States do</w:t>
      </w:r>
      <w:r w:rsidR="004275A3" w:rsidRPr="006C05FE">
        <w:rPr>
          <w:rFonts w:ascii="Arial" w:hAnsi="Arial" w:cs="Arial"/>
          <w:sz w:val="24"/>
          <w:szCs w:val="24"/>
        </w:rPr>
        <w:t xml:space="preserve"> not comply with provision under Article 166 (6) of the Treaty, requiring assessed annual Member States contributions to be fully remitted within a financial year. </w:t>
      </w:r>
    </w:p>
    <w:p w:rsidR="0003796E" w:rsidRPr="006C05FE" w:rsidRDefault="004275A3" w:rsidP="00696016">
      <w:pPr>
        <w:pStyle w:val="ListParagraph"/>
        <w:numPr>
          <w:ilvl w:val="0"/>
          <w:numId w:val="26"/>
        </w:numPr>
        <w:tabs>
          <w:tab w:val="left" w:pos="720"/>
        </w:tabs>
        <w:ind w:left="0" w:firstLine="0"/>
        <w:jc w:val="both"/>
        <w:rPr>
          <w:rFonts w:ascii="Arial" w:hAnsi="Arial" w:cs="Arial"/>
          <w:sz w:val="24"/>
          <w:szCs w:val="24"/>
        </w:rPr>
      </w:pPr>
      <w:r w:rsidRPr="006C05FE">
        <w:rPr>
          <w:rFonts w:ascii="Arial" w:hAnsi="Arial" w:cs="Arial"/>
          <w:sz w:val="24"/>
          <w:szCs w:val="24"/>
        </w:rPr>
        <w:t>The flexibility permitted by the Treaty is that at least 50% be remitted at the end of the first month of a financial year, with the balance being remitted at the end of sixth month.</w:t>
      </w:r>
    </w:p>
    <w:p w:rsidR="0003796E" w:rsidRPr="006C05FE" w:rsidRDefault="0003796E" w:rsidP="0003796E">
      <w:pPr>
        <w:pStyle w:val="ListParagraph"/>
        <w:ind w:left="284"/>
        <w:jc w:val="both"/>
        <w:rPr>
          <w:rFonts w:ascii="Arial" w:hAnsi="Arial" w:cs="Arial"/>
          <w:sz w:val="24"/>
          <w:szCs w:val="24"/>
        </w:rPr>
      </w:pPr>
    </w:p>
    <w:p w:rsidR="0003796E" w:rsidRPr="006C05FE" w:rsidRDefault="004275A3" w:rsidP="00696016">
      <w:pPr>
        <w:pStyle w:val="ListParagraph"/>
        <w:numPr>
          <w:ilvl w:val="0"/>
          <w:numId w:val="26"/>
        </w:numPr>
        <w:tabs>
          <w:tab w:val="left" w:pos="720"/>
        </w:tabs>
        <w:ind w:left="0" w:firstLine="0"/>
        <w:jc w:val="both"/>
        <w:rPr>
          <w:rFonts w:ascii="Arial" w:hAnsi="Arial" w:cs="Arial"/>
          <w:sz w:val="24"/>
          <w:szCs w:val="24"/>
        </w:rPr>
      </w:pPr>
      <w:r w:rsidRPr="006C05FE">
        <w:rPr>
          <w:rFonts w:ascii="Arial" w:hAnsi="Arial" w:cs="Arial"/>
          <w:sz w:val="24"/>
          <w:szCs w:val="24"/>
        </w:rPr>
        <w:t xml:space="preserve">On average, only </w:t>
      </w:r>
      <w:r w:rsidR="0003796E" w:rsidRPr="006C05FE">
        <w:rPr>
          <w:rFonts w:ascii="Arial" w:hAnsi="Arial" w:cs="Arial"/>
          <w:sz w:val="24"/>
          <w:szCs w:val="24"/>
        </w:rPr>
        <w:t xml:space="preserve">44% of assessed contributions are </w:t>
      </w:r>
      <w:r w:rsidRPr="006C05FE">
        <w:rPr>
          <w:rFonts w:ascii="Arial" w:hAnsi="Arial" w:cs="Arial"/>
          <w:sz w:val="24"/>
          <w:szCs w:val="24"/>
        </w:rPr>
        <w:t xml:space="preserve">remitted within a budget year, </w:t>
      </w:r>
      <w:r w:rsidR="0003796E" w:rsidRPr="006C05FE">
        <w:rPr>
          <w:rFonts w:ascii="Arial" w:hAnsi="Arial" w:cs="Arial"/>
          <w:sz w:val="24"/>
          <w:szCs w:val="24"/>
        </w:rPr>
        <w:t xml:space="preserve">as shown in Table </w:t>
      </w:r>
      <w:r w:rsidR="00C067F1">
        <w:rPr>
          <w:rFonts w:ascii="Arial" w:hAnsi="Arial" w:cs="Arial"/>
          <w:sz w:val="24"/>
          <w:szCs w:val="24"/>
        </w:rPr>
        <w:t>3</w:t>
      </w:r>
      <w:r w:rsidR="0003796E" w:rsidRPr="006C05FE">
        <w:rPr>
          <w:rFonts w:ascii="Arial" w:hAnsi="Arial" w:cs="Arial"/>
          <w:sz w:val="24"/>
          <w:szCs w:val="24"/>
        </w:rPr>
        <w:t xml:space="preserve"> below:</w:t>
      </w:r>
    </w:p>
    <w:p w:rsidR="004275A3" w:rsidRDefault="004275A3" w:rsidP="004275A3">
      <w:pPr>
        <w:pStyle w:val="ListParagraph"/>
        <w:ind w:left="0"/>
        <w:jc w:val="both"/>
        <w:rPr>
          <w:rFonts w:ascii="Times New Roman" w:hAnsi="Times New Roman" w:cs="Times New Roman"/>
        </w:rPr>
      </w:pPr>
    </w:p>
    <w:p w:rsidR="004275A3" w:rsidRDefault="004275A3" w:rsidP="004275A3">
      <w:pPr>
        <w:pStyle w:val="ListParagraph"/>
        <w:ind w:left="0"/>
        <w:jc w:val="both"/>
        <w:rPr>
          <w:rFonts w:ascii="Times New Roman" w:hAnsi="Times New Roman" w:cs="Times New Roman"/>
          <w:b/>
        </w:rPr>
      </w:pPr>
      <w:r w:rsidRPr="004275A3">
        <w:rPr>
          <w:rFonts w:ascii="Times New Roman" w:hAnsi="Times New Roman" w:cs="Times New Roman"/>
          <w:b/>
        </w:rPr>
        <w:t xml:space="preserve">Table </w:t>
      </w:r>
      <w:r w:rsidR="00C067F1">
        <w:rPr>
          <w:rFonts w:ascii="Times New Roman" w:hAnsi="Times New Roman" w:cs="Times New Roman"/>
          <w:b/>
        </w:rPr>
        <w:t>3</w:t>
      </w:r>
      <w:r w:rsidRPr="004275A3">
        <w:rPr>
          <w:rFonts w:ascii="Times New Roman" w:hAnsi="Times New Roman" w:cs="Times New Roman"/>
          <w:b/>
        </w:rPr>
        <w:t xml:space="preserve">: Cash received against Assessed Contributions 2007 </w:t>
      </w:r>
      <w:r>
        <w:rPr>
          <w:rFonts w:ascii="Times New Roman" w:hAnsi="Times New Roman" w:cs="Times New Roman"/>
          <w:b/>
        </w:rPr>
        <w:t>–</w:t>
      </w:r>
      <w:r w:rsidRPr="004275A3">
        <w:rPr>
          <w:rFonts w:ascii="Times New Roman" w:hAnsi="Times New Roman" w:cs="Times New Roman"/>
          <w:b/>
        </w:rPr>
        <w:t xml:space="preserve"> 201</w:t>
      </w:r>
      <w:r w:rsidR="00C067F1">
        <w:rPr>
          <w:rFonts w:ascii="Times New Roman" w:hAnsi="Times New Roman" w:cs="Times New Roman"/>
          <w:b/>
        </w:rPr>
        <w:t>9</w:t>
      </w:r>
      <w:r>
        <w:rPr>
          <w:rFonts w:ascii="Times New Roman" w:hAnsi="Times New Roman" w:cs="Times New Roman"/>
          <w:b/>
        </w:rPr>
        <w:t xml:space="preserve"> (US$)</w:t>
      </w:r>
    </w:p>
    <w:p w:rsidR="00BF3EB5" w:rsidRDefault="00BF3EB5" w:rsidP="0003796E">
      <w:pPr>
        <w:jc w:val="both"/>
        <w:rPr>
          <w:rFonts w:ascii="Times New Roman" w:hAnsi="Times New Roman" w:cs="Times New Roman"/>
        </w:rPr>
      </w:pPr>
    </w:p>
    <w:p w:rsidR="00BF3EB5" w:rsidRDefault="00D3544B" w:rsidP="00BF3EB5">
      <w:pPr>
        <w:ind w:left="1440"/>
        <w:jc w:val="both"/>
        <w:rPr>
          <w:rFonts w:ascii="Times New Roman" w:hAnsi="Times New Roman" w:cs="Times New Roman"/>
        </w:rPr>
      </w:pPr>
      <w:r>
        <w:rPr>
          <w:rFonts w:ascii="Times New Roman" w:hAnsi="Times New Roman" w:cs="Times New Roman"/>
        </w:rPr>
        <w:object w:dxaOrig="5557" w:dyaOrig="5143">
          <v:shape id="_x0000_i1026" type="#_x0000_t75" style="width:278.25pt;height:257.25pt" o:ole="">
            <v:imagedata r:id="rId15" o:title=""/>
          </v:shape>
          <o:OLEObject Type="Embed" ProgID="Excel.Sheet.12" ShapeID="_x0000_i1026" DrawAspect="Content" ObjectID="_1633037018" r:id="rId16"/>
        </w:object>
      </w:r>
    </w:p>
    <w:p w:rsidR="00BF3EB5" w:rsidRPr="0003796E" w:rsidRDefault="00BF3EB5" w:rsidP="0003796E">
      <w:pPr>
        <w:jc w:val="both"/>
        <w:rPr>
          <w:rFonts w:ascii="Times New Roman" w:hAnsi="Times New Roman" w:cs="Times New Roman"/>
        </w:rPr>
      </w:pPr>
    </w:p>
    <w:p w:rsidR="004275A3" w:rsidRPr="005302F1" w:rsidRDefault="004275A3" w:rsidP="00696016">
      <w:pPr>
        <w:pStyle w:val="ListParagraph"/>
        <w:numPr>
          <w:ilvl w:val="0"/>
          <w:numId w:val="26"/>
        </w:numPr>
        <w:tabs>
          <w:tab w:val="left" w:pos="720"/>
        </w:tabs>
        <w:ind w:left="0" w:firstLine="0"/>
        <w:jc w:val="both"/>
        <w:rPr>
          <w:rFonts w:ascii="Arial" w:hAnsi="Arial" w:cs="Arial"/>
          <w:sz w:val="24"/>
          <w:szCs w:val="24"/>
        </w:rPr>
      </w:pPr>
      <w:r w:rsidRPr="005302F1">
        <w:rPr>
          <w:rFonts w:ascii="Arial" w:hAnsi="Arial" w:cs="Arial"/>
          <w:sz w:val="24"/>
          <w:szCs w:val="24"/>
        </w:rPr>
        <w:t>The above trend is resulting in build-up of significant arrears of assessed annual Member States contributions. Annual budgets are consistently being financed from the Reserve Fund – a non-sustainable financing strategy, as the Reserve Fund will be depleted soon.</w:t>
      </w:r>
    </w:p>
    <w:p w:rsidR="00052EDD" w:rsidRDefault="00052EDD" w:rsidP="004275A3">
      <w:pPr>
        <w:pStyle w:val="Heading3"/>
        <w:ind w:left="720"/>
        <w:rPr>
          <w:rFonts w:ascii="Arial" w:hAnsi="Arial" w:cs="Arial"/>
          <w:b/>
        </w:rPr>
        <w:sectPr w:rsidR="00052EDD" w:rsidSect="00FD3631">
          <w:headerReference w:type="default" r:id="rId17"/>
          <w:type w:val="continuous"/>
          <w:pgSz w:w="12240" w:h="15840"/>
          <w:pgMar w:top="1440" w:right="1440" w:bottom="1440" w:left="1440" w:header="720" w:footer="720" w:gutter="0"/>
          <w:cols w:space="720"/>
          <w:docGrid w:linePitch="360"/>
        </w:sectPr>
      </w:pPr>
    </w:p>
    <w:p w:rsidR="00052EDD" w:rsidRDefault="00052EDD" w:rsidP="005846BD">
      <w:pPr>
        <w:pStyle w:val="Heading1"/>
        <w:numPr>
          <w:ilvl w:val="0"/>
          <w:numId w:val="3"/>
        </w:numPr>
        <w:spacing w:before="0"/>
        <w:ind w:hanging="720"/>
      </w:pPr>
      <w:bookmarkStart w:id="17" w:name="_Toc22370819"/>
      <w:r w:rsidRPr="00052EDD">
        <w:rPr>
          <w:rFonts w:ascii="Arial" w:hAnsi="Arial" w:cs="Arial"/>
          <w:b/>
          <w:color w:val="000000" w:themeColor="text1"/>
          <w:sz w:val="24"/>
          <w:szCs w:val="24"/>
        </w:rPr>
        <w:lastRenderedPageBreak/>
        <w:t>COMPARABLE REC</w:t>
      </w:r>
      <w:r>
        <w:rPr>
          <w:rFonts w:ascii="Arial" w:hAnsi="Arial" w:cs="Arial"/>
          <w:b/>
          <w:color w:val="000000" w:themeColor="text1"/>
          <w:sz w:val="24"/>
          <w:szCs w:val="24"/>
        </w:rPr>
        <w:t>s</w:t>
      </w:r>
      <w:bookmarkEnd w:id="17"/>
      <w:r w:rsidRPr="00052EDD">
        <w:rPr>
          <w:rFonts w:ascii="Arial" w:hAnsi="Arial" w:cs="Arial"/>
          <w:b/>
          <w:color w:val="000000" w:themeColor="text1"/>
          <w:sz w:val="24"/>
          <w:szCs w:val="24"/>
        </w:rPr>
        <w:t xml:space="preserve"> </w:t>
      </w:r>
    </w:p>
    <w:p w:rsidR="00052EDD" w:rsidRPr="00BF3EB5" w:rsidRDefault="00052EDD" w:rsidP="00052EDD"/>
    <w:p w:rsidR="00052EDD" w:rsidRDefault="00052EDD" w:rsidP="00696016">
      <w:pPr>
        <w:pStyle w:val="ListParagraph"/>
        <w:numPr>
          <w:ilvl w:val="0"/>
          <w:numId w:val="26"/>
        </w:numPr>
        <w:tabs>
          <w:tab w:val="left" w:pos="720"/>
        </w:tabs>
        <w:ind w:left="0" w:firstLine="0"/>
        <w:jc w:val="both"/>
        <w:rPr>
          <w:rFonts w:ascii="Arial" w:hAnsi="Arial" w:cs="Arial"/>
          <w:sz w:val="24"/>
          <w:szCs w:val="24"/>
        </w:rPr>
      </w:pPr>
      <w:r w:rsidRPr="00052EDD">
        <w:rPr>
          <w:rFonts w:ascii="Arial" w:hAnsi="Arial" w:cs="Arial"/>
          <w:sz w:val="24"/>
          <w:szCs w:val="24"/>
        </w:rPr>
        <w:t>The 30</w:t>
      </w:r>
      <w:r w:rsidRPr="00052EDD">
        <w:rPr>
          <w:rFonts w:ascii="Arial" w:hAnsi="Arial" w:cs="Arial"/>
          <w:sz w:val="24"/>
          <w:szCs w:val="24"/>
          <w:vertAlign w:val="superscript"/>
        </w:rPr>
        <w:t>th</w:t>
      </w:r>
      <w:r w:rsidRPr="00052EDD">
        <w:rPr>
          <w:rFonts w:ascii="Arial" w:hAnsi="Arial" w:cs="Arial"/>
          <w:sz w:val="24"/>
          <w:szCs w:val="24"/>
        </w:rPr>
        <w:t xml:space="preserve"> Meeting of the Bureau of Ministers held in June 2019, directed the Secretariat to obtain information regarding remittances of assessed contributions to comparable organisations and application of penalties and sanctions, including EAC; IGAD; SADC; and AU</w:t>
      </w:r>
      <w:r>
        <w:rPr>
          <w:rFonts w:ascii="Arial" w:hAnsi="Arial" w:cs="Arial"/>
          <w:sz w:val="24"/>
          <w:szCs w:val="24"/>
        </w:rPr>
        <w:t>.</w:t>
      </w:r>
    </w:p>
    <w:p w:rsidR="00052EDD" w:rsidRDefault="00052EDD" w:rsidP="00052EDD">
      <w:pPr>
        <w:pStyle w:val="ListParagraph"/>
        <w:ind w:left="0"/>
        <w:jc w:val="both"/>
        <w:rPr>
          <w:rFonts w:ascii="Arial" w:hAnsi="Arial" w:cs="Arial"/>
          <w:sz w:val="24"/>
          <w:szCs w:val="24"/>
        </w:rPr>
      </w:pPr>
    </w:p>
    <w:p w:rsidR="005846BD" w:rsidRDefault="00052EDD" w:rsidP="00696016">
      <w:pPr>
        <w:pStyle w:val="ListParagraph"/>
        <w:numPr>
          <w:ilvl w:val="0"/>
          <w:numId w:val="26"/>
        </w:numPr>
        <w:tabs>
          <w:tab w:val="left" w:pos="720"/>
        </w:tabs>
        <w:ind w:left="0" w:firstLine="0"/>
        <w:jc w:val="both"/>
        <w:rPr>
          <w:rFonts w:ascii="Arial" w:hAnsi="Arial" w:cs="Arial"/>
          <w:sz w:val="24"/>
          <w:szCs w:val="24"/>
        </w:rPr>
      </w:pPr>
      <w:r>
        <w:rPr>
          <w:rFonts w:ascii="Arial" w:hAnsi="Arial" w:cs="Arial"/>
          <w:sz w:val="24"/>
          <w:szCs w:val="24"/>
        </w:rPr>
        <w:t>Information gathered</w:t>
      </w:r>
      <w:r w:rsidR="00E86700">
        <w:rPr>
          <w:rFonts w:ascii="Arial" w:hAnsi="Arial" w:cs="Arial"/>
          <w:sz w:val="24"/>
          <w:szCs w:val="24"/>
        </w:rPr>
        <w:t xml:space="preserve"> as of August 2019</w:t>
      </w:r>
      <w:r w:rsidR="005846BD">
        <w:rPr>
          <w:rFonts w:ascii="Arial" w:hAnsi="Arial" w:cs="Arial"/>
          <w:sz w:val="24"/>
          <w:szCs w:val="24"/>
        </w:rPr>
        <w:t xml:space="preserve">: - </w:t>
      </w:r>
    </w:p>
    <w:p w:rsidR="005846BD" w:rsidRPr="005846BD" w:rsidRDefault="005846BD" w:rsidP="005846BD">
      <w:pPr>
        <w:pStyle w:val="ListParagraph"/>
        <w:rPr>
          <w:rFonts w:ascii="Arial" w:hAnsi="Arial" w:cs="Arial"/>
          <w:sz w:val="24"/>
          <w:szCs w:val="24"/>
        </w:rPr>
      </w:pPr>
    </w:p>
    <w:p w:rsidR="00052EDD" w:rsidRDefault="005846BD" w:rsidP="005846BD">
      <w:pPr>
        <w:pStyle w:val="ListParagraph"/>
        <w:numPr>
          <w:ilvl w:val="0"/>
          <w:numId w:val="25"/>
        </w:numPr>
        <w:jc w:val="both"/>
        <w:rPr>
          <w:rFonts w:ascii="Arial" w:hAnsi="Arial" w:cs="Arial"/>
          <w:sz w:val="24"/>
          <w:szCs w:val="24"/>
        </w:rPr>
      </w:pPr>
      <w:r>
        <w:rPr>
          <w:rFonts w:ascii="Arial" w:hAnsi="Arial" w:cs="Arial"/>
          <w:sz w:val="24"/>
          <w:szCs w:val="24"/>
        </w:rPr>
        <w:t>Indicates that Member States should be engaged regarding their remittances to COMESA;</w:t>
      </w:r>
    </w:p>
    <w:p w:rsidR="005846BD" w:rsidRDefault="005846BD" w:rsidP="005846BD">
      <w:pPr>
        <w:pStyle w:val="ListParagraph"/>
        <w:ind w:left="1440"/>
        <w:jc w:val="both"/>
        <w:rPr>
          <w:rFonts w:ascii="Arial" w:hAnsi="Arial" w:cs="Arial"/>
          <w:sz w:val="24"/>
          <w:szCs w:val="24"/>
        </w:rPr>
      </w:pPr>
    </w:p>
    <w:p w:rsidR="005846BD" w:rsidRDefault="005846BD" w:rsidP="005846BD">
      <w:pPr>
        <w:pStyle w:val="ListParagraph"/>
        <w:numPr>
          <w:ilvl w:val="0"/>
          <w:numId w:val="25"/>
        </w:numPr>
        <w:jc w:val="both"/>
        <w:rPr>
          <w:rFonts w:ascii="Arial" w:hAnsi="Arial" w:cs="Arial"/>
          <w:sz w:val="24"/>
          <w:szCs w:val="24"/>
        </w:rPr>
      </w:pPr>
      <w:r>
        <w:rPr>
          <w:rFonts w:ascii="Arial" w:hAnsi="Arial" w:cs="Arial"/>
          <w:sz w:val="24"/>
          <w:szCs w:val="24"/>
        </w:rPr>
        <w:t xml:space="preserve">Shows that whilst COMESA, EAC and SADC, are all considered as AU building blocks, scope of their </w:t>
      </w:r>
      <w:proofErr w:type="spellStart"/>
      <w:r>
        <w:rPr>
          <w:rFonts w:ascii="Arial" w:hAnsi="Arial" w:cs="Arial"/>
          <w:sz w:val="24"/>
          <w:szCs w:val="24"/>
        </w:rPr>
        <w:t>programmes</w:t>
      </w:r>
      <w:proofErr w:type="spellEnd"/>
      <w:r>
        <w:rPr>
          <w:rFonts w:ascii="Arial" w:hAnsi="Arial" w:cs="Arial"/>
          <w:sz w:val="24"/>
          <w:szCs w:val="24"/>
        </w:rPr>
        <w:t xml:space="preserve"> is considerably different;</w:t>
      </w:r>
    </w:p>
    <w:p w:rsidR="005846BD" w:rsidRDefault="005846BD" w:rsidP="005846BD">
      <w:pPr>
        <w:pStyle w:val="ListParagraph"/>
        <w:ind w:left="1440"/>
        <w:jc w:val="both"/>
        <w:rPr>
          <w:rFonts w:ascii="Arial" w:hAnsi="Arial" w:cs="Arial"/>
          <w:sz w:val="24"/>
          <w:szCs w:val="24"/>
        </w:rPr>
      </w:pPr>
    </w:p>
    <w:p w:rsidR="005846BD" w:rsidRDefault="005846BD" w:rsidP="005846BD">
      <w:pPr>
        <w:pStyle w:val="ListParagraph"/>
        <w:numPr>
          <w:ilvl w:val="0"/>
          <w:numId w:val="25"/>
        </w:numPr>
        <w:jc w:val="both"/>
        <w:rPr>
          <w:rFonts w:ascii="Arial" w:hAnsi="Arial" w:cs="Arial"/>
          <w:sz w:val="24"/>
          <w:szCs w:val="24"/>
        </w:rPr>
      </w:pPr>
      <w:r>
        <w:rPr>
          <w:rFonts w:ascii="Arial" w:hAnsi="Arial" w:cs="Arial"/>
          <w:sz w:val="24"/>
          <w:szCs w:val="24"/>
        </w:rPr>
        <w:t>COMESA’s performance regarding receipt of remittances of assessed contributions is behind the other RECs, as demonstrated below:</w:t>
      </w:r>
    </w:p>
    <w:p w:rsidR="005846BD" w:rsidRDefault="005846BD" w:rsidP="005846BD">
      <w:pPr>
        <w:pStyle w:val="ListParagraph"/>
        <w:ind w:left="1440"/>
        <w:jc w:val="both"/>
        <w:rPr>
          <w:rFonts w:ascii="Arial" w:hAnsi="Arial" w:cs="Arial"/>
          <w:sz w:val="24"/>
          <w:szCs w:val="24"/>
        </w:rPr>
      </w:pPr>
    </w:p>
    <w:p w:rsidR="005846BD" w:rsidRDefault="005846BD" w:rsidP="005846BD">
      <w:pPr>
        <w:pStyle w:val="ListParagraph"/>
        <w:ind w:left="2160"/>
        <w:jc w:val="both"/>
        <w:rPr>
          <w:rFonts w:ascii="Arial" w:hAnsi="Arial" w:cs="Arial"/>
          <w:sz w:val="24"/>
          <w:szCs w:val="24"/>
        </w:rPr>
      </w:pPr>
      <w:r>
        <w:rPr>
          <w:rFonts w:ascii="Arial" w:hAnsi="Arial" w:cs="Arial"/>
          <w:sz w:val="24"/>
          <w:szCs w:val="24"/>
        </w:rPr>
        <w:object w:dxaOrig="6774" w:dyaOrig="1777">
          <v:shape id="_x0000_i1027" type="#_x0000_t75" style="width:339pt;height:88.5pt" o:ole="">
            <v:imagedata r:id="rId18" o:title=""/>
          </v:shape>
          <o:OLEObject Type="Embed" ProgID="Excel.Sheet.12" ShapeID="_x0000_i1027" DrawAspect="Content" ObjectID="_1633037019" r:id="rId19"/>
        </w:object>
      </w:r>
    </w:p>
    <w:p w:rsidR="005846BD" w:rsidRDefault="005846BD" w:rsidP="005846BD">
      <w:pPr>
        <w:pStyle w:val="ListParagraph"/>
        <w:ind w:left="1440"/>
        <w:jc w:val="both"/>
        <w:rPr>
          <w:rFonts w:ascii="Arial" w:hAnsi="Arial" w:cs="Arial"/>
          <w:sz w:val="24"/>
          <w:szCs w:val="24"/>
        </w:rPr>
      </w:pPr>
    </w:p>
    <w:p w:rsidR="00DF1A44" w:rsidRDefault="00DF1A44" w:rsidP="00DF1A44">
      <w:pPr>
        <w:pStyle w:val="ListParagraph"/>
        <w:numPr>
          <w:ilvl w:val="0"/>
          <w:numId w:val="26"/>
        </w:numPr>
        <w:tabs>
          <w:tab w:val="left" w:pos="720"/>
        </w:tabs>
        <w:ind w:left="0" w:firstLine="0"/>
        <w:jc w:val="both"/>
        <w:rPr>
          <w:rFonts w:ascii="Arial" w:hAnsi="Arial" w:cs="Arial"/>
          <w:sz w:val="24"/>
          <w:szCs w:val="24"/>
        </w:rPr>
      </w:pPr>
      <w:r>
        <w:rPr>
          <w:rFonts w:ascii="Arial" w:hAnsi="Arial" w:cs="Arial"/>
          <w:sz w:val="24"/>
          <w:szCs w:val="24"/>
        </w:rPr>
        <w:t>Like COMESA, the above comparable RECs have a regime of sanctions and pen</w:t>
      </w:r>
      <w:r w:rsidR="00A77E03">
        <w:rPr>
          <w:rFonts w:ascii="Arial" w:hAnsi="Arial" w:cs="Arial"/>
          <w:sz w:val="24"/>
          <w:szCs w:val="24"/>
        </w:rPr>
        <w:t xml:space="preserve">alties. </w:t>
      </w:r>
    </w:p>
    <w:p w:rsidR="005846BD" w:rsidRDefault="005846BD" w:rsidP="005846BD">
      <w:pPr>
        <w:pStyle w:val="ListParagraph"/>
        <w:ind w:left="1440"/>
        <w:jc w:val="both"/>
        <w:rPr>
          <w:rFonts w:ascii="Arial" w:hAnsi="Arial" w:cs="Arial"/>
          <w:sz w:val="24"/>
          <w:szCs w:val="24"/>
        </w:rPr>
      </w:pPr>
    </w:p>
    <w:p w:rsidR="00052EDD" w:rsidRPr="00052EDD" w:rsidRDefault="00E86700" w:rsidP="00052EDD">
      <w:pPr>
        <w:pStyle w:val="ListParagraph"/>
        <w:ind w:left="0"/>
        <w:jc w:val="both"/>
        <w:rPr>
          <w:rFonts w:ascii="Arial" w:hAnsi="Arial" w:cs="Arial"/>
          <w:sz w:val="24"/>
          <w:szCs w:val="24"/>
        </w:rPr>
      </w:pPr>
      <w:r>
        <w:rPr>
          <w:rFonts w:ascii="Arial" w:hAnsi="Arial" w:cs="Arial"/>
          <w:sz w:val="24"/>
          <w:szCs w:val="24"/>
        </w:rPr>
        <w:object w:dxaOrig="12636" w:dyaOrig="10930">
          <v:shape id="_x0000_i1028" type="#_x0000_t75" style="width:622.5pt;height:538.5pt" o:ole="">
            <v:imagedata r:id="rId20" o:title=""/>
          </v:shape>
          <o:OLEObject Type="Embed" ProgID="Excel.Sheet.12" ShapeID="_x0000_i1028" DrawAspect="Content" ObjectID="_1633037020" r:id="rId21"/>
        </w:object>
      </w:r>
    </w:p>
    <w:p w:rsidR="00052EDD" w:rsidRPr="00052EDD" w:rsidRDefault="00052EDD" w:rsidP="00052EDD">
      <w:bookmarkStart w:id="18" w:name="_GoBack"/>
      <w:bookmarkEnd w:id="18"/>
    </w:p>
    <w:p w:rsidR="005302F1" w:rsidRPr="005302F1" w:rsidRDefault="005302F1" w:rsidP="005302F1">
      <w:pPr>
        <w:pStyle w:val="Body"/>
        <w:tabs>
          <w:tab w:val="left" w:pos="1440"/>
        </w:tabs>
        <w:spacing w:after="0" w:line="240" w:lineRule="auto"/>
        <w:ind w:left="1440" w:hanging="1440"/>
        <w:jc w:val="both"/>
        <w:rPr>
          <w:rFonts w:ascii="Arial" w:hAnsi="Arial" w:cs="Arial"/>
          <w:b/>
          <w:lang w:val="en-GB"/>
        </w:rPr>
      </w:pPr>
    </w:p>
    <w:p w:rsidR="00052EDD" w:rsidRDefault="00052EDD" w:rsidP="00E86700">
      <w:pPr>
        <w:ind w:left="-720"/>
        <w:sectPr w:rsidR="00052EDD" w:rsidSect="00C31CBF">
          <w:headerReference w:type="default" r:id="rId22"/>
          <w:pgSz w:w="15840" w:h="12240" w:orient="landscape"/>
          <w:pgMar w:top="176" w:right="1440" w:bottom="4" w:left="1440" w:header="180" w:footer="720" w:gutter="0"/>
          <w:cols w:space="720"/>
          <w:docGrid w:linePitch="360"/>
        </w:sectPr>
      </w:pPr>
    </w:p>
    <w:p w:rsidR="000F310D" w:rsidRDefault="00C82DE6" w:rsidP="00231A0B">
      <w:pPr>
        <w:pStyle w:val="Heading1"/>
        <w:numPr>
          <w:ilvl w:val="0"/>
          <w:numId w:val="3"/>
        </w:numPr>
        <w:spacing w:before="0"/>
        <w:ind w:hanging="720"/>
        <w:rPr>
          <w:rFonts w:ascii="Arial" w:hAnsi="Arial" w:cs="Arial"/>
          <w:b/>
          <w:color w:val="000000" w:themeColor="text1"/>
          <w:sz w:val="24"/>
          <w:szCs w:val="24"/>
        </w:rPr>
      </w:pPr>
      <w:bookmarkStart w:id="19" w:name="_Toc22370820"/>
      <w:r>
        <w:rPr>
          <w:rFonts w:ascii="Arial" w:hAnsi="Arial" w:cs="Arial"/>
          <w:b/>
          <w:color w:val="000000" w:themeColor="text1"/>
          <w:sz w:val="24"/>
          <w:szCs w:val="24"/>
        </w:rPr>
        <w:lastRenderedPageBreak/>
        <w:t>SUBMISSION TO MINISTERS RESPONSIBLE FOR FINANCE</w:t>
      </w:r>
      <w:bookmarkEnd w:id="19"/>
    </w:p>
    <w:p w:rsidR="000F310D" w:rsidRDefault="000F310D" w:rsidP="000F310D"/>
    <w:p w:rsidR="00C82DE6" w:rsidRPr="00BF3EB5" w:rsidRDefault="00C82DE6" w:rsidP="00C82DE6"/>
    <w:p w:rsidR="00FD3631" w:rsidRDefault="00FD3631" w:rsidP="005846BD">
      <w:pPr>
        <w:pStyle w:val="ListParagraph"/>
        <w:numPr>
          <w:ilvl w:val="0"/>
          <w:numId w:val="26"/>
        </w:numPr>
        <w:tabs>
          <w:tab w:val="left" w:pos="720"/>
        </w:tabs>
        <w:ind w:left="0" w:firstLine="0"/>
        <w:jc w:val="both"/>
        <w:rPr>
          <w:rFonts w:ascii="Arial" w:hAnsi="Arial" w:cs="Arial"/>
          <w:sz w:val="24"/>
          <w:szCs w:val="24"/>
        </w:rPr>
      </w:pPr>
      <w:r w:rsidRPr="00FD3631">
        <w:rPr>
          <w:rFonts w:ascii="Arial" w:hAnsi="Arial" w:cs="Arial"/>
          <w:sz w:val="24"/>
          <w:szCs w:val="24"/>
        </w:rPr>
        <w:t xml:space="preserve">The Sub Committee </w:t>
      </w:r>
      <w:r w:rsidR="000F310D">
        <w:rPr>
          <w:rFonts w:ascii="Arial" w:hAnsi="Arial" w:cs="Arial"/>
          <w:sz w:val="24"/>
          <w:szCs w:val="24"/>
        </w:rPr>
        <w:t xml:space="preserve">is invited to note that the Secretariat has prepared a paper on operationalization of COMESA Market Levy, as stipulated under Article 168 (3) of the COMESA Treaty for discussion by Ministers responsible for Finance in October 2019. The paper is intended to address linkage of budgeting, collecting and remittance of the assessed Member annual Member States contributions to COMESA Organs and other COMESA Institutions. The paper has discussed in detail the current situation regarding remittance of assessed annual Member States contributions. </w:t>
      </w:r>
    </w:p>
    <w:p w:rsidR="00C82DE6" w:rsidRDefault="00C82DE6" w:rsidP="00C82DE6">
      <w:pPr>
        <w:pStyle w:val="ListParagraph"/>
        <w:ind w:left="0"/>
        <w:jc w:val="both"/>
        <w:rPr>
          <w:rFonts w:ascii="Arial" w:hAnsi="Arial" w:cs="Arial"/>
          <w:sz w:val="24"/>
          <w:szCs w:val="24"/>
        </w:rPr>
      </w:pPr>
    </w:p>
    <w:p w:rsidR="00C82DE6" w:rsidRPr="00FD3631" w:rsidRDefault="00C82DE6" w:rsidP="005846BD">
      <w:pPr>
        <w:pStyle w:val="ListParagraph"/>
        <w:numPr>
          <w:ilvl w:val="0"/>
          <w:numId w:val="26"/>
        </w:numPr>
        <w:tabs>
          <w:tab w:val="left" w:pos="720"/>
        </w:tabs>
        <w:ind w:left="0" w:firstLine="0"/>
        <w:jc w:val="both"/>
        <w:rPr>
          <w:rFonts w:ascii="Arial" w:hAnsi="Arial" w:cs="Arial"/>
          <w:sz w:val="24"/>
          <w:szCs w:val="24"/>
        </w:rPr>
      </w:pPr>
      <w:r>
        <w:rPr>
          <w:rFonts w:ascii="Arial" w:hAnsi="Arial" w:cs="Arial"/>
          <w:sz w:val="24"/>
          <w:szCs w:val="24"/>
        </w:rPr>
        <w:t>A deeper discussion by the Ministers responsible for Finance dedicated to remittance annual Member States contributions will be convened in 2020.</w:t>
      </w:r>
    </w:p>
    <w:p w:rsidR="00FD3631" w:rsidRPr="00FD3631" w:rsidRDefault="00FD3631" w:rsidP="00FD3631"/>
    <w:p w:rsidR="00AE1F9B" w:rsidRPr="005302F1" w:rsidRDefault="006F6939" w:rsidP="00231A0B">
      <w:pPr>
        <w:pStyle w:val="Heading1"/>
        <w:numPr>
          <w:ilvl w:val="0"/>
          <w:numId w:val="3"/>
        </w:numPr>
        <w:spacing w:before="0"/>
        <w:ind w:hanging="720"/>
        <w:rPr>
          <w:rFonts w:ascii="Arial" w:hAnsi="Arial" w:cs="Arial"/>
          <w:b/>
          <w:color w:val="000000" w:themeColor="text1"/>
          <w:sz w:val="24"/>
          <w:szCs w:val="24"/>
        </w:rPr>
      </w:pPr>
      <w:bookmarkStart w:id="20" w:name="_Toc22370821"/>
      <w:r w:rsidRPr="005302F1">
        <w:rPr>
          <w:rFonts w:ascii="Arial" w:hAnsi="Arial" w:cs="Arial"/>
          <w:b/>
          <w:color w:val="000000" w:themeColor="text1"/>
          <w:sz w:val="24"/>
          <w:szCs w:val="24"/>
        </w:rPr>
        <w:t>RECOMMENDATIONS</w:t>
      </w:r>
      <w:bookmarkEnd w:id="20"/>
    </w:p>
    <w:p w:rsidR="00C82DE6" w:rsidRPr="00BF3EB5" w:rsidRDefault="00C82DE6" w:rsidP="00C82DE6"/>
    <w:p w:rsidR="00C82DE6" w:rsidRPr="006C05FE" w:rsidRDefault="00C82DE6" w:rsidP="00231A0B">
      <w:pPr>
        <w:pStyle w:val="Heading3"/>
        <w:numPr>
          <w:ilvl w:val="1"/>
          <w:numId w:val="3"/>
        </w:numPr>
        <w:ind w:left="720"/>
        <w:rPr>
          <w:rFonts w:ascii="Arial" w:hAnsi="Arial" w:cs="Arial"/>
          <w:b/>
          <w:color w:val="000000" w:themeColor="text1"/>
        </w:rPr>
      </w:pPr>
      <w:bookmarkStart w:id="21" w:name="_Toc22370822"/>
      <w:r>
        <w:rPr>
          <w:rFonts w:ascii="Arial" w:hAnsi="Arial" w:cs="Arial"/>
          <w:b/>
          <w:color w:val="000000" w:themeColor="text1"/>
        </w:rPr>
        <w:t>2019 Receipts</w:t>
      </w:r>
      <w:bookmarkEnd w:id="21"/>
    </w:p>
    <w:p w:rsidR="00C82DE6" w:rsidRPr="00E86700" w:rsidRDefault="00C82DE6" w:rsidP="00C82DE6">
      <w:pPr>
        <w:pStyle w:val="ListParagraph"/>
        <w:ind w:left="0"/>
        <w:jc w:val="both"/>
        <w:rPr>
          <w:rFonts w:ascii="Arial" w:hAnsi="Arial" w:cs="Arial"/>
          <w:sz w:val="24"/>
          <w:szCs w:val="24"/>
        </w:rPr>
      </w:pPr>
    </w:p>
    <w:p w:rsidR="002628AA" w:rsidRPr="00E86700" w:rsidRDefault="00D3544B" w:rsidP="005846BD">
      <w:pPr>
        <w:pStyle w:val="ListParagraph"/>
        <w:numPr>
          <w:ilvl w:val="0"/>
          <w:numId w:val="26"/>
        </w:numPr>
        <w:tabs>
          <w:tab w:val="left" w:pos="720"/>
        </w:tabs>
        <w:ind w:left="0" w:firstLine="0"/>
        <w:jc w:val="both"/>
        <w:rPr>
          <w:rFonts w:ascii="Arial" w:hAnsi="Arial" w:cs="Arial"/>
          <w:i/>
          <w:sz w:val="24"/>
          <w:szCs w:val="24"/>
        </w:rPr>
      </w:pPr>
      <w:r w:rsidRPr="00E86700">
        <w:rPr>
          <w:rFonts w:ascii="Arial" w:hAnsi="Arial" w:cs="Arial"/>
          <w:i/>
          <w:sz w:val="24"/>
          <w:szCs w:val="24"/>
        </w:rPr>
        <w:t>The Sub Committee on Audit and Budgetary matters commends Member States for the remittance</w:t>
      </w:r>
      <w:r w:rsidR="002628AA" w:rsidRPr="00E86700">
        <w:rPr>
          <w:rFonts w:ascii="Arial" w:hAnsi="Arial" w:cs="Arial"/>
          <w:i/>
          <w:sz w:val="24"/>
          <w:szCs w:val="24"/>
        </w:rPr>
        <w:t xml:space="preserve"> US$9,326,831 made in 2019, as of 30 September 2019, as follows: -</w:t>
      </w:r>
    </w:p>
    <w:p w:rsidR="002628AA" w:rsidRPr="00E86700" w:rsidRDefault="002628AA" w:rsidP="002628AA">
      <w:pPr>
        <w:pStyle w:val="ListParagraph"/>
        <w:ind w:left="0"/>
        <w:jc w:val="both"/>
        <w:rPr>
          <w:rFonts w:ascii="Arial" w:hAnsi="Arial" w:cs="Arial"/>
          <w:i/>
          <w:sz w:val="24"/>
          <w:szCs w:val="24"/>
        </w:rPr>
      </w:pPr>
    </w:p>
    <w:p w:rsidR="00BD76C2" w:rsidRPr="00E86700" w:rsidRDefault="002628AA" w:rsidP="00231A0B">
      <w:pPr>
        <w:pStyle w:val="ListParagraph"/>
        <w:numPr>
          <w:ilvl w:val="0"/>
          <w:numId w:val="17"/>
        </w:numPr>
        <w:ind w:left="1440"/>
        <w:jc w:val="both"/>
        <w:rPr>
          <w:rFonts w:ascii="Arial" w:hAnsi="Arial" w:cs="Arial"/>
          <w:i/>
          <w:sz w:val="24"/>
          <w:szCs w:val="24"/>
        </w:rPr>
      </w:pPr>
      <w:r w:rsidRPr="00E86700">
        <w:rPr>
          <w:rFonts w:ascii="Arial" w:hAnsi="Arial" w:cs="Arial"/>
          <w:i/>
          <w:sz w:val="24"/>
          <w:szCs w:val="24"/>
        </w:rPr>
        <w:t>DRC: US$1,958,949, toward</w:t>
      </w:r>
      <w:r w:rsidR="00BD76C2" w:rsidRPr="00E86700">
        <w:rPr>
          <w:rFonts w:ascii="Arial" w:hAnsi="Arial" w:cs="Arial"/>
          <w:i/>
          <w:sz w:val="24"/>
          <w:szCs w:val="24"/>
        </w:rPr>
        <w:t>s</w:t>
      </w:r>
    </w:p>
    <w:p w:rsidR="00BD76C2" w:rsidRPr="00E86700" w:rsidRDefault="002628AA" w:rsidP="00231A0B">
      <w:pPr>
        <w:pStyle w:val="ListParagraph"/>
        <w:numPr>
          <w:ilvl w:val="0"/>
          <w:numId w:val="18"/>
        </w:numPr>
        <w:tabs>
          <w:tab w:val="left" w:pos="2160"/>
        </w:tabs>
        <w:ind w:left="2160" w:hanging="810"/>
        <w:jc w:val="both"/>
        <w:rPr>
          <w:rFonts w:ascii="Arial" w:hAnsi="Arial" w:cs="Arial"/>
          <w:i/>
          <w:sz w:val="24"/>
          <w:szCs w:val="24"/>
        </w:rPr>
      </w:pPr>
      <w:r w:rsidRPr="00E86700">
        <w:rPr>
          <w:rFonts w:ascii="Arial" w:hAnsi="Arial" w:cs="Arial"/>
          <w:i/>
          <w:sz w:val="24"/>
          <w:szCs w:val="24"/>
        </w:rPr>
        <w:t>2017 arrears: US$1,228,159; and</w:t>
      </w:r>
    </w:p>
    <w:p w:rsidR="00BD76C2" w:rsidRPr="00E86700" w:rsidRDefault="002628AA" w:rsidP="00231A0B">
      <w:pPr>
        <w:pStyle w:val="ListParagraph"/>
        <w:numPr>
          <w:ilvl w:val="0"/>
          <w:numId w:val="18"/>
        </w:numPr>
        <w:tabs>
          <w:tab w:val="left" w:pos="2160"/>
        </w:tabs>
        <w:ind w:left="2160" w:hanging="810"/>
        <w:jc w:val="both"/>
        <w:rPr>
          <w:rFonts w:ascii="Arial" w:hAnsi="Arial" w:cs="Arial"/>
          <w:i/>
          <w:sz w:val="24"/>
          <w:szCs w:val="24"/>
        </w:rPr>
      </w:pPr>
      <w:r w:rsidRPr="00E86700">
        <w:rPr>
          <w:rFonts w:ascii="Arial" w:hAnsi="Arial" w:cs="Arial"/>
          <w:i/>
          <w:sz w:val="24"/>
          <w:szCs w:val="24"/>
        </w:rPr>
        <w:t>2018 arrears: US$19,396.</w:t>
      </w:r>
    </w:p>
    <w:p w:rsidR="00BD76C2" w:rsidRPr="00E86700" w:rsidRDefault="00BD76C2" w:rsidP="00BD76C2">
      <w:pPr>
        <w:pStyle w:val="ListParagraph"/>
        <w:ind w:left="2160"/>
        <w:jc w:val="both"/>
        <w:rPr>
          <w:rFonts w:ascii="Arial" w:hAnsi="Arial" w:cs="Arial"/>
          <w:i/>
          <w:sz w:val="24"/>
          <w:szCs w:val="24"/>
        </w:rPr>
      </w:pPr>
    </w:p>
    <w:p w:rsidR="00BD76C2" w:rsidRPr="00E86700" w:rsidRDefault="002628AA" w:rsidP="00231A0B">
      <w:pPr>
        <w:pStyle w:val="ListParagraph"/>
        <w:numPr>
          <w:ilvl w:val="0"/>
          <w:numId w:val="17"/>
        </w:numPr>
        <w:ind w:left="1440"/>
        <w:jc w:val="both"/>
        <w:rPr>
          <w:rFonts w:ascii="Arial" w:hAnsi="Arial" w:cs="Arial"/>
          <w:i/>
          <w:sz w:val="24"/>
          <w:szCs w:val="24"/>
        </w:rPr>
      </w:pPr>
      <w:r w:rsidRPr="00E86700">
        <w:rPr>
          <w:rFonts w:ascii="Arial" w:hAnsi="Arial" w:cs="Arial"/>
          <w:i/>
          <w:sz w:val="24"/>
          <w:szCs w:val="24"/>
        </w:rPr>
        <w:t xml:space="preserve">Egypt:  US$2,098,745 towards 2019 </w:t>
      </w:r>
      <w:r w:rsidR="00BD76C2" w:rsidRPr="00E86700">
        <w:rPr>
          <w:rFonts w:ascii="Arial" w:hAnsi="Arial" w:cs="Arial"/>
          <w:i/>
          <w:sz w:val="24"/>
          <w:szCs w:val="24"/>
        </w:rPr>
        <w:t xml:space="preserve">full </w:t>
      </w:r>
      <w:r w:rsidRPr="00E86700">
        <w:rPr>
          <w:rFonts w:ascii="Arial" w:hAnsi="Arial" w:cs="Arial"/>
          <w:i/>
          <w:sz w:val="24"/>
          <w:szCs w:val="24"/>
        </w:rPr>
        <w:t>assessed annual Member States contributions;</w:t>
      </w:r>
    </w:p>
    <w:p w:rsidR="00BD76C2" w:rsidRPr="00E86700" w:rsidRDefault="00BD76C2" w:rsidP="00BD76C2">
      <w:pPr>
        <w:jc w:val="both"/>
        <w:rPr>
          <w:rFonts w:ascii="Arial" w:hAnsi="Arial" w:cs="Arial"/>
          <w:i/>
          <w:sz w:val="24"/>
          <w:szCs w:val="24"/>
        </w:rPr>
      </w:pPr>
    </w:p>
    <w:p w:rsidR="00BD76C2" w:rsidRPr="00E86700" w:rsidRDefault="00BD76C2" w:rsidP="00231A0B">
      <w:pPr>
        <w:pStyle w:val="ListParagraph"/>
        <w:numPr>
          <w:ilvl w:val="0"/>
          <w:numId w:val="17"/>
        </w:numPr>
        <w:tabs>
          <w:tab w:val="left" w:pos="1440"/>
        </w:tabs>
        <w:ind w:left="1350" w:hanging="630"/>
        <w:jc w:val="both"/>
        <w:rPr>
          <w:rFonts w:ascii="Arial" w:hAnsi="Arial" w:cs="Arial"/>
          <w:i/>
          <w:sz w:val="24"/>
          <w:szCs w:val="24"/>
        </w:rPr>
      </w:pPr>
      <w:r w:rsidRPr="00E86700">
        <w:rPr>
          <w:rFonts w:ascii="Arial" w:hAnsi="Arial" w:cs="Arial"/>
          <w:i/>
          <w:sz w:val="24"/>
          <w:szCs w:val="24"/>
        </w:rPr>
        <w:t>Eritrea: US$159,876 towards</w:t>
      </w:r>
    </w:p>
    <w:p w:rsidR="00BD76C2" w:rsidRPr="00E86700" w:rsidRDefault="00BD76C2" w:rsidP="00BD76C2">
      <w:pPr>
        <w:pStyle w:val="ListParagraph"/>
        <w:ind w:left="2160"/>
        <w:jc w:val="both"/>
        <w:rPr>
          <w:rFonts w:ascii="Arial" w:hAnsi="Arial" w:cs="Arial"/>
          <w:i/>
          <w:sz w:val="24"/>
          <w:szCs w:val="24"/>
        </w:rPr>
      </w:pPr>
    </w:p>
    <w:p w:rsidR="00BD76C2" w:rsidRPr="00E86700" w:rsidRDefault="00BD76C2" w:rsidP="00231A0B">
      <w:pPr>
        <w:pStyle w:val="ListParagraph"/>
        <w:numPr>
          <w:ilvl w:val="0"/>
          <w:numId w:val="19"/>
        </w:numPr>
        <w:tabs>
          <w:tab w:val="left" w:pos="2160"/>
        </w:tabs>
        <w:ind w:left="2160" w:hanging="810"/>
        <w:jc w:val="both"/>
        <w:rPr>
          <w:rFonts w:ascii="Arial" w:hAnsi="Arial" w:cs="Arial"/>
          <w:i/>
          <w:sz w:val="24"/>
          <w:szCs w:val="24"/>
        </w:rPr>
      </w:pPr>
      <w:r w:rsidRPr="00E86700">
        <w:rPr>
          <w:rFonts w:ascii="Arial" w:hAnsi="Arial" w:cs="Arial"/>
          <w:i/>
          <w:sz w:val="24"/>
          <w:szCs w:val="24"/>
        </w:rPr>
        <w:t>2017 arrears: US$158,293</w:t>
      </w:r>
    </w:p>
    <w:p w:rsidR="00BD76C2" w:rsidRPr="00E86700" w:rsidRDefault="00BD76C2" w:rsidP="00231A0B">
      <w:pPr>
        <w:pStyle w:val="ListParagraph"/>
        <w:numPr>
          <w:ilvl w:val="0"/>
          <w:numId w:val="19"/>
        </w:numPr>
        <w:tabs>
          <w:tab w:val="left" w:pos="2160"/>
        </w:tabs>
        <w:ind w:left="2160" w:hanging="810"/>
        <w:jc w:val="both"/>
        <w:rPr>
          <w:rFonts w:ascii="Arial" w:hAnsi="Arial" w:cs="Arial"/>
          <w:i/>
          <w:sz w:val="24"/>
          <w:szCs w:val="24"/>
        </w:rPr>
      </w:pPr>
      <w:r w:rsidRPr="00E86700">
        <w:rPr>
          <w:rFonts w:ascii="Arial" w:hAnsi="Arial" w:cs="Arial"/>
          <w:i/>
          <w:sz w:val="24"/>
          <w:szCs w:val="24"/>
        </w:rPr>
        <w:t xml:space="preserve"> 2018 arrears: US$1,583</w:t>
      </w:r>
    </w:p>
    <w:p w:rsidR="00BD76C2" w:rsidRPr="00E86700" w:rsidRDefault="00BD76C2" w:rsidP="00BD76C2">
      <w:pPr>
        <w:jc w:val="both"/>
        <w:rPr>
          <w:rFonts w:ascii="Arial" w:hAnsi="Arial" w:cs="Arial"/>
          <w:i/>
          <w:sz w:val="24"/>
          <w:szCs w:val="24"/>
        </w:rPr>
      </w:pPr>
    </w:p>
    <w:p w:rsidR="00BD76C2" w:rsidRPr="00E86700" w:rsidRDefault="00BD76C2" w:rsidP="00231A0B">
      <w:pPr>
        <w:pStyle w:val="ListParagraph"/>
        <w:numPr>
          <w:ilvl w:val="0"/>
          <w:numId w:val="17"/>
        </w:numPr>
        <w:ind w:left="1440"/>
        <w:jc w:val="both"/>
        <w:rPr>
          <w:rFonts w:ascii="Arial" w:hAnsi="Arial" w:cs="Arial"/>
          <w:i/>
          <w:sz w:val="24"/>
          <w:szCs w:val="24"/>
        </w:rPr>
      </w:pPr>
      <w:r w:rsidRPr="00E86700">
        <w:rPr>
          <w:rFonts w:ascii="Arial" w:hAnsi="Arial" w:cs="Arial"/>
          <w:i/>
          <w:sz w:val="24"/>
          <w:szCs w:val="24"/>
        </w:rPr>
        <w:t xml:space="preserve">Madagascar: US$473,245 towards </w:t>
      </w:r>
    </w:p>
    <w:p w:rsidR="00BD76C2" w:rsidRPr="00E86700" w:rsidRDefault="00BD76C2" w:rsidP="00BD76C2">
      <w:pPr>
        <w:ind w:left="720"/>
        <w:jc w:val="both"/>
        <w:rPr>
          <w:rFonts w:ascii="Arial" w:hAnsi="Arial" w:cs="Arial"/>
          <w:i/>
          <w:sz w:val="24"/>
          <w:szCs w:val="24"/>
        </w:rPr>
      </w:pPr>
    </w:p>
    <w:p w:rsidR="00BD76C2" w:rsidRPr="00E86700" w:rsidRDefault="00BD76C2" w:rsidP="00231A0B">
      <w:pPr>
        <w:pStyle w:val="ListParagraph"/>
        <w:numPr>
          <w:ilvl w:val="0"/>
          <w:numId w:val="20"/>
        </w:numPr>
        <w:ind w:left="2160" w:hanging="720"/>
        <w:jc w:val="both"/>
        <w:rPr>
          <w:rFonts w:ascii="Arial" w:hAnsi="Arial" w:cs="Arial"/>
          <w:i/>
          <w:sz w:val="24"/>
          <w:szCs w:val="24"/>
        </w:rPr>
      </w:pPr>
      <w:r w:rsidRPr="00E86700">
        <w:rPr>
          <w:rFonts w:ascii="Arial" w:hAnsi="Arial" w:cs="Arial"/>
          <w:i/>
          <w:sz w:val="24"/>
          <w:szCs w:val="24"/>
        </w:rPr>
        <w:t>2018 arrears: US$16,646; and</w:t>
      </w:r>
    </w:p>
    <w:p w:rsidR="00BD76C2" w:rsidRPr="00E86700" w:rsidRDefault="00BD76C2" w:rsidP="00231A0B">
      <w:pPr>
        <w:pStyle w:val="ListParagraph"/>
        <w:numPr>
          <w:ilvl w:val="0"/>
          <w:numId w:val="20"/>
        </w:numPr>
        <w:ind w:left="2160" w:hanging="720"/>
        <w:jc w:val="both"/>
        <w:rPr>
          <w:rFonts w:ascii="Arial" w:hAnsi="Arial" w:cs="Arial"/>
          <w:i/>
          <w:sz w:val="24"/>
          <w:szCs w:val="24"/>
        </w:rPr>
      </w:pPr>
      <w:r w:rsidRPr="00E86700">
        <w:rPr>
          <w:rFonts w:ascii="Arial" w:hAnsi="Arial" w:cs="Arial"/>
          <w:i/>
          <w:sz w:val="24"/>
          <w:szCs w:val="24"/>
        </w:rPr>
        <w:t>US$456,599 being part remittance of 2019 assessed annual Member States contributions, with a balance of US$12,163</w:t>
      </w:r>
    </w:p>
    <w:p w:rsidR="00BD76C2" w:rsidRPr="00E86700" w:rsidRDefault="00BD76C2" w:rsidP="00BD76C2">
      <w:pPr>
        <w:pStyle w:val="ListParagraph"/>
        <w:ind w:left="1440"/>
        <w:jc w:val="both"/>
        <w:rPr>
          <w:rFonts w:ascii="Arial" w:hAnsi="Arial" w:cs="Arial"/>
          <w:i/>
          <w:sz w:val="24"/>
          <w:szCs w:val="24"/>
        </w:rPr>
      </w:pPr>
    </w:p>
    <w:p w:rsidR="00BD76C2" w:rsidRPr="00E86700" w:rsidRDefault="00BD76C2" w:rsidP="00231A0B">
      <w:pPr>
        <w:pStyle w:val="ListParagraph"/>
        <w:numPr>
          <w:ilvl w:val="0"/>
          <w:numId w:val="17"/>
        </w:numPr>
        <w:ind w:left="1440"/>
        <w:jc w:val="both"/>
        <w:rPr>
          <w:rFonts w:ascii="Arial" w:hAnsi="Arial" w:cs="Arial"/>
          <w:i/>
          <w:sz w:val="24"/>
          <w:szCs w:val="24"/>
        </w:rPr>
      </w:pPr>
      <w:r w:rsidRPr="00E86700">
        <w:rPr>
          <w:rFonts w:ascii="Arial" w:hAnsi="Arial" w:cs="Arial"/>
          <w:i/>
          <w:sz w:val="24"/>
          <w:szCs w:val="24"/>
        </w:rPr>
        <w:t>Malawi</w:t>
      </w:r>
      <w:r w:rsidR="002628AA" w:rsidRPr="00E86700">
        <w:rPr>
          <w:rFonts w:ascii="Arial" w:hAnsi="Arial" w:cs="Arial"/>
          <w:i/>
          <w:sz w:val="24"/>
          <w:szCs w:val="24"/>
        </w:rPr>
        <w:t>: US$</w:t>
      </w:r>
      <w:r w:rsidRPr="00E86700">
        <w:rPr>
          <w:rFonts w:ascii="Arial" w:hAnsi="Arial" w:cs="Arial"/>
          <w:i/>
          <w:sz w:val="24"/>
          <w:szCs w:val="24"/>
        </w:rPr>
        <w:t xml:space="preserve">80,975, being part remittance of </w:t>
      </w:r>
      <w:r w:rsidR="002628AA" w:rsidRPr="00E86700">
        <w:rPr>
          <w:rFonts w:ascii="Arial" w:hAnsi="Arial" w:cs="Arial"/>
          <w:i/>
          <w:sz w:val="24"/>
          <w:szCs w:val="24"/>
        </w:rPr>
        <w:t>2019 assessed annual Member States contributions</w:t>
      </w:r>
      <w:r w:rsidRPr="00E86700">
        <w:rPr>
          <w:rFonts w:ascii="Arial" w:hAnsi="Arial" w:cs="Arial"/>
          <w:i/>
          <w:sz w:val="24"/>
          <w:szCs w:val="24"/>
        </w:rPr>
        <w:t>, with a balance of US$420,960</w:t>
      </w:r>
    </w:p>
    <w:p w:rsidR="00BD76C2" w:rsidRPr="00E86700" w:rsidRDefault="00BD76C2" w:rsidP="00BD76C2">
      <w:pPr>
        <w:pStyle w:val="ListParagraph"/>
        <w:ind w:left="1440"/>
        <w:jc w:val="both"/>
        <w:rPr>
          <w:rFonts w:ascii="Arial" w:hAnsi="Arial" w:cs="Arial"/>
          <w:i/>
          <w:sz w:val="24"/>
          <w:szCs w:val="24"/>
        </w:rPr>
      </w:pPr>
    </w:p>
    <w:p w:rsidR="00BD76C2" w:rsidRPr="00E86700" w:rsidRDefault="00BD76C2" w:rsidP="00231A0B">
      <w:pPr>
        <w:pStyle w:val="ListParagraph"/>
        <w:numPr>
          <w:ilvl w:val="0"/>
          <w:numId w:val="17"/>
        </w:numPr>
        <w:ind w:left="1440"/>
        <w:jc w:val="both"/>
        <w:rPr>
          <w:rFonts w:ascii="Arial" w:hAnsi="Arial" w:cs="Arial"/>
          <w:i/>
          <w:sz w:val="24"/>
          <w:szCs w:val="24"/>
        </w:rPr>
      </w:pPr>
      <w:r w:rsidRPr="00E86700">
        <w:rPr>
          <w:rFonts w:ascii="Arial" w:hAnsi="Arial" w:cs="Arial"/>
          <w:i/>
          <w:sz w:val="24"/>
          <w:szCs w:val="24"/>
        </w:rPr>
        <w:t>Mauritius: US$593,585 towards 2019 full assessed annual Member States contributions;</w:t>
      </w:r>
    </w:p>
    <w:p w:rsidR="00BD76C2" w:rsidRPr="00E86700" w:rsidRDefault="00BD76C2" w:rsidP="00BD76C2">
      <w:pPr>
        <w:pStyle w:val="ListParagraph"/>
        <w:ind w:left="1440"/>
        <w:jc w:val="both"/>
        <w:rPr>
          <w:rFonts w:ascii="Arial" w:hAnsi="Arial" w:cs="Arial"/>
          <w:i/>
          <w:sz w:val="24"/>
          <w:szCs w:val="24"/>
        </w:rPr>
      </w:pPr>
    </w:p>
    <w:p w:rsidR="002628AA" w:rsidRPr="00E86700" w:rsidRDefault="00FD3631" w:rsidP="00231A0B">
      <w:pPr>
        <w:pStyle w:val="ListParagraph"/>
        <w:numPr>
          <w:ilvl w:val="0"/>
          <w:numId w:val="17"/>
        </w:numPr>
        <w:ind w:left="1440"/>
        <w:jc w:val="both"/>
        <w:rPr>
          <w:rFonts w:ascii="Arial" w:hAnsi="Arial" w:cs="Arial"/>
          <w:i/>
          <w:sz w:val="24"/>
          <w:szCs w:val="24"/>
        </w:rPr>
      </w:pPr>
      <w:r w:rsidRPr="00E86700">
        <w:rPr>
          <w:rFonts w:ascii="Arial" w:hAnsi="Arial" w:cs="Arial"/>
          <w:i/>
          <w:sz w:val="24"/>
          <w:szCs w:val="24"/>
        </w:rPr>
        <w:lastRenderedPageBreak/>
        <w:t>Rwanda</w:t>
      </w:r>
      <w:r w:rsidR="002628AA" w:rsidRPr="00E86700">
        <w:rPr>
          <w:rFonts w:ascii="Arial" w:hAnsi="Arial" w:cs="Arial"/>
          <w:i/>
          <w:sz w:val="24"/>
          <w:szCs w:val="24"/>
        </w:rPr>
        <w:t>:  US$</w:t>
      </w:r>
      <w:r w:rsidRPr="00E86700">
        <w:rPr>
          <w:rFonts w:ascii="Arial" w:hAnsi="Arial" w:cs="Arial"/>
          <w:i/>
          <w:sz w:val="24"/>
          <w:szCs w:val="24"/>
        </w:rPr>
        <w:t xml:space="preserve">597,447 </w:t>
      </w:r>
      <w:r w:rsidR="002628AA" w:rsidRPr="00E86700">
        <w:rPr>
          <w:rFonts w:ascii="Arial" w:hAnsi="Arial" w:cs="Arial"/>
          <w:i/>
          <w:sz w:val="24"/>
          <w:szCs w:val="24"/>
        </w:rPr>
        <w:t>towards 201</w:t>
      </w:r>
      <w:r w:rsidRPr="00E86700">
        <w:rPr>
          <w:rFonts w:ascii="Arial" w:hAnsi="Arial" w:cs="Arial"/>
          <w:i/>
          <w:sz w:val="24"/>
          <w:szCs w:val="24"/>
        </w:rPr>
        <w:t xml:space="preserve">8 </w:t>
      </w:r>
      <w:r w:rsidR="002628AA" w:rsidRPr="00E86700">
        <w:rPr>
          <w:rFonts w:ascii="Arial" w:hAnsi="Arial" w:cs="Arial"/>
          <w:i/>
          <w:sz w:val="24"/>
          <w:szCs w:val="24"/>
        </w:rPr>
        <w:t>assessed annual Member States contributions;</w:t>
      </w:r>
    </w:p>
    <w:p w:rsidR="00BD76C2" w:rsidRPr="00E86700" w:rsidRDefault="00BD76C2" w:rsidP="005846BD">
      <w:pPr>
        <w:jc w:val="both"/>
        <w:rPr>
          <w:rFonts w:ascii="Arial" w:hAnsi="Arial" w:cs="Arial"/>
          <w:i/>
          <w:sz w:val="24"/>
          <w:szCs w:val="24"/>
        </w:rPr>
      </w:pPr>
    </w:p>
    <w:p w:rsidR="00FD3631" w:rsidRPr="00E86700" w:rsidRDefault="00FD3631" w:rsidP="00231A0B">
      <w:pPr>
        <w:pStyle w:val="ListParagraph"/>
        <w:numPr>
          <w:ilvl w:val="0"/>
          <w:numId w:val="17"/>
        </w:numPr>
        <w:ind w:left="1440"/>
        <w:jc w:val="both"/>
        <w:rPr>
          <w:rFonts w:ascii="Arial" w:hAnsi="Arial" w:cs="Arial"/>
          <w:i/>
          <w:sz w:val="24"/>
          <w:szCs w:val="24"/>
        </w:rPr>
      </w:pPr>
      <w:r w:rsidRPr="00E86700">
        <w:rPr>
          <w:rFonts w:ascii="Arial" w:hAnsi="Arial" w:cs="Arial"/>
          <w:i/>
          <w:sz w:val="24"/>
          <w:szCs w:val="24"/>
        </w:rPr>
        <w:t>Seychelles:  US$174,895 towards 2019 full assessed annual Member States contributions;</w:t>
      </w:r>
    </w:p>
    <w:p w:rsidR="00FD3631" w:rsidRPr="00E86700" w:rsidRDefault="00FD3631" w:rsidP="005846BD">
      <w:pPr>
        <w:jc w:val="both"/>
        <w:rPr>
          <w:rFonts w:ascii="Arial" w:hAnsi="Arial" w:cs="Arial"/>
          <w:i/>
          <w:sz w:val="24"/>
          <w:szCs w:val="24"/>
        </w:rPr>
      </w:pPr>
    </w:p>
    <w:p w:rsidR="00BD76C2" w:rsidRPr="00E86700" w:rsidRDefault="00FD3631" w:rsidP="00231A0B">
      <w:pPr>
        <w:pStyle w:val="ListParagraph"/>
        <w:numPr>
          <w:ilvl w:val="0"/>
          <w:numId w:val="17"/>
        </w:numPr>
        <w:ind w:left="1440"/>
        <w:jc w:val="both"/>
        <w:rPr>
          <w:rFonts w:ascii="Arial" w:hAnsi="Arial" w:cs="Arial"/>
          <w:i/>
          <w:sz w:val="24"/>
          <w:szCs w:val="24"/>
        </w:rPr>
      </w:pPr>
      <w:r w:rsidRPr="00E86700">
        <w:rPr>
          <w:rFonts w:ascii="Arial" w:hAnsi="Arial" w:cs="Arial"/>
          <w:i/>
          <w:sz w:val="24"/>
          <w:szCs w:val="24"/>
        </w:rPr>
        <w:t>Uganda</w:t>
      </w:r>
      <w:r w:rsidR="00BD76C2" w:rsidRPr="00E86700">
        <w:rPr>
          <w:rFonts w:ascii="Arial" w:hAnsi="Arial" w:cs="Arial"/>
          <w:i/>
          <w:sz w:val="24"/>
          <w:szCs w:val="24"/>
        </w:rPr>
        <w:t>: US$</w:t>
      </w:r>
      <w:r w:rsidRPr="00E86700">
        <w:rPr>
          <w:rFonts w:ascii="Arial" w:hAnsi="Arial" w:cs="Arial"/>
          <w:i/>
          <w:sz w:val="24"/>
          <w:szCs w:val="24"/>
        </w:rPr>
        <w:t xml:space="preserve">2,130,547 </w:t>
      </w:r>
      <w:r w:rsidR="00BD76C2" w:rsidRPr="00E86700">
        <w:rPr>
          <w:rFonts w:ascii="Arial" w:hAnsi="Arial" w:cs="Arial"/>
          <w:i/>
          <w:sz w:val="24"/>
          <w:szCs w:val="24"/>
        </w:rPr>
        <w:t xml:space="preserve">towards </w:t>
      </w:r>
    </w:p>
    <w:p w:rsidR="00BD76C2" w:rsidRPr="00E86700" w:rsidRDefault="00BD76C2" w:rsidP="005846BD">
      <w:pPr>
        <w:ind w:left="720"/>
        <w:jc w:val="both"/>
        <w:rPr>
          <w:rFonts w:ascii="Arial" w:hAnsi="Arial" w:cs="Arial"/>
          <w:i/>
          <w:sz w:val="24"/>
          <w:szCs w:val="24"/>
        </w:rPr>
      </w:pPr>
    </w:p>
    <w:p w:rsidR="00FD3631" w:rsidRPr="00E86700" w:rsidRDefault="00FD3631" w:rsidP="00231A0B">
      <w:pPr>
        <w:pStyle w:val="ListParagraph"/>
        <w:numPr>
          <w:ilvl w:val="0"/>
          <w:numId w:val="21"/>
        </w:numPr>
        <w:ind w:left="2160" w:hanging="720"/>
        <w:jc w:val="both"/>
        <w:rPr>
          <w:rFonts w:ascii="Arial" w:hAnsi="Arial" w:cs="Arial"/>
          <w:i/>
          <w:sz w:val="24"/>
          <w:szCs w:val="24"/>
        </w:rPr>
      </w:pPr>
      <w:r w:rsidRPr="00E86700">
        <w:rPr>
          <w:rFonts w:ascii="Arial" w:hAnsi="Arial" w:cs="Arial"/>
          <w:i/>
          <w:sz w:val="24"/>
          <w:szCs w:val="24"/>
        </w:rPr>
        <w:t>2015 and 2016 arrears: US$1,037,656;</w:t>
      </w:r>
    </w:p>
    <w:p w:rsidR="00FD3631" w:rsidRPr="00E86700" w:rsidRDefault="00FD3631" w:rsidP="00231A0B">
      <w:pPr>
        <w:pStyle w:val="ListParagraph"/>
        <w:numPr>
          <w:ilvl w:val="0"/>
          <w:numId w:val="21"/>
        </w:numPr>
        <w:ind w:left="2160" w:hanging="720"/>
        <w:jc w:val="both"/>
        <w:rPr>
          <w:rFonts w:ascii="Arial" w:hAnsi="Arial" w:cs="Arial"/>
          <w:i/>
          <w:sz w:val="24"/>
          <w:szCs w:val="24"/>
        </w:rPr>
      </w:pPr>
      <w:r w:rsidRPr="00E86700">
        <w:rPr>
          <w:rFonts w:ascii="Arial" w:hAnsi="Arial" w:cs="Arial"/>
          <w:i/>
          <w:sz w:val="24"/>
          <w:szCs w:val="24"/>
        </w:rPr>
        <w:t>2017 arrears: US$815,365; and</w:t>
      </w:r>
    </w:p>
    <w:p w:rsidR="00BD76C2" w:rsidRPr="00E86700" w:rsidRDefault="00BD76C2" w:rsidP="00231A0B">
      <w:pPr>
        <w:pStyle w:val="ListParagraph"/>
        <w:numPr>
          <w:ilvl w:val="0"/>
          <w:numId w:val="21"/>
        </w:numPr>
        <w:ind w:left="2160" w:hanging="720"/>
        <w:jc w:val="both"/>
        <w:rPr>
          <w:rFonts w:ascii="Arial" w:hAnsi="Arial" w:cs="Arial"/>
          <w:i/>
          <w:sz w:val="24"/>
          <w:szCs w:val="24"/>
        </w:rPr>
      </w:pPr>
      <w:r w:rsidRPr="00E86700">
        <w:rPr>
          <w:rFonts w:ascii="Arial" w:hAnsi="Arial" w:cs="Arial"/>
          <w:i/>
          <w:sz w:val="24"/>
          <w:szCs w:val="24"/>
        </w:rPr>
        <w:t>2018 arrears: US$</w:t>
      </w:r>
      <w:r w:rsidR="00FD3631" w:rsidRPr="00E86700">
        <w:rPr>
          <w:rFonts w:ascii="Arial" w:hAnsi="Arial" w:cs="Arial"/>
          <w:i/>
          <w:sz w:val="24"/>
          <w:szCs w:val="24"/>
        </w:rPr>
        <w:t>277,526.</w:t>
      </w:r>
    </w:p>
    <w:p w:rsidR="00D3544B" w:rsidRDefault="00D3544B" w:rsidP="006F6939">
      <w:pPr>
        <w:pStyle w:val="Heading1"/>
        <w:spacing w:before="0"/>
        <w:ind w:left="720"/>
        <w:jc w:val="both"/>
        <w:rPr>
          <w:rFonts w:ascii="Arial" w:hAnsi="Arial" w:cs="Arial"/>
          <w:b/>
          <w:i/>
          <w:sz w:val="24"/>
          <w:szCs w:val="24"/>
        </w:rPr>
      </w:pPr>
    </w:p>
    <w:p w:rsidR="00C82DE6" w:rsidRPr="00BF3EB5" w:rsidRDefault="00C82DE6" w:rsidP="00C82DE6"/>
    <w:p w:rsidR="00C82DE6" w:rsidRPr="006C05FE" w:rsidRDefault="00C82DE6" w:rsidP="00231A0B">
      <w:pPr>
        <w:pStyle w:val="Heading3"/>
        <w:numPr>
          <w:ilvl w:val="1"/>
          <w:numId w:val="3"/>
        </w:numPr>
        <w:ind w:left="720"/>
        <w:rPr>
          <w:rFonts w:ascii="Arial" w:hAnsi="Arial" w:cs="Arial"/>
          <w:b/>
          <w:color w:val="000000" w:themeColor="text1"/>
        </w:rPr>
      </w:pPr>
      <w:bookmarkStart w:id="22" w:name="_Toc22370823"/>
      <w:r>
        <w:rPr>
          <w:rFonts w:ascii="Arial" w:hAnsi="Arial" w:cs="Arial"/>
          <w:b/>
          <w:color w:val="000000" w:themeColor="text1"/>
        </w:rPr>
        <w:t>Outstanding assessed contributions</w:t>
      </w:r>
      <w:bookmarkEnd w:id="22"/>
    </w:p>
    <w:p w:rsidR="00FD3631" w:rsidRPr="00FD3631" w:rsidRDefault="00FD3631" w:rsidP="00FD3631">
      <w:pPr>
        <w:pStyle w:val="ListParagraph"/>
        <w:rPr>
          <w:rFonts w:ascii="Arial" w:hAnsi="Arial" w:cs="Arial"/>
          <w:b/>
          <w:i/>
          <w:color w:val="000000" w:themeColor="text1"/>
          <w:sz w:val="24"/>
          <w:szCs w:val="24"/>
        </w:rPr>
      </w:pPr>
    </w:p>
    <w:p w:rsidR="00FD3631" w:rsidRDefault="00FD3631" w:rsidP="00180FD3">
      <w:pPr>
        <w:pStyle w:val="ListParagraph"/>
        <w:numPr>
          <w:ilvl w:val="0"/>
          <w:numId w:val="26"/>
        </w:numPr>
        <w:tabs>
          <w:tab w:val="left" w:pos="720"/>
        </w:tabs>
        <w:ind w:left="0" w:firstLine="0"/>
        <w:jc w:val="both"/>
        <w:rPr>
          <w:rFonts w:ascii="Arial" w:hAnsi="Arial" w:cs="Arial"/>
          <w:i/>
          <w:sz w:val="24"/>
          <w:szCs w:val="24"/>
        </w:rPr>
      </w:pPr>
      <w:r w:rsidRPr="00C31CBF">
        <w:rPr>
          <w:rFonts w:ascii="Arial" w:hAnsi="Arial" w:cs="Arial"/>
          <w:i/>
          <w:sz w:val="24"/>
          <w:szCs w:val="24"/>
        </w:rPr>
        <w:t xml:space="preserve">The Sub Committee on Audit and Budgetary matters recommends that Member States be urged to: - </w:t>
      </w:r>
    </w:p>
    <w:p w:rsidR="00C31CBF" w:rsidRPr="00C31CBF" w:rsidRDefault="00C31CBF" w:rsidP="00C31CBF">
      <w:pPr>
        <w:pStyle w:val="ListParagraph"/>
        <w:tabs>
          <w:tab w:val="left" w:pos="720"/>
        </w:tabs>
        <w:ind w:left="0"/>
        <w:jc w:val="both"/>
        <w:rPr>
          <w:rFonts w:ascii="Arial" w:hAnsi="Arial" w:cs="Arial"/>
          <w:i/>
          <w:sz w:val="24"/>
          <w:szCs w:val="24"/>
        </w:rPr>
      </w:pPr>
    </w:p>
    <w:p w:rsidR="00FD3631" w:rsidRPr="00E86700" w:rsidRDefault="00FD3631" w:rsidP="00231A0B">
      <w:pPr>
        <w:pStyle w:val="ListParagraph"/>
        <w:numPr>
          <w:ilvl w:val="0"/>
          <w:numId w:val="22"/>
        </w:numPr>
        <w:jc w:val="both"/>
        <w:rPr>
          <w:rFonts w:ascii="Arial" w:hAnsi="Arial" w:cs="Arial"/>
          <w:i/>
          <w:sz w:val="24"/>
          <w:szCs w:val="24"/>
        </w:rPr>
      </w:pPr>
      <w:r w:rsidRPr="00E86700">
        <w:rPr>
          <w:rFonts w:ascii="Arial" w:hAnsi="Arial" w:cs="Arial"/>
          <w:i/>
          <w:sz w:val="24"/>
          <w:szCs w:val="24"/>
        </w:rPr>
        <w:t>remit the outstanding amounts, before end of December 2019; and</w:t>
      </w:r>
    </w:p>
    <w:p w:rsidR="00FD3631" w:rsidRPr="00E86700" w:rsidRDefault="00FD3631" w:rsidP="00231A0B">
      <w:pPr>
        <w:pStyle w:val="ListParagraph"/>
        <w:numPr>
          <w:ilvl w:val="0"/>
          <w:numId w:val="22"/>
        </w:numPr>
        <w:jc w:val="both"/>
        <w:rPr>
          <w:rFonts w:ascii="Arial" w:hAnsi="Arial" w:cs="Arial"/>
          <w:i/>
          <w:sz w:val="24"/>
          <w:szCs w:val="24"/>
        </w:rPr>
      </w:pPr>
      <w:r w:rsidRPr="00E86700">
        <w:rPr>
          <w:rFonts w:ascii="Arial" w:hAnsi="Arial" w:cs="Arial"/>
          <w:i/>
          <w:sz w:val="24"/>
          <w:szCs w:val="24"/>
        </w:rPr>
        <w:t xml:space="preserve">submit a schedule of remittances, for purposes of facilitating follow-up and consultations. </w:t>
      </w:r>
    </w:p>
    <w:p w:rsidR="00D3544B" w:rsidRDefault="00D3544B" w:rsidP="00682EF0">
      <w:pPr>
        <w:rPr>
          <w:rFonts w:ascii="Times New Roman" w:hAnsi="Times New Roman" w:cs="Times New Roman"/>
          <w:sz w:val="24"/>
          <w:szCs w:val="24"/>
        </w:rPr>
      </w:pPr>
    </w:p>
    <w:p w:rsidR="00C82DE6" w:rsidRPr="00BF3EB5" w:rsidRDefault="00C82DE6" w:rsidP="00C82DE6"/>
    <w:p w:rsidR="00C82DE6" w:rsidRPr="006C05FE" w:rsidRDefault="00C82DE6" w:rsidP="00231A0B">
      <w:pPr>
        <w:pStyle w:val="Heading3"/>
        <w:numPr>
          <w:ilvl w:val="1"/>
          <w:numId w:val="3"/>
        </w:numPr>
        <w:ind w:left="720"/>
        <w:jc w:val="both"/>
        <w:rPr>
          <w:rFonts w:ascii="Arial" w:hAnsi="Arial" w:cs="Arial"/>
          <w:b/>
          <w:color w:val="000000" w:themeColor="text1"/>
        </w:rPr>
      </w:pPr>
      <w:bookmarkStart w:id="23" w:name="_Toc22370824"/>
      <w:r>
        <w:rPr>
          <w:rFonts w:ascii="Arial" w:hAnsi="Arial" w:cs="Arial"/>
          <w:b/>
          <w:color w:val="000000" w:themeColor="text1"/>
        </w:rPr>
        <w:t>Member States not adhering to arrears repayment plan</w:t>
      </w:r>
      <w:r w:rsidR="00696016">
        <w:rPr>
          <w:rFonts w:ascii="Arial" w:hAnsi="Arial" w:cs="Arial"/>
          <w:b/>
          <w:color w:val="000000" w:themeColor="text1"/>
        </w:rPr>
        <w:t>s</w:t>
      </w:r>
      <w:bookmarkEnd w:id="23"/>
    </w:p>
    <w:p w:rsidR="00C82DE6" w:rsidRPr="00E86700" w:rsidRDefault="00C82DE6" w:rsidP="00C82DE6">
      <w:pPr>
        <w:pStyle w:val="ListParagraph"/>
        <w:rPr>
          <w:rFonts w:ascii="Arial" w:hAnsi="Arial" w:cs="Arial"/>
          <w:i/>
          <w:color w:val="000000" w:themeColor="text1"/>
          <w:sz w:val="24"/>
          <w:szCs w:val="24"/>
        </w:rPr>
      </w:pPr>
    </w:p>
    <w:p w:rsidR="00682EF0" w:rsidRPr="00E86700" w:rsidRDefault="00FD3631" w:rsidP="00696016">
      <w:pPr>
        <w:pStyle w:val="ListParagraph"/>
        <w:numPr>
          <w:ilvl w:val="0"/>
          <w:numId w:val="26"/>
        </w:numPr>
        <w:tabs>
          <w:tab w:val="left" w:pos="720"/>
        </w:tabs>
        <w:ind w:left="0" w:firstLine="0"/>
        <w:jc w:val="both"/>
        <w:rPr>
          <w:rFonts w:ascii="Arial" w:hAnsi="Arial" w:cs="Arial"/>
          <w:i/>
          <w:sz w:val="24"/>
          <w:szCs w:val="24"/>
        </w:rPr>
      </w:pPr>
      <w:r w:rsidRPr="00E86700">
        <w:rPr>
          <w:rFonts w:ascii="Arial" w:hAnsi="Arial" w:cs="Arial"/>
          <w:i/>
          <w:sz w:val="24"/>
          <w:szCs w:val="24"/>
        </w:rPr>
        <w:t xml:space="preserve">The </w:t>
      </w:r>
      <w:r w:rsidR="00682EF0" w:rsidRPr="00E86700">
        <w:rPr>
          <w:rFonts w:ascii="Arial" w:hAnsi="Arial" w:cs="Arial"/>
          <w:i/>
          <w:sz w:val="24"/>
          <w:szCs w:val="24"/>
        </w:rPr>
        <w:t>Sub Committee on Audit and Budgetary matters is invited to note that as of 30 September 2019, Comoros:</w:t>
      </w:r>
    </w:p>
    <w:p w:rsidR="00682EF0" w:rsidRPr="00E86700" w:rsidRDefault="00682EF0" w:rsidP="00682EF0">
      <w:pPr>
        <w:jc w:val="both"/>
        <w:rPr>
          <w:rFonts w:ascii="Arial" w:hAnsi="Arial" w:cs="Arial"/>
          <w:i/>
          <w:sz w:val="24"/>
          <w:szCs w:val="24"/>
        </w:rPr>
      </w:pPr>
    </w:p>
    <w:p w:rsidR="00682EF0" w:rsidRPr="00E86700" w:rsidRDefault="00682EF0" w:rsidP="00231A0B">
      <w:pPr>
        <w:pStyle w:val="ListParagraph"/>
        <w:numPr>
          <w:ilvl w:val="0"/>
          <w:numId w:val="14"/>
        </w:numPr>
        <w:jc w:val="both"/>
        <w:rPr>
          <w:rFonts w:ascii="Arial" w:hAnsi="Arial" w:cs="Arial"/>
          <w:i/>
          <w:sz w:val="24"/>
          <w:szCs w:val="24"/>
        </w:rPr>
      </w:pPr>
      <w:r w:rsidRPr="00E86700">
        <w:rPr>
          <w:rFonts w:ascii="Arial" w:hAnsi="Arial" w:cs="Arial"/>
          <w:i/>
          <w:sz w:val="24"/>
          <w:szCs w:val="24"/>
        </w:rPr>
        <w:t>Has not adhered to an equal annual instalment plan, approved by the Authority, with a total of US$112,060 in arrears (Condition 1 of the agreement).</w:t>
      </w:r>
    </w:p>
    <w:p w:rsidR="00682EF0" w:rsidRPr="00E86700" w:rsidRDefault="00682EF0" w:rsidP="00682EF0">
      <w:pPr>
        <w:pStyle w:val="ListParagraph"/>
        <w:ind w:left="1440"/>
        <w:jc w:val="both"/>
        <w:rPr>
          <w:rFonts w:ascii="Arial" w:hAnsi="Arial" w:cs="Arial"/>
          <w:i/>
          <w:sz w:val="24"/>
          <w:szCs w:val="24"/>
        </w:rPr>
      </w:pPr>
    </w:p>
    <w:p w:rsidR="00682EF0" w:rsidRPr="00E86700" w:rsidRDefault="00682EF0" w:rsidP="00231A0B">
      <w:pPr>
        <w:pStyle w:val="ListParagraph"/>
        <w:numPr>
          <w:ilvl w:val="0"/>
          <w:numId w:val="14"/>
        </w:numPr>
        <w:jc w:val="both"/>
        <w:rPr>
          <w:rFonts w:ascii="Arial" w:hAnsi="Arial" w:cs="Arial"/>
          <w:i/>
          <w:sz w:val="24"/>
          <w:szCs w:val="24"/>
        </w:rPr>
      </w:pPr>
      <w:r w:rsidRPr="00E86700">
        <w:rPr>
          <w:rFonts w:ascii="Arial" w:hAnsi="Arial" w:cs="Arial"/>
          <w:i/>
          <w:sz w:val="24"/>
          <w:szCs w:val="24"/>
        </w:rPr>
        <w:t xml:space="preserve">Has not kept assessed annual Member States contributions kept up to date  - 2017:US$158,293; 2018:US$172,684; 2019:US$190,724 (Condition 2 of the agreement) </w:t>
      </w:r>
    </w:p>
    <w:p w:rsidR="00682EF0" w:rsidRPr="00E86700" w:rsidRDefault="00682EF0" w:rsidP="00682EF0">
      <w:pPr>
        <w:pStyle w:val="ListParagraph"/>
        <w:ind w:left="1440"/>
        <w:jc w:val="both"/>
        <w:rPr>
          <w:rFonts w:ascii="Arial" w:hAnsi="Arial" w:cs="Arial"/>
          <w:i/>
          <w:sz w:val="24"/>
          <w:szCs w:val="24"/>
        </w:rPr>
      </w:pPr>
    </w:p>
    <w:p w:rsidR="00682EF0" w:rsidRPr="00E86700" w:rsidRDefault="00682EF0" w:rsidP="00231A0B">
      <w:pPr>
        <w:pStyle w:val="ListParagraph"/>
        <w:numPr>
          <w:ilvl w:val="0"/>
          <w:numId w:val="14"/>
        </w:numPr>
        <w:jc w:val="both"/>
        <w:rPr>
          <w:rFonts w:ascii="Arial" w:hAnsi="Arial" w:cs="Arial"/>
          <w:i/>
          <w:sz w:val="24"/>
          <w:szCs w:val="24"/>
        </w:rPr>
      </w:pPr>
      <w:r w:rsidRPr="00E86700">
        <w:rPr>
          <w:rFonts w:ascii="Arial" w:hAnsi="Arial" w:cs="Arial"/>
          <w:i/>
          <w:sz w:val="24"/>
          <w:szCs w:val="24"/>
        </w:rPr>
        <w:t>Failure to adhere to above conditions has automatically invoked sanctions, as stipulated by the Authority (Condition 3 of the agreement)</w:t>
      </w:r>
    </w:p>
    <w:p w:rsidR="00682EF0" w:rsidRPr="00E86700" w:rsidRDefault="00682EF0" w:rsidP="00682EF0">
      <w:pPr>
        <w:pStyle w:val="ListParagraph"/>
        <w:ind w:left="1440"/>
        <w:jc w:val="both"/>
        <w:rPr>
          <w:rFonts w:ascii="Arial" w:hAnsi="Arial" w:cs="Arial"/>
          <w:i/>
          <w:sz w:val="24"/>
          <w:szCs w:val="24"/>
        </w:rPr>
      </w:pPr>
    </w:p>
    <w:p w:rsidR="00682EF0" w:rsidRPr="00E86700" w:rsidRDefault="00682EF0" w:rsidP="00231A0B">
      <w:pPr>
        <w:pStyle w:val="ListParagraph"/>
        <w:numPr>
          <w:ilvl w:val="0"/>
          <w:numId w:val="14"/>
        </w:numPr>
        <w:jc w:val="both"/>
        <w:rPr>
          <w:rFonts w:ascii="Arial" w:hAnsi="Arial" w:cs="Arial"/>
          <w:i/>
          <w:sz w:val="24"/>
          <w:szCs w:val="24"/>
        </w:rPr>
      </w:pPr>
      <w:r w:rsidRPr="00E86700">
        <w:rPr>
          <w:rFonts w:ascii="Arial" w:hAnsi="Arial" w:cs="Arial"/>
          <w:i/>
          <w:sz w:val="24"/>
          <w:szCs w:val="24"/>
        </w:rPr>
        <w:t>Is required by the approved repayment plan to remit US$633,761 in order for the sanctions to be lifted, as reflected below:</w:t>
      </w:r>
    </w:p>
    <w:p w:rsidR="00682EF0" w:rsidRPr="00E86700" w:rsidRDefault="00682EF0" w:rsidP="00682EF0">
      <w:pPr>
        <w:pStyle w:val="ListParagraph"/>
        <w:rPr>
          <w:rFonts w:ascii="Arial" w:hAnsi="Arial" w:cs="Arial"/>
          <w:i/>
          <w:sz w:val="24"/>
          <w:szCs w:val="24"/>
        </w:rPr>
      </w:pPr>
    </w:p>
    <w:p w:rsidR="00682EF0" w:rsidRPr="00E86700" w:rsidRDefault="00682EF0" w:rsidP="00682EF0">
      <w:pPr>
        <w:pStyle w:val="ListParagraph"/>
        <w:tabs>
          <w:tab w:val="left" w:pos="0"/>
        </w:tabs>
        <w:ind w:left="90" w:hanging="90"/>
        <w:jc w:val="both"/>
        <w:rPr>
          <w:rFonts w:ascii="Arial" w:hAnsi="Arial" w:cs="Arial"/>
          <w:i/>
          <w:sz w:val="24"/>
          <w:szCs w:val="24"/>
        </w:rPr>
      </w:pPr>
      <w:r w:rsidRPr="00E86700">
        <w:rPr>
          <w:rFonts w:ascii="Arial" w:hAnsi="Arial" w:cs="Arial"/>
          <w:i/>
          <w:sz w:val="24"/>
          <w:szCs w:val="24"/>
        </w:rPr>
        <w:object w:dxaOrig="9410" w:dyaOrig="8546">
          <v:shape id="_x0000_i1029" type="#_x0000_t75" style="width:470.25pt;height:426.75pt" o:ole="">
            <v:imagedata r:id="rId23" o:title=""/>
          </v:shape>
          <o:OLEObject Type="Embed" ProgID="Excel.Sheet.12" ShapeID="_x0000_i1029" DrawAspect="Content" ObjectID="_1633037021" r:id="rId24"/>
        </w:object>
      </w:r>
    </w:p>
    <w:p w:rsidR="00682EF0" w:rsidRPr="00E86700" w:rsidRDefault="00682EF0" w:rsidP="00682EF0">
      <w:pPr>
        <w:pStyle w:val="ListParagraph"/>
        <w:rPr>
          <w:rFonts w:ascii="Arial" w:hAnsi="Arial" w:cs="Arial"/>
          <w:i/>
          <w:sz w:val="24"/>
          <w:szCs w:val="24"/>
        </w:rPr>
      </w:pPr>
    </w:p>
    <w:p w:rsidR="00682EF0" w:rsidRPr="00E86700" w:rsidRDefault="00682EF0" w:rsidP="00682EF0">
      <w:pPr>
        <w:pStyle w:val="ListParagraph"/>
        <w:rPr>
          <w:rFonts w:ascii="Arial" w:hAnsi="Arial" w:cs="Arial"/>
          <w:i/>
          <w:sz w:val="24"/>
          <w:szCs w:val="24"/>
        </w:rPr>
      </w:pPr>
    </w:p>
    <w:p w:rsidR="00682EF0" w:rsidRPr="00E86700" w:rsidRDefault="00682EF0" w:rsidP="00696016">
      <w:pPr>
        <w:pStyle w:val="ListParagraph"/>
        <w:numPr>
          <w:ilvl w:val="0"/>
          <w:numId w:val="26"/>
        </w:numPr>
        <w:tabs>
          <w:tab w:val="left" w:pos="720"/>
        </w:tabs>
        <w:ind w:left="0" w:firstLine="0"/>
        <w:jc w:val="both"/>
        <w:rPr>
          <w:rFonts w:ascii="Arial" w:hAnsi="Arial" w:cs="Arial"/>
          <w:i/>
          <w:sz w:val="24"/>
          <w:szCs w:val="24"/>
        </w:rPr>
      </w:pPr>
      <w:r w:rsidRPr="00E86700">
        <w:rPr>
          <w:rFonts w:ascii="Arial" w:hAnsi="Arial" w:cs="Arial"/>
          <w:i/>
          <w:sz w:val="24"/>
          <w:szCs w:val="24"/>
        </w:rPr>
        <w:t>Sub Committee on Audit and Budgetary matters is invited to note that as of 30 September 2019, Djibouti:</w:t>
      </w:r>
    </w:p>
    <w:p w:rsidR="00682EF0" w:rsidRPr="00E86700" w:rsidRDefault="00682EF0" w:rsidP="00682EF0">
      <w:pPr>
        <w:jc w:val="both"/>
        <w:rPr>
          <w:rFonts w:ascii="Arial" w:hAnsi="Arial" w:cs="Arial"/>
          <w:i/>
          <w:sz w:val="24"/>
          <w:szCs w:val="24"/>
        </w:rPr>
      </w:pPr>
    </w:p>
    <w:p w:rsidR="00682EF0" w:rsidRPr="00E86700" w:rsidRDefault="00682EF0" w:rsidP="00231A0B">
      <w:pPr>
        <w:pStyle w:val="ListParagraph"/>
        <w:numPr>
          <w:ilvl w:val="0"/>
          <w:numId w:val="15"/>
        </w:numPr>
        <w:jc w:val="both"/>
        <w:rPr>
          <w:rFonts w:ascii="Arial" w:hAnsi="Arial" w:cs="Arial"/>
          <w:i/>
          <w:sz w:val="24"/>
          <w:szCs w:val="24"/>
        </w:rPr>
      </w:pPr>
      <w:r w:rsidRPr="00E86700">
        <w:rPr>
          <w:rFonts w:ascii="Arial" w:hAnsi="Arial" w:cs="Arial"/>
          <w:i/>
          <w:sz w:val="24"/>
          <w:szCs w:val="24"/>
        </w:rPr>
        <w:t>Has not adhered to an equal annual instalment plan, approved by the Authority, with a total of US$765,105 in arrears (Condition 1 of the agreement).</w:t>
      </w:r>
    </w:p>
    <w:p w:rsidR="00682EF0" w:rsidRPr="00E86700" w:rsidRDefault="00682EF0" w:rsidP="00682EF0">
      <w:pPr>
        <w:pStyle w:val="ListParagraph"/>
        <w:ind w:left="1440"/>
        <w:jc w:val="both"/>
        <w:rPr>
          <w:rFonts w:ascii="Arial" w:hAnsi="Arial" w:cs="Arial"/>
          <w:i/>
          <w:sz w:val="24"/>
          <w:szCs w:val="24"/>
        </w:rPr>
      </w:pPr>
    </w:p>
    <w:p w:rsidR="00682EF0" w:rsidRPr="00E86700" w:rsidRDefault="00682EF0" w:rsidP="00231A0B">
      <w:pPr>
        <w:pStyle w:val="ListParagraph"/>
        <w:numPr>
          <w:ilvl w:val="0"/>
          <w:numId w:val="15"/>
        </w:numPr>
        <w:jc w:val="both"/>
        <w:rPr>
          <w:rFonts w:ascii="Arial" w:hAnsi="Arial" w:cs="Arial"/>
          <w:i/>
          <w:sz w:val="24"/>
          <w:szCs w:val="24"/>
        </w:rPr>
      </w:pPr>
      <w:r w:rsidRPr="00E86700">
        <w:rPr>
          <w:rFonts w:ascii="Arial" w:hAnsi="Arial" w:cs="Arial"/>
          <w:i/>
          <w:sz w:val="24"/>
          <w:szCs w:val="24"/>
        </w:rPr>
        <w:t xml:space="preserve">Has not kept assessed annual Member States contributions kept up to date   - 2017: US$232,690; 2018: US$233,299; 2019: US$174,895 (Condition 2 of the agreement) </w:t>
      </w:r>
    </w:p>
    <w:p w:rsidR="00682EF0" w:rsidRPr="00E86700" w:rsidRDefault="00682EF0" w:rsidP="00682EF0">
      <w:pPr>
        <w:pStyle w:val="ListParagraph"/>
        <w:ind w:left="1440"/>
        <w:jc w:val="both"/>
        <w:rPr>
          <w:rFonts w:ascii="Arial" w:hAnsi="Arial" w:cs="Arial"/>
          <w:i/>
          <w:sz w:val="24"/>
          <w:szCs w:val="24"/>
        </w:rPr>
      </w:pPr>
    </w:p>
    <w:p w:rsidR="00682EF0" w:rsidRPr="00E86700" w:rsidRDefault="00682EF0" w:rsidP="00231A0B">
      <w:pPr>
        <w:pStyle w:val="ListParagraph"/>
        <w:numPr>
          <w:ilvl w:val="0"/>
          <w:numId w:val="15"/>
        </w:numPr>
        <w:jc w:val="both"/>
        <w:rPr>
          <w:rFonts w:ascii="Arial" w:hAnsi="Arial" w:cs="Arial"/>
          <w:i/>
          <w:sz w:val="24"/>
          <w:szCs w:val="24"/>
        </w:rPr>
      </w:pPr>
      <w:r w:rsidRPr="00E86700">
        <w:rPr>
          <w:rFonts w:ascii="Arial" w:hAnsi="Arial" w:cs="Arial"/>
          <w:i/>
          <w:sz w:val="24"/>
          <w:szCs w:val="24"/>
        </w:rPr>
        <w:t>Failure to adhere to above conditions has automatically invoked sanctions, as stipulated by the Authority (Condition 3 of the agreement)</w:t>
      </w:r>
    </w:p>
    <w:p w:rsidR="00682EF0" w:rsidRPr="00E86700" w:rsidRDefault="00682EF0" w:rsidP="00682EF0">
      <w:pPr>
        <w:pStyle w:val="ListParagraph"/>
        <w:ind w:left="1440"/>
        <w:jc w:val="both"/>
        <w:rPr>
          <w:rFonts w:ascii="Arial" w:hAnsi="Arial" w:cs="Arial"/>
          <w:i/>
          <w:sz w:val="24"/>
          <w:szCs w:val="24"/>
        </w:rPr>
      </w:pPr>
    </w:p>
    <w:p w:rsidR="00682EF0" w:rsidRPr="00E86700" w:rsidRDefault="00682EF0" w:rsidP="00231A0B">
      <w:pPr>
        <w:pStyle w:val="ListParagraph"/>
        <w:numPr>
          <w:ilvl w:val="0"/>
          <w:numId w:val="15"/>
        </w:numPr>
        <w:jc w:val="both"/>
        <w:rPr>
          <w:rFonts w:ascii="Arial" w:hAnsi="Arial" w:cs="Arial"/>
          <w:i/>
          <w:sz w:val="24"/>
          <w:szCs w:val="24"/>
        </w:rPr>
      </w:pPr>
      <w:r w:rsidRPr="00E86700">
        <w:rPr>
          <w:rFonts w:ascii="Arial" w:hAnsi="Arial" w:cs="Arial"/>
          <w:i/>
          <w:sz w:val="24"/>
          <w:szCs w:val="24"/>
        </w:rPr>
        <w:t>Is required by the approved repayment plan to remit US$1,405,989 in order for the sanctions to be lifted, as reflected below:</w:t>
      </w:r>
    </w:p>
    <w:p w:rsidR="00682EF0" w:rsidRPr="00E86700" w:rsidRDefault="00682EF0" w:rsidP="00682EF0">
      <w:pPr>
        <w:pStyle w:val="ListParagraph"/>
        <w:rPr>
          <w:rFonts w:ascii="Arial" w:hAnsi="Arial" w:cs="Arial"/>
          <w:i/>
          <w:sz w:val="24"/>
          <w:szCs w:val="24"/>
        </w:rPr>
      </w:pPr>
    </w:p>
    <w:p w:rsidR="00682EF0" w:rsidRPr="00E86700" w:rsidRDefault="00682EF0" w:rsidP="00682EF0">
      <w:pPr>
        <w:rPr>
          <w:rFonts w:ascii="Arial" w:hAnsi="Arial" w:cs="Arial"/>
          <w:i/>
          <w:sz w:val="24"/>
          <w:szCs w:val="24"/>
        </w:rPr>
      </w:pPr>
      <w:r w:rsidRPr="00E86700">
        <w:rPr>
          <w:rFonts w:ascii="Arial" w:hAnsi="Arial" w:cs="Arial"/>
          <w:i/>
          <w:sz w:val="24"/>
          <w:szCs w:val="24"/>
        </w:rPr>
        <w:object w:dxaOrig="8350" w:dyaOrig="6778">
          <v:shape id="_x0000_i1030" type="#_x0000_t75" style="width:417.75pt;height:339pt" o:ole="">
            <v:imagedata r:id="rId25" o:title=""/>
          </v:shape>
          <o:OLEObject Type="Embed" ProgID="Excel.Sheet.12" ShapeID="_x0000_i1030" DrawAspect="Content" ObjectID="_1633037022" r:id="rId26"/>
        </w:object>
      </w:r>
    </w:p>
    <w:p w:rsidR="00682EF0" w:rsidRPr="00E86700" w:rsidRDefault="00682EF0" w:rsidP="00682EF0">
      <w:pPr>
        <w:rPr>
          <w:rFonts w:ascii="Arial" w:hAnsi="Arial" w:cs="Arial"/>
          <w:i/>
          <w:sz w:val="24"/>
          <w:szCs w:val="24"/>
        </w:rPr>
      </w:pPr>
    </w:p>
    <w:p w:rsidR="00682EF0" w:rsidRPr="00E86700" w:rsidRDefault="00682EF0" w:rsidP="00682EF0">
      <w:pPr>
        <w:rPr>
          <w:rFonts w:ascii="Arial" w:hAnsi="Arial" w:cs="Arial"/>
          <w:i/>
          <w:sz w:val="24"/>
          <w:szCs w:val="24"/>
        </w:rPr>
      </w:pPr>
    </w:p>
    <w:p w:rsidR="00682EF0" w:rsidRPr="00E86700" w:rsidRDefault="00FD3631" w:rsidP="00696016">
      <w:pPr>
        <w:pStyle w:val="ListParagraph"/>
        <w:numPr>
          <w:ilvl w:val="0"/>
          <w:numId w:val="26"/>
        </w:numPr>
        <w:tabs>
          <w:tab w:val="left" w:pos="720"/>
        </w:tabs>
        <w:ind w:left="0" w:firstLine="0"/>
        <w:jc w:val="both"/>
        <w:rPr>
          <w:rFonts w:ascii="Arial" w:hAnsi="Arial" w:cs="Arial"/>
          <w:i/>
          <w:sz w:val="24"/>
          <w:szCs w:val="24"/>
        </w:rPr>
      </w:pPr>
      <w:r w:rsidRPr="00E86700">
        <w:rPr>
          <w:rFonts w:ascii="Arial" w:hAnsi="Arial" w:cs="Arial"/>
          <w:i/>
          <w:sz w:val="24"/>
          <w:szCs w:val="24"/>
        </w:rPr>
        <w:t xml:space="preserve">That </w:t>
      </w:r>
      <w:r w:rsidR="00682EF0" w:rsidRPr="00E86700">
        <w:rPr>
          <w:rFonts w:ascii="Arial" w:hAnsi="Arial" w:cs="Arial"/>
          <w:i/>
          <w:sz w:val="24"/>
          <w:szCs w:val="24"/>
        </w:rPr>
        <w:t>Sub Committee on Audit and Budgetary matters is invited to note that as of 30 September 2019, Libya:</w:t>
      </w:r>
    </w:p>
    <w:p w:rsidR="00682EF0" w:rsidRPr="00E86700" w:rsidRDefault="00682EF0" w:rsidP="00682EF0">
      <w:pPr>
        <w:jc w:val="both"/>
        <w:rPr>
          <w:rFonts w:ascii="Arial" w:hAnsi="Arial" w:cs="Arial"/>
          <w:i/>
          <w:sz w:val="24"/>
          <w:szCs w:val="24"/>
        </w:rPr>
      </w:pPr>
    </w:p>
    <w:p w:rsidR="00682EF0" w:rsidRPr="00E86700" w:rsidRDefault="00682EF0" w:rsidP="00231A0B">
      <w:pPr>
        <w:pStyle w:val="ListParagraph"/>
        <w:numPr>
          <w:ilvl w:val="0"/>
          <w:numId w:val="16"/>
        </w:numPr>
        <w:jc w:val="both"/>
        <w:rPr>
          <w:rFonts w:ascii="Arial" w:hAnsi="Arial" w:cs="Arial"/>
          <w:i/>
          <w:sz w:val="24"/>
          <w:szCs w:val="24"/>
        </w:rPr>
      </w:pPr>
      <w:r w:rsidRPr="00E86700">
        <w:rPr>
          <w:rFonts w:ascii="Arial" w:hAnsi="Arial" w:cs="Arial"/>
          <w:i/>
          <w:sz w:val="24"/>
          <w:szCs w:val="24"/>
        </w:rPr>
        <w:t>Has not adhered to an equal annual instalment plan, approved by the Authority, with a total of US$ 1,553,286 in arrears (Condition 1 of the agreement).</w:t>
      </w:r>
    </w:p>
    <w:p w:rsidR="00682EF0" w:rsidRPr="00E86700" w:rsidRDefault="00682EF0" w:rsidP="00682EF0">
      <w:pPr>
        <w:pStyle w:val="ListParagraph"/>
        <w:ind w:left="1440"/>
        <w:jc w:val="both"/>
        <w:rPr>
          <w:rFonts w:ascii="Arial" w:hAnsi="Arial" w:cs="Arial"/>
          <w:i/>
          <w:sz w:val="24"/>
          <w:szCs w:val="24"/>
        </w:rPr>
      </w:pPr>
    </w:p>
    <w:p w:rsidR="00682EF0" w:rsidRPr="00E86700" w:rsidRDefault="00682EF0" w:rsidP="00231A0B">
      <w:pPr>
        <w:pStyle w:val="ListParagraph"/>
        <w:numPr>
          <w:ilvl w:val="0"/>
          <w:numId w:val="16"/>
        </w:numPr>
        <w:jc w:val="both"/>
        <w:rPr>
          <w:rFonts w:ascii="Arial" w:hAnsi="Arial" w:cs="Arial"/>
          <w:i/>
          <w:sz w:val="24"/>
          <w:szCs w:val="24"/>
        </w:rPr>
      </w:pPr>
      <w:r w:rsidRPr="00E86700">
        <w:rPr>
          <w:rFonts w:ascii="Arial" w:hAnsi="Arial" w:cs="Arial"/>
          <w:i/>
          <w:sz w:val="24"/>
          <w:szCs w:val="24"/>
        </w:rPr>
        <w:t xml:space="preserve">Has not kept assessed annual Member States contributions kept up to date -  2017: US$1,899,511; 2018: US$1,899,511; 2019: US$1,219,217 Condition 2 of the agreement) </w:t>
      </w:r>
    </w:p>
    <w:p w:rsidR="00682EF0" w:rsidRPr="00E86700" w:rsidRDefault="00682EF0" w:rsidP="00231A0B">
      <w:pPr>
        <w:pStyle w:val="ListParagraph"/>
        <w:numPr>
          <w:ilvl w:val="0"/>
          <w:numId w:val="16"/>
        </w:numPr>
        <w:jc w:val="both"/>
        <w:rPr>
          <w:rFonts w:ascii="Arial" w:hAnsi="Arial" w:cs="Arial"/>
          <w:i/>
          <w:sz w:val="24"/>
          <w:szCs w:val="24"/>
        </w:rPr>
      </w:pPr>
      <w:r w:rsidRPr="00E86700">
        <w:rPr>
          <w:rFonts w:ascii="Arial" w:hAnsi="Arial" w:cs="Arial"/>
          <w:i/>
          <w:sz w:val="24"/>
          <w:szCs w:val="24"/>
        </w:rPr>
        <w:t>Failure to adhere to above conditions has automatically invoked sanctions, as stipulated by the Authority (Condition 3 of the agreement)</w:t>
      </w:r>
    </w:p>
    <w:p w:rsidR="00682EF0" w:rsidRPr="00E86700" w:rsidRDefault="00682EF0" w:rsidP="00682EF0">
      <w:pPr>
        <w:pStyle w:val="ListParagraph"/>
        <w:ind w:left="1440"/>
        <w:jc w:val="both"/>
        <w:rPr>
          <w:rFonts w:ascii="Arial" w:hAnsi="Arial" w:cs="Arial"/>
          <w:i/>
          <w:sz w:val="24"/>
          <w:szCs w:val="24"/>
        </w:rPr>
      </w:pPr>
    </w:p>
    <w:p w:rsidR="00682EF0" w:rsidRPr="00E86700" w:rsidRDefault="00682EF0" w:rsidP="00231A0B">
      <w:pPr>
        <w:pStyle w:val="ListParagraph"/>
        <w:numPr>
          <w:ilvl w:val="0"/>
          <w:numId w:val="15"/>
        </w:numPr>
        <w:jc w:val="both"/>
        <w:rPr>
          <w:rFonts w:ascii="Arial" w:hAnsi="Arial" w:cs="Arial"/>
          <w:i/>
          <w:sz w:val="24"/>
          <w:szCs w:val="24"/>
        </w:rPr>
      </w:pPr>
      <w:r w:rsidRPr="00E86700">
        <w:rPr>
          <w:rFonts w:ascii="Arial" w:hAnsi="Arial" w:cs="Arial"/>
          <w:i/>
          <w:sz w:val="24"/>
          <w:szCs w:val="24"/>
        </w:rPr>
        <w:t>Is required by the approved repayment plan to remit US$6,571,525 in order for the sanctions to be lifted, as reflected below:</w:t>
      </w:r>
    </w:p>
    <w:p w:rsidR="00682EF0" w:rsidRPr="00E86700" w:rsidRDefault="00682EF0" w:rsidP="00682EF0">
      <w:pPr>
        <w:pStyle w:val="ListParagraph"/>
        <w:ind w:left="1440"/>
        <w:jc w:val="both"/>
        <w:rPr>
          <w:rFonts w:ascii="Arial" w:hAnsi="Arial" w:cs="Arial"/>
          <w:sz w:val="24"/>
          <w:szCs w:val="24"/>
        </w:rPr>
      </w:pPr>
    </w:p>
    <w:p w:rsidR="00682EF0" w:rsidRPr="00E86700" w:rsidRDefault="00682EF0" w:rsidP="00682EF0">
      <w:pPr>
        <w:pStyle w:val="ListParagraph"/>
        <w:ind w:left="0"/>
        <w:jc w:val="both"/>
        <w:rPr>
          <w:rFonts w:ascii="Arial" w:hAnsi="Arial" w:cs="Arial"/>
          <w:sz w:val="24"/>
          <w:szCs w:val="24"/>
        </w:rPr>
      </w:pPr>
      <w:r w:rsidRPr="00E86700">
        <w:rPr>
          <w:rFonts w:ascii="Arial" w:hAnsi="Arial" w:cs="Arial"/>
          <w:sz w:val="24"/>
          <w:szCs w:val="24"/>
        </w:rPr>
        <w:object w:dxaOrig="8902" w:dyaOrig="3542">
          <v:shape id="_x0000_i1031" type="#_x0000_t75" style="width:444.75pt;height:177.75pt" o:ole="">
            <v:imagedata r:id="rId27" o:title=""/>
          </v:shape>
          <o:OLEObject Type="Embed" ProgID="Excel.Sheet.12" ShapeID="_x0000_i1031" DrawAspect="Content" ObjectID="_1633037023" r:id="rId28"/>
        </w:object>
      </w:r>
    </w:p>
    <w:p w:rsidR="00052EDD" w:rsidRDefault="00052EDD" w:rsidP="00566B9A"/>
    <w:p w:rsidR="00052EDD" w:rsidRPr="005846BD" w:rsidRDefault="00696016" w:rsidP="00052EDD">
      <w:pPr>
        <w:pStyle w:val="Heading3"/>
        <w:numPr>
          <w:ilvl w:val="1"/>
          <w:numId w:val="3"/>
        </w:numPr>
        <w:ind w:left="720"/>
        <w:jc w:val="both"/>
        <w:rPr>
          <w:rFonts w:ascii="Arial" w:eastAsiaTheme="minorHAnsi" w:hAnsi="Arial" w:cs="Arial"/>
          <w:b/>
          <w:color w:val="auto"/>
        </w:rPr>
      </w:pPr>
      <w:bookmarkStart w:id="24" w:name="_Toc22370825"/>
      <w:r>
        <w:rPr>
          <w:rFonts w:ascii="Arial" w:eastAsiaTheme="minorHAnsi" w:hAnsi="Arial" w:cs="Arial"/>
          <w:b/>
          <w:color w:val="auto"/>
        </w:rPr>
        <w:t>S</w:t>
      </w:r>
      <w:r w:rsidR="00052EDD" w:rsidRPr="005846BD">
        <w:rPr>
          <w:rFonts w:ascii="Arial" w:eastAsiaTheme="minorHAnsi" w:hAnsi="Arial" w:cs="Arial"/>
          <w:b/>
          <w:color w:val="auto"/>
        </w:rPr>
        <w:t>anctions and penalties, as decided by the Authority</w:t>
      </w:r>
      <w:bookmarkEnd w:id="24"/>
    </w:p>
    <w:p w:rsidR="00696016" w:rsidRDefault="00696016" w:rsidP="00696016"/>
    <w:p w:rsidR="00696016" w:rsidRPr="00696016" w:rsidRDefault="00696016" w:rsidP="00696016">
      <w:pPr>
        <w:pStyle w:val="ListParagraph"/>
        <w:numPr>
          <w:ilvl w:val="0"/>
          <w:numId w:val="26"/>
        </w:numPr>
        <w:tabs>
          <w:tab w:val="left" w:pos="720"/>
        </w:tabs>
        <w:ind w:left="0" w:firstLine="0"/>
        <w:jc w:val="both"/>
        <w:rPr>
          <w:rFonts w:ascii="Arial" w:hAnsi="Arial" w:cs="Arial"/>
          <w:i/>
          <w:sz w:val="24"/>
          <w:szCs w:val="24"/>
        </w:rPr>
      </w:pPr>
      <w:r w:rsidRPr="00696016">
        <w:rPr>
          <w:rFonts w:ascii="Arial" w:hAnsi="Arial" w:cs="Arial"/>
          <w:i/>
          <w:sz w:val="24"/>
          <w:szCs w:val="24"/>
        </w:rPr>
        <w:t>The Sub Committee on Audit and Budgetary matters also recommends the following: - The Sub Committee on Audit and Budgetary matters also recommends that all sanctions and penalties, as decided by the Authority be applied consistently.</w:t>
      </w:r>
    </w:p>
    <w:p w:rsidR="00052EDD" w:rsidRPr="005846BD" w:rsidRDefault="00052EDD" w:rsidP="00566B9A"/>
    <w:p w:rsidR="00052EDD" w:rsidRPr="005846BD" w:rsidRDefault="00E86700" w:rsidP="00052EDD">
      <w:pPr>
        <w:pStyle w:val="Heading3"/>
        <w:numPr>
          <w:ilvl w:val="1"/>
          <w:numId w:val="3"/>
        </w:numPr>
        <w:ind w:left="720"/>
        <w:jc w:val="both"/>
        <w:rPr>
          <w:rFonts w:ascii="Arial" w:hAnsi="Arial" w:cs="Arial"/>
          <w:b/>
          <w:color w:val="auto"/>
        </w:rPr>
      </w:pPr>
      <w:bookmarkStart w:id="25" w:name="_Toc22370826"/>
      <w:r w:rsidRPr="005846BD">
        <w:rPr>
          <w:rFonts w:ascii="Arial" w:hAnsi="Arial" w:cs="Arial"/>
          <w:b/>
          <w:color w:val="000000" w:themeColor="text1"/>
        </w:rPr>
        <w:t>Tunisia and Somalia</w:t>
      </w:r>
      <w:bookmarkEnd w:id="25"/>
    </w:p>
    <w:p w:rsidR="00052EDD" w:rsidRDefault="00052EDD" w:rsidP="00566B9A"/>
    <w:p w:rsidR="00566B9A" w:rsidRPr="00052EDD" w:rsidRDefault="00566B9A" w:rsidP="00696016">
      <w:pPr>
        <w:pStyle w:val="ListParagraph"/>
        <w:numPr>
          <w:ilvl w:val="0"/>
          <w:numId w:val="26"/>
        </w:numPr>
        <w:tabs>
          <w:tab w:val="left" w:pos="720"/>
        </w:tabs>
        <w:ind w:left="0" w:firstLine="0"/>
        <w:jc w:val="both"/>
        <w:rPr>
          <w:rFonts w:ascii="Arial" w:hAnsi="Arial" w:cs="Arial"/>
          <w:i/>
          <w:sz w:val="24"/>
          <w:szCs w:val="24"/>
        </w:rPr>
      </w:pPr>
      <w:r w:rsidRPr="00052EDD">
        <w:rPr>
          <w:rFonts w:ascii="Arial" w:hAnsi="Arial" w:cs="Arial"/>
          <w:i/>
          <w:sz w:val="24"/>
          <w:szCs w:val="24"/>
        </w:rPr>
        <w:t xml:space="preserve">The Sub Committee on Audit and Budgetary matters also recommends the following: - </w:t>
      </w:r>
    </w:p>
    <w:p w:rsidR="00566B9A" w:rsidRPr="00052EDD" w:rsidRDefault="00566B9A" w:rsidP="00682EF0">
      <w:pPr>
        <w:pStyle w:val="ListParagraph"/>
        <w:ind w:left="0"/>
        <w:jc w:val="both"/>
        <w:rPr>
          <w:rFonts w:ascii="Arial" w:hAnsi="Arial" w:cs="Arial"/>
          <w:i/>
          <w:sz w:val="24"/>
          <w:szCs w:val="24"/>
        </w:rPr>
      </w:pPr>
    </w:p>
    <w:p w:rsidR="00566B9A" w:rsidRPr="00052EDD" w:rsidRDefault="00566B9A" w:rsidP="00566B9A">
      <w:pPr>
        <w:pStyle w:val="ListParagraph"/>
        <w:numPr>
          <w:ilvl w:val="0"/>
          <w:numId w:val="24"/>
        </w:numPr>
        <w:tabs>
          <w:tab w:val="left" w:pos="1440"/>
        </w:tabs>
        <w:ind w:left="1440"/>
        <w:jc w:val="both"/>
        <w:rPr>
          <w:rFonts w:ascii="Arial" w:hAnsi="Arial" w:cs="Arial"/>
          <w:i/>
          <w:sz w:val="24"/>
          <w:szCs w:val="24"/>
        </w:rPr>
      </w:pPr>
      <w:r w:rsidRPr="00052EDD">
        <w:rPr>
          <w:rFonts w:ascii="Arial" w:hAnsi="Arial" w:cs="Arial"/>
          <w:i/>
          <w:sz w:val="24"/>
          <w:szCs w:val="24"/>
        </w:rPr>
        <w:t xml:space="preserve">The amount due from Tunisia is reduced from US$1,878,879 to US$1,001,113 as Tunisia submitted the instrument of ratification to become a Member State of COMESA in June 2019. </w:t>
      </w:r>
    </w:p>
    <w:p w:rsidR="00566B9A" w:rsidRPr="00052EDD" w:rsidRDefault="00566B9A" w:rsidP="00566B9A">
      <w:pPr>
        <w:pStyle w:val="ListParagraph"/>
        <w:tabs>
          <w:tab w:val="left" w:pos="1440"/>
        </w:tabs>
        <w:ind w:left="1440"/>
        <w:jc w:val="both"/>
        <w:rPr>
          <w:rFonts w:ascii="Arial" w:hAnsi="Arial" w:cs="Arial"/>
          <w:i/>
          <w:sz w:val="24"/>
          <w:szCs w:val="24"/>
        </w:rPr>
      </w:pPr>
    </w:p>
    <w:p w:rsidR="00566B9A" w:rsidRPr="00052EDD" w:rsidRDefault="00566B9A" w:rsidP="005846BD">
      <w:pPr>
        <w:pStyle w:val="ListParagraph"/>
        <w:numPr>
          <w:ilvl w:val="0"/>
          <w:numId w:val="24"/>
        </w:numPr>
        <w:tabs>
          <w:tab w:val="left" w:pos="1440"/>
        </w:tabs>
        <w:ind w:left="1440"/>
        <w:jc w:val="both"/>
        <w:rPr>
          <w:rFonts w:ascii="Arial" w:hAnsi="Arial" w:cs="Arial"/>
          <w:i/>
          <w:sz w:val="24"/>
          <w:szCs w:val="24"/>
        </w:rPr>
      </w:pPr>
      <w:r w:rsidRPr="00052EDD">
        <w:rPr>
          <w:rFonts w:ascii="Arial" w:hAnsi="Arial" w:cs="Arial"/>
          <w:i/>
          <w:sz w:val="24"/>
          <w:szCs w:val="24"/>
        </w:rPr>
        <w:t>The amount due from Somalia of US$174,895 is not collectible as of 30 September 2019, as the Member State is yet to submit instrument of ratification to become a Member State of COMESA.</w:t>
      </w:r>
    </w:p>
    <w:sectPr w:rsidR="00566B9A" w:rsidRPr="00052EDD" w:rsidSect="00052EDD">
      <w:headerReference w:type="even"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381" w:rsidRDefault="004C3381" w:rsidP="002D52E4">
      <w:r>
        <w:separator/>
      </w:r>
    </w:p>
  </w:endnote>
  <w:endnote w:type="continuationSeparator" w:id="0">
    <w:p w:rsidR="004C3381" w:rsidRDefault="004C3381" w:rsidP="002D5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Helvetica Neue">
    <w:altName w:val="Arial"/>
    <w:charset w:val="00"/>
    <w:family w:val="auto"/>
    <w:pitch w:val="variable"/>
    <w:sig w:usb0="E50002FF" w:usb1="500079DB" w:usb2="00000012"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381" w:rsidRDefault="004C3381" w:rsidP="002D52E4">
      <w:r>
        <w:separator/>
      </w:r>
    </w:p>
  </w:footnote>
  <w:footnote w:type="continuationSeparator" w:id="0">
    <w:p w:rsidR="004C3381" w:rsidRDefault="004C3381" w:rsidP="002D5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CBF" w:rsidRPr="002B472B" w:rsidRDefault="00C31CBF" w:rsidP="00C31CBF">
    <w:pPr>
      <w:pStyle w:val="Header"/>
      <w:jc w:val="right"/>
      <w:rPr>
        <w:rFonts w:ascii="Arial" w:hAnsi="Arial" w:cs="Arial"/>
        <w:sz w:val="20"/>
        <w:szCs w:val="20"/>
      </w:rPr>
    </w:pPr>
    <w:r w:rsidRPr="002B472B">
      <w:rPr>
        <w:rFonts w:ascii="Arial" w:hAnsi="Arial" w:cs="Arial"/>
        <w:sz w:val="20"/>
        <w:szCs w:val="20"/>
      </w:rPr>
      <w:t>CS/</w:t>
    </w:r>
    <w:r>
      <w:rPr>
        <w:rFonts w:ascii="Arial" w:hAnsi="Arial" w:cs="Arial"/>
        <w:sz w:val="20"/>
        <w:szCs w:val="20"/>
      </w:rPr>
      <w:t>ADM/SC/XXII/5.1A</w:t>
    </w:r>
  </w:p>
  <w:p w:rsidR="005846BD" w:rsidRDefault="00C31CBF" w:rsidP="00C31CBF">
    <w:pPr>
      <w:pStyle w:val="Header"/>
      <w:jc w:val="right"/>
    </w:pPr>
    <w:r>
      <w:rPr>
        <w:rFonts w:ascii="Arial" w:hAnsi="Arial" w:cs="Arial"/>
        <w:sz w:val="20"/>
        <w:szCs w:val="20"/>
      </w:rPr>
      <w:tab/>
    </w:r>
    <w:r w:rsidRPr="002B472B">
      <w:rPr>
        <w:rFonts w:ascii="Arial" w:hAnsi="Arial" w:cs="Arial"/>
        <w:sz w:val="20"/>
        <w:szCs w:val="20"/>
      </w:rPr>
      <w:t>Page</w:t>
    </w:r>
    <w:r>
      <w:rPr>
        <w:rFonts w:ascii="Arial" w:hAnsi="Arial" w:cs="Arial"/>
        <w:sz w:val="20"/>
        <w:szCs w:val="20"/>
      </w:rPr>
      <w:t xml:space="preserve"> </w:t>
    </w:r>
    <w:r w:rsidRPr="002B472B">
      <w:rPr>
        <w:rFonts w:ascii="Arial" w:hAnsi="Arial" w:cs="Arial"/>
        <w:sz w:val="20"/>
        <w:szCs w:val="20"/>
      </w:rPr>
      <w:fldChar w:fldCharType="begin"/>
    </w:r>
    <w:r w:rsidRPr="002B472B">
      <w:rPr>
        <w:rFonts w:ascii="Arial" w:hAnsi="Arial" w:cs="Arial"/>
        <w:sz w:val="20"/>
        <w:szCs w:val="20"/>
      </w:rPr>
      <w:instrText xml:space="preserve"> PAGE   \* MERGEFORMAT </w:instrText>
    </w:r>
    <w:r w:rsidRPr="002B472B">
      <w:rPr>
        <w:rFonts w:ascii="Arial" w:hAnsi="Arial" w:cs="Arial"/>
        <w:sz w:val="20"/>
        <w:szCs w:val="20"/>
      </w:rPr>
      <w:fldChar w:fldCharType="separate"/>
    </w:r>
    <w:r>
      <w:rPr>
        <w:rFonts w:ascii="Arial" w:hAnsi="Arial" w:cs="Arial"/>
        <w:sz w:val="20"/>
        <w:szCs w:val="20"/>
      </w:rPr>
      <w:t>0</w:t>
    </w:r>
    <w:r w:rsidRPr="002B472B">
      <w:rPr>
        <w:rFonts w:ascii="Arial" w:hAnsi="Arial" w:cs="Arial"/>
        <w:noProof/>
        <w:sz w:val="20"/>
        <w:szCs w:val="20"/>
      </w:rPr>
      <w:fldChar w:fldCharType="end"/>
    </w:r>
  </w:p>
  <w:p w:rsidR="005846BD" w:rsidRDefault="005846BD" w:rsidP="003A129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CBF" w:rsidRPr="002B472B" w:rsidRDefault="00C31CBF" w:rsidP="00C31CBF">
    <w:pPr>
      <w:pStyle w:val="Header"/>
      <w:jc w:val="right"/>
      <w:rPr>
        <w:rFonts w:ascii="Arial" w:hAnsi="Arial" w:cs="Arial"/>
        <w:sz w:val="20"/>
        <w:szCs w:val="20"/>
      </w:rPr>
    </w:pPr>
    <w:r w:rsidRPr="002B472B">
      <w:rPr>
        <w:rFonts w:ascii="Arial" w:hAnsi="Arial" w:cs="Arial"/>
        <w:sz w:val="20"/>
        <w:szCs w:val="20"/>
      </w:rPr>
      <w:t>CS/</w:t>
    </w:r>
    <w:r>
      <w:rPr>
        <w:rFonts w:ascii="Arial" w:hAnsi="Arial" w:cs="Arial"/>
        <w:sz w:val="20"/>
        <w:szCs w:val="20"/>
      </w:rPr>
      <w:t>ADM/SC/XXII/5.1A</w:t>
    </w:r>
  </w:p>
  <w:p w:rsidR="005846BD" w:rsidRDefault="00C31CBF" w:rsidP="00C31CBF">
    <w:pPr>
      <w:pStyle w:val="Header"/>
      <w:jc w:val="right"/>
    </w:pPr>
    <w:r>
      <w:rPr>
        <w:rFonts w:ascii="Arial" w:hAnsi="Arial" w:cs="Arial"/>
        <w:sz w:val="20"/>
        <w:szCs w:val="20"/>
      </w:rPr>
      <w:tab/>
    </w:r>
    <w:r w:rsidRPr="002B472B">
      <w:rPr>
        <w:rFonts w:ascii="Arial" w:hAnsi="Arial" w:cs="Arial"/>
        <w:sz w:val="20"/>
        <w:szCs w:val="20"/>
      </w:rPr>
      <w:t>Page</w:t>
    </w:r>
    <w:r>
      <w:rPr>
        <w:rFonts w:ascii="Arial" w:hAnsi="Arial" w:cs="Arial"/>
        <w:sz w:val="20"/>
        <w:szCs w:val="20"/>
      </w:rPr>
      <w:t xml:space="preserve"> </w:t>
    </w:r>
    <w:r w:rsidRPr="002B472B">
      <w:rPr>
        <w:rFonts w:ascii="Arial" w:hAnsi="Arial" w:cs="Arial"/>
        <w:sz w:val="20"/>
        <w:szCs w:val="20"/>
      </w:rPr>
      <w:fldChar w:fldCharType="begin"/>
    </w:r>
    <w:r w:rsidRPr="002B472B">
      <w:rPr>
        <w:rFonts w:ascii="Arial" w:hAnsi="Arial" w:cs="Arial"/>
        <w:sz w:val="20"/>
        <w:szCs w:val="20"/>
      </w:rPr>
      <w:instrText xml:space="preserve"> PAGE   \* MERGEFORMAT </w:instrText>
    </w:r>
    <w:r w:rsidRPr="002B472B">
      <w:rPr>
        <w:rFonts w:ascii="Arial" w:hAnsi="Arial" w:cs="Arial"/>
        <w:sz w:val="20"/>
        <w:szCs w:val="20"/>
      </w:rPr>
      <w:fldChar w:fldCharType="separate"/>
    </w:r>
    <w:r>
      <w:rPr>
        <w:rFonts w:ascii="Arial" w:hAnsi="Arial" w:cs="Arial"/>
        <w:sz w:val="20"/>
        <w:szCs w:val="20"/>
      </w:rPr>
      <w:t>0</w:t>
    </w:r>
    <w:r w:rsidRPr="002B472B">
      <w:rPr>
        <w:rFonts w:ascii="Arial" w:hAnsi="Arial" w:cs="Arial"/>
        <w:noProof/>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6BD" w:rsidRPr="002B472B" w:rsidRDefault="005846BD" w:rsidP="00626ED5">
    <w:pPr>
      <w:pStyle w:val="Header"/>
      <w:jc w:val="right"/>
      <w:rPr>
        <w:rFonts w:ascii="Arial" w:hAnsi="Arial" w:cs="Arial"/>
        <w:sz w:val="20"/>
        <w:szCs w:val="20"/>
      </w:rPr>
    </w:pPr>
    <w:r w:rsidRPr="002B472B">
      <w:rPr>
        <w:rFonts w:ascii="Arial" w:hAnsi="Arial" w:cs="Arial"/>
        <w:sz w:val="20"/>
        <w:szCs w:val="20"/>
      </w:rPr>
      <w:t>CS/</w:t>
    </w:r>
    <w:r w:rsidR="00C31CBF">
      <w:rPr>
        <w:rFonts w:ascii="Arial" w:hAnsi="Arial" w:cs="Arial"/>
        <w:sz w:val="20"/>
        <w:szCs w:val="20"/>
      </w:rPr>
      <w:t>ADM/SC/XXII/5.1A</w:t>
    </w:r>
  </w:p>
  <w:p w:rsidR="005846BD" w:rsidRDefault="005846BD" w:rsidP="00626ED5">
    <w:pPr>
      <w:pStyle w:val="Header"/>
      <w:tabs>
        <w:tab w:val="clear" w:pos="4680"/>
      </w:tabs>
    </w:pPr>
    <w:r>
      <w:rPr>
        <w:rFonts w:ascii="Arial" w:hAnsi="Arial" w:cs="Arial"/>
        <w:sz w:val="20"/>
        <w:szCs w:val="20"/>
      </w:rPr>
      <w:tab/>
    </w:r>
    <w:r w:rsidRPr="002B472B">
      <w:rPr>
        <w:rFonts w:ascii="Arial" w:hAnsi="Arial" w:cs="Arial"/>
        <w:sz w:val="20"/>
        <w:szCs w:val="20"/>
      </w:rPr>
      <w:t>Page</w:t>
    </w:r>
    <w:r>
      <w:rPr>
        <w:rFonts w:ascii="Arial" w:hAnsi="Arial" w:cs="Arial"/>
        <w:sz w:val="20"/>
        <w:szCs w:val="20"/>
      </w:rPr>
      <w:t xml:space="preserve"> </w:t>
    </w:r>
    <w:r w:rsidRPr="002B472B">
      <w:rPr>
        <w:rFonts w:ascii="Arial" w:hAnsi="Arial" w:cs="Arial"/>
        <w:sz w:val="20"/>
        <w:szCs w:val="20"/>
      </w:rPr>
      <w:fldChar w:fldCharType="begin"/>
    </w:r>
    <w:r w:rsidRPr="002B472B">
      <w:rPr>
        <w:rFonts w:ascii="Arial" w:hAnsi="Arial" w:cs="Arial"/>
        <w:sz w:val="20"/>
        <w:szCs w:val="20"/>
      </w:rPr>
      <w:instrText xml:space="preserve"> PAGE   \* MERGEFORMAT </w:instrText>
    </w:r>
    <w:r w:rsidRPr="002B472B">
      <w:rPr>
        <w:rFonts w:ascii="Arial" w:hAnsi="Arial" w:cs="Arial"/>
        <w:sz w:val="20"/>
        <w:szCs w:val="20"/>
      </w:rPr>
      <w:fldChar w:fldCharType="separate"/>
    </w:r>
    <w:r>
      <w:rPr>
        <w:rFonts w:ascii="Arial" w:hAnsi="Arial" w:cs="Arial"/>
        <w:sz w:val="20"/>
        <w:szCs w:val="20"/>
      </w:rPr>
      <w:t>1</w:t>
    </w:r>
    <w:r w:rsidRPr="002B472B">
      <w:rPr>
        <w:rFonts w:ascii="Arial" w:hAnsi="Arial" w:cs="Arial"/>
        <w:noProof/>
        <w:sz w:val="20"/>
        <w:szCs w:val="20"/>
      </w:rPr>
      <w:fldChar w:fldCharType="end"/>
    </w:r>
    <w:r>
      <w:rPr>
        <w:rFonts w:ascii="Arial" w:hAnsi="Arial" w:cs="Arial"/>
        <w:noProof/>
        <w:sz w:val="20"/>
        <w:szCs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CBF" w:rsidRPr="002B472B" w:rsidRDefault="00C31CBF" w:rsidP="00C31CBF">
    <w:pPr>
      <w:pStyle w:val="Header"/>
      <w:jc w:val="right"/>
      <w:rPr>
        <w:rFonts w:ascii="Arial" w:hAnsi="Arial" w:cs="Arial"/>
        <w:sz w:val="20"/>
        <w:szCs w:val="20"/>
      </w:rPr>
    </w:pPr>
    <w:r w:rsidRPr="002B472B">
      <w:rPr>
        <w:rFonts w:ascii="Arial" w:hAnsi="Arial" w:cs="Arial"/>
        <w:sz w:val="20"/>
        <w:szCs w:val="20"/>
      </w:rPr>
      <w:t>CS/</w:t>
    </w:r>
    <w:r>
      <w:rPr>
        <w:rFonts w:ascii="Arial" w:hAnsi="Arial" w:cs="Arial"/>
        <w:sz w:val="20"/>
        <w:szCs w:val="20"/>
      </w:rPr>
      <w:t>ADM/SC/XXII/5.1A</w:t>
    </w:r>
  </w:p>
  <w:p w:rsidR="00C31CBF" w:rsidRDefault="00C31CBF" w:rsidP="00C31CBF">
    <w:pPr>
      <w:pStyle w:val="Header"/>
      <w:jc w:val="right"/>
    </w:pPr>
    <w:r>
      <w:rPr>
        <w:rFonts w:ascii="Arial" w:hAnsi="Arial" w:cs="Arial"/>
        <w:sz w:val="20"/>
        <w:szCs w:val="20"/>
      </w:rPr>
      <w:tab/>
    </w:r>
    <w:r w:rsidRPr="002B472B">
      <w:rPr>
        <w:rFonts w:ascii="Arial" w:hAnsi="Arial" w:cs="Arial"/>
        <w:sz w:val="20"/>
        <w:szCs w:val="20"/>
      </w:rPr>
      <w:t>Page</w:t>
    </w:r>
    <w:r>
      <w:rPr>
        <w:rFonts w:ascii="Arial" w:hAnsi="Arial" w:cs="Arial"/>
        <w:sz w:val="20"/>
        <w:szCs w:val="20"/>
      </w:rPr>
      <w:t xml:space="preserve"> </w:t>
    </w:r>
    <w:r w:rsidRPr="002B472B">
      <w:rPr>
        <w:rFonts w:ascii="Arial" w:hAnsi="Arial" w:cs="Arial"/>
        <w:sz w:val="20"/>
        <w:szCs w:val="20"/>
      </w:rPr>
      <w:fldChar w:fldCharType="begin"/>
    </w:r>
    <w:r w:rsidRPr="002B472B">
      <w:rPr>
        <w:rFonts w:ascii="Arial" w:hAnsi="Arial" w:cs="Arial"/>
        <w:sz w:val="20"/>
        <w:szCs w:val="20"/>
      </w:rPr>
      <w:instrText xml:space="preserve"> PAGE   \* MERGEFORMAT </w:instrText>
    </w:r>
    <w:r w:rsidRPr="002B472B">
      <w:rPr>
        <w:rFonts w:ascii="Arial" w:hAnsi="Arial" w:cs="Arial"/>
        <w:sz w:val="20"/>
        <w:szCs w:val="20"/>
      </w:rPr>
      <w:fldChar w:fldCharType="separate"/>
    </w:r>
    <w:r>
      <w:rPr>
        <w:rFonts w:ascii="Arial" w:hAnsi="Arial" w:cs="Arial"/>
        <w:sz w:val="20"/>
        <w:szCs w:val="20"/>
      </w:rPr>
      <w:t>7</w:t>
    </w:r>
    <w:r w:rsidRPr="002B472B">
      <w:rPr>
        <w:rFonts w:ascii="Arial" w:hAnsi="Arial" w:cs="Arial"/>
        <w:noProof/>
        <w:sz w:val="20"/>
        <w:szCs w:val="20"/>
      </w:rPr>
      <w:fldChar w:fldCharType="end"/>
    </w:r>
  </w:p>
  <w:p w:rsidR="005846BD" w:rsidRPr="00C31CBF" w:rsidRDefault="005846BD" w:rsidP="00C31C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CBF" w:rsidRPr="002B472B" w:rsidRDefault="00C31CBF" w:rsidP="00C31CBF">
    <w:pPr>
      <w:pStyle w:val="Header"/>
      <w:jc w:val="right"/>
      <w:rPr>
        <w:rFonts w:ascii="Arial" w:hAnsi="Arial" w:cs="Arial"/>
        <w:sz w:val="20"/>
        <w:szCs w:val="20"/>
      </w:rPr>
    </w:pPr>
    <w:r w:rsidRPr="002B472B">
      <w:rPr>
        <w:rFonts w:ascii="Arial" w:hAnsi="Arial" w:cs="Arial"/>
        <w:sz w:val="20"/>
        <w:szCs w:val="20"/>
      </w:rPr>
      <w:t>CS/</w:t>
    </w:r>
    <w:r>
      <w:rPr>
        <w:rFonts w:ascii="Arial" w:hAnsi="Arial" w:cs="Arial"/>
        <w:sz w:val="20"/>
        <w:szCs w:val="20"/>
      </w:rPr>
      <w:t>ADM/SC/XXII/5.1A</w:t>
    </w:r>
  </w:p>
  <w:p w:rsidR="00C31CBF" w:rsidRDefault="00C31CBF" w:rsidP="00C31CBF">
    <w:pPr>
      <w:pStyle w:val="Header"/>
      <w:jc w:val="right"/>
    </w:pPr>
    <w:r>
      <w:rPr>
        <w:rFonts w:ascii="Arial" w:hAnsi="Arial" w:cs="Arial"/>
        <w:sz w:val="20"/>
        <w:szCs w:val="20"/>
      </w:rPr>
      <w:tab/>
    </w:r>
    <w:r w:rsidRPr="002B472B">
      <w:rPr>
        <w:rFonts w:ascii="Arial" w:hAnsi="Arial" w:cs="Arial"/>
        <w:sz w:val="20"/>
        <w:szCs w:val="20"/>
      </w:rPr>
      <w:t>Page</w:t>
    </w:r>
    <w:r>
      <w:rPr>
        <w:rFonts w:ascii="Arial" w:hAnsi="Arial" w:cs="Arial"/>
        <w:sz w:val="20"/>
        <w:szCs w:val="20"/>
      </w:rPr>
      <w:t xml:space="preserve"> </w:t>
    </w:r>
    <w:r w:rsidRPr="002B472B">
      <w:rPr>
        <w:rFonts w:ascii="Arial" w:hAnsi="Arial" w:cs="Arial"/>
        <w:sz w:val="20"/>
        <w:szCs w:val="20"/>
      </w:rPr>
      <w:fldChar w:fldCharType="begin"/>
    </w:r>
    <w:r w:rsidRPr="002B472B">
      <w:rPr>
        <w:rFonts w:ascii="Arial" w:hAnsi="Arial" w:cs="Arial"/>
        <w:sz w:val="20"/>
        <w:szCs w:val="20"/>
      </w:rPr>
      <w:instrText xml:space="preserve"> PAGE   \* MERGEFORMAT </w:instrText>
    </w:r>
    <w:r w:rsidRPr="002B472B">
      <w:rPr>
        <w:rFonts w:ascii="Arial" w:hAnsi="Arial" w:cs="Arial"/>
        <w:sz w:val="20"/>
        <w:szCs w:val="20"/>
      </w:rPr>
      <w:fldChar w:fldCharType="separate"/>
    </w:r>
    <w:r>
      <w:rPr>
        <w:rFonts w:ascii="Arial" w:hAnsi="Arial" w:cs="Arial"/>
        <w:sz w:val="20"/>
        <w:szCs w:val="20"/>
      </w:rPr>
      <w:t>7</w:t>
    </w:r>
    <w:r w:rsidRPr="002B472B">
      <w:rPr>
        <w:rFonts w:ascii="Arial" w:hAnsi="Arial" w:cs="Arial"/>
        <w:noProof/>
        <w:sz w:val="20"/>
        <w:szCs w:val="20"/>
      </w:rPr>
      <w:fldChar w:fldCharType="end"/>
    </w:r>
  </w:p>
  <w:p w:rsidR="005846BD" w:rsidRDefault="005846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CBF" w:rsidRPr="002B472B" w:rsidRDefault="00C31CBF" w:rsidP="00C31CBF">
    <w:pPr>
      <w:pStyle w:val="Header"/>
      <w:jc w:val="right"/>
      <w:rPr>
        <w:rFonts w:ascii="Arial" w:hAnsi="Arial" w:cs="Arial"/>
        <w:sz w:val="20"/>
        <w:szCs w:val="20"/>
      </w:rPr>
    </w:pPr>
    <w:r w:rsidRPr="002B472B">
      <w:rPr>
        <w:rFonts w:ascii="Arial" w:hAnsi="Arial" w:cs="Arial"/>
        <w:sz w:val="20"/>
        <w:szCs w:val="20"/>
      </w:rPr>
      <w:t>CS/</w:t>
    </w:r>
    <w:r>
      <w:rPr>
        <w:rFonts w:ascii="Arial" w:hAnsi="Arial" w:cs="Arial"/>
        <w:sz w:val="20"/>
        <w:szCs w:val="20"/>
      </w:rPr>
      <w:t>ADM/SC/XXII/5.1A</w:t>
    </w:r>
  </w:p>
  <w:p w:rsidR="00C31CBF" w:rsidRDefault="00C31CBF" w:rsidP="00C31CBF">
    <w:pPr>
      <w:pStyle w:val="Header"/>
      <w:jc w:val="right"/>
    </w:pPr>
    <w:r>
      <w:rPr>
        <w:rFonts w:ascii="Arial" w:hAnsi="Arial" w:cs="Arial"/>
        <w:sz w:val="20"/>
        <w:szCs w:val="20"/>
      </w:rPr>
      <w:tab/>
    </w:r>
    <w:r w:rsidRPr="002B472B">
      <w:rPr>
        <w:rFonts w:ascii="Arial" w:hAnsi="Arial" w:cs="Arial"/>
        <w:sz w:val="20"/>
        <w:szCs w:val="20"/>
      </w:rPr>
      <w:t>Page</w:t>
    </w:r>
    <w:r>
      <w:rPr>
        <w:rFonts w:ascii="Arial" w:hAnsi="Arial" w:cs="Arial"/>
        <w:sz w:val="20"/>
        <w:szCs w:val="20"/>
      </w:rPr>
      <w:t xml:space="preserve"> </w:t>
    </w:r>
    <w:r w:rsidRPr="002B472B">
      <w:rPr>
        <w:rFonts w:ascii="Arial" w:hAnsi="Arial" w:cs="Arial"/>
        <w:sz w:val="20"/>
        <w:szCs w:val="20"/>
      </w:rPr>
      <w:fldChar w:fldCharType="begin"/>
    </w:r>
    <w:r w:rsidRPr="002B472B">
      <w:rPr>
        <w:rFonts w:ascii="Arial" w:hAnsi="Arial" w:cs="Arial"/>
        <w:sz w:val="20"/>
        <w:szCs w:val="20"/>
      </w:rPr>
      <w:instrText xml:space="preserve"> PAGE   \* MERGEFORMAT </w:instrText>
    </w:r>
    <w:r w:rsidRPr="002B472B">
      <w:rPr>
        <w:rFonts w:ascii="Arial" w:hAnsi="Arial" w:cs="Arial"/>
        <w:sz w:val="20"/>
        <w:szCs w:val="20"/>
      </w:rPr>
      <w:fldChar w:fldCharType="separate"/>
    </w:r>
    <w:r>
      <w:rPr>
        <w:rFonts w:ascii="Arial" w:hAnsi="Arial" w:cs="Arial"/>
        <w:sz w:val="20"/>
        <w:szCs w:val="20"/>
      </w:rPr>
      <w:t>7</w:t>
    </w:r>
    <w:r w:rsidRPr="002B472B">
      <w:rPr>
        <w:rFonts w:ascii="Arial" w:hAnsi="Arial" w:cs="Arial"/>
        <w:noProof/>
        <w:sz w:val="20"/>
        <w:szCs w:val="20"/>
      </w:rPr>
      <w:fldChar w:fldCharType="end"/>
    </w:r>
  </w:p>
  <w:p w:rsidR="005846BD" w:rsidRDefault="005846B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CBF" w:rsidRPr="002B472B" w:rsidRDefault="00C31CBF" w:rsidP="00C31CBF">
    <w:pPr>
      <w:pStyle w:val="Header"/>
      <w:jc w:val="right"/>
      <w:rPr>
        <w:rFonts w:ascii="Arial" w:hAnsi="Arial" w:cs="Arial"/>
        <w:sz w:val="20"/>
        <w:szCs w:val="20"/>
      </w:rPr>
    </w:pPr>
    <w:r w:rsidRPr="002B472B">
      <w:rPr>
        <w:rFonts w:ascii="Arial" w:hAnsi="Arial" w:cs="Arial"/>
        <w:sz w:val="20"/>
        <w:szCs w:val="20"/>
      </w:rPr>
      <w:t>CS/</w:t>
    </w:r>
    <w:r>
      <w:rPr>
        <w:rFonts w:ascii="Arial" w:hAnsi="Arial" w:cs="Arial"/>
        <w:sz w:val="20"/>
        <w:szCs w:val="20"/>
      </w:rPr>
      <w:t>ADM/SC/XXII/5.1A</w:t>
    </w:r>
  </w:p>
  <w:p w:rsidR="00C31CBF" w:rsidRDefault="00C31CBF" w:rsidP="00C31CBF">
    <w:pPr>
      <w:pStyle w:val="Header"/>
      <w:jc w:val="right"/>
    </w:pPr>
    <w:r>
      <w:rPr>
        <w:rFonts w:ascii="Arial" w:hAnsi="Arial" w:cs="Arial"/>
        <w:sz w:val="20"/>
        <w:szCs w:val="20"/>
      </w:rPr>
      <w:tab/>
    </w:r>
    <w:r w:rsidRPr="002B472B">
      <w:rPr>
        <w:rFonts w:ascii="Arial" w:hAnsi="Arial" w:cs="Arial"/>
        <w:sz w:val="20"/>
        <w:szCs w:val="20"/>
      </w:rPr>
      <w:t>Page</w:t>
    </w:r>
    <w:r>
      <w:rPr>
        <w:rFonts w:ascii="Arial" w:hAnsi="Arial" w:cs="Arial"/>
        <w:sz w:val="20"/>
        <w:szCs w:val="20"/>
      </w:rPr>
      <w:t xml:space="preserve"> </w:t>
    </w:r>
    <w:r w:rsidRPr="002B472B">
      <w:rPr>
        <w:rFonts w:ascii="Arial" w:hAnsi="Arial" w:cs="Arial"/>
        <w:sz w:val="20"/>
        <w:szCs w:val="20"/>
      </w:rPr>
      <w:fldChar w:fldCharType="begin"/>
    </w:r>
    <w:r w:rsidRPr="002B472B">
      <w:rPr>
        <w:rFonts w:ascii="Arial" w:hAnsi="Arial" w:cs="Arial"/>
        <w:sz w:val="20"/>
        <w:szCs w:val="20"/>
      </w:rPr>
      <w:instrText xml:space="preserve"> PAGE   \* MERGEFORMAT </w:instrText>
    </w:r>
    <w:r w:rsidRPr="002B472B">
      <w:rPr>
        <w:rFonts w:ascii="Arial" w:hAnsi="Arial" w:cs="Arial"/>
        <w:sz w:val="20"/>
        <w:szCs w:val="20"/>
      </w:rPr>
      <w:fldChar w:fldCharType="separate"/>
    </w:r>
    <w:r>
      <w:rPr>
        <w:rFonts w:ascii="Arial" w:hAnsi="Arial" w:cs="Arial"/>
        <w:sz w:val="20"/>
        <w:szCs w:val="20"/>
      </w:rPr>
      <w:t>7</w:t>
    </w:r>
    <w:r w:rsidRPr="002B472B">
      <w:rPr>
        <w:rFonts w:ascii="Arial" w:hAnsi="Arial" w:cs="Arial"/>
        <w:noProof/>
        <w:sz w:val="20"/>
        <w:szCs w:val="20"/>
      </w:rPr>
      <w:fldChar w:fldCharType="end"/>
    </w:r>
  </w:p>
  <w:p w:rsidR="005846BD" w:rsidRDefault="005846BD" w:rsidP="003A1298">
    <w:pPr>
      <w:pStyle w:val="Header"/>
    </w:pPr>
  </w:p>
  <w:p w:rsidR="005846BD" w:rsidRDefault="005846BD" w:rsidP="003A129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30E45"/>
    <w:multiLevelType w:val="hybridMultilevel"/>
    <w:tmpl w:val="07A470AC"/>
    <w:lvl w:ilvl="0" w:tplc="8C90E0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180AA4"/>
    <w:multiLevelType w:val="hybridMultilevel"/>
    <w:tmpl w:val="0B7C063C"/>
    <w:lvl w:ilvl="0" w:tplc="CCE056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15B88"/>
    <w:multiLevelType w:val="hybridMultilevel"/>
    <w:tmpl w:val="BABAF55C"/>
    <w:lvl w:ilvl="0" w:tplc="56A21184">
      <w:start w:val="1"/>
      <w:numFmt w:val="low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4685B"/>
    <w:multiLevelType w:val="hybridMultilevel"/>
    <w:tmpl w:val="D34C9CAE"/>
    <w:lvl w:ilvl="0" w:tplc="D122C0F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DC236E"/>
    <w:multiLevelType w:val="hybridMultilevel"/>
    <w:tmpl w:val="A3DCB38C"/>
    <w:lvl w:ilvl="0" w:tplc="A5820F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D1287"/>
    <w:multiLevelType w:val="hybridMultilevel"/>
    <w:tmpl w:val="A3DCB38C"/>
    <w:lvl w:ilvl="0" w:tplc="A5820F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5E2713"/>
    <w:multiLevelType w:val="hybridMultilevel"/>
    <w:tmpl w:val="8252E550"/>
    <w:lvl w:ilvl="0" w:tplc="60F031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658BB"/>
    <w:multiLevelType w:val="hybridMultilevel"/>
    <w:tmpl w:val="A7B69A36"/>
    <w:styleLink w:val="ImportedStyle1"/>
    <w:lvl w:ilvl="0" w:tplc="7D22121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ECF9D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22E534">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F8847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FCD70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106888">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6EDAC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98D12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AA8F70">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C7E0AA6"/>
    <w:multiLevelType w:val="hybridMultilevel"/>
    <w:tmpl w:val="A3DCB38C"/>
    <w:lvl w:ilvl="0" w:tplc="A5820F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A7783A"/>
    <w:multiLevelType w:val="hybridMultilevel"/>
    <w:tmpl w:val="9DA68344"/>
    <w:lvl w:ilvl="0" w:tplc="CBCE39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5C45FA"/>
    <w:multiLevelType w:val="hybridMultilevel"/>
    <w:tmpl w:val="996C38BE"/>
    <w:lvl w:ilvl="0" w:tplc="0E34313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1985A28"/>
    <w:multiLevelType w:val="hybridMultilevel"/>
    <w:tmpl w:val="A3DCB38C"/>
    <w:lvl w:ilvl="0" w:tplc="A5820F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1460CF"/>
    <w:multiLevelType w:val="multilevel"/>
    <w:tmpl w:val="309E82E0"/>
    <w:lvl w:ilvl="0">
      <w:start w:val="1"/>
      <w:numFmt w:val="decimal"/>
      <w:lvlText w:val="%1."/>
      <w:lvlJc w:val="left"/>
      <w:pPr>
        <w:ind w:left="720" w:hanging="360"/>
      </w:pPr>
    </w:lvl>
    <w:lvl w:ilvl="1">
      <w:start w:val="1"/>
      <w:numFmt w:val="decimal"/>
      <w:isLgl/>
      <w:lvlText w:val="%1.%2"/>
      <w:lvlJc w:val="left"/>
      <w:pPr>
        <w:ind w:left="756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25D615C"/>
    <w:multiLevelType w:val="hybridMultilevel"/>
    <w:tmpl w:val="47C83708"/>
    <w:lvl w:ilvl="0" w:tplc="A4803422">
      <w:start w:val="1"/>
      <w:numFmt w:val="lowerRoman"/>
      <w:lvlText w:val="(%1)"/>
      <w:lvlJc w:val="left"/>
      <w:pPr>
        <w:ind w:left="2160" w:hanging="720"/>
      </w:pPr>
      <w:rPr>
        <w:rFonts w:hint="default"/>
        <w:i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9A51F0D"/>
    <w:multiLevelType w:val="hybridMultilevel"/>
    <w:tmpl w:val="D34C9CAE"/>
    <w:lvl w:ilvl="0" w:tplc="D122C0F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3F5C92"/>
    <w:multiLevelType w:val="hybridMultilevel"/>
    <w:tmpl w:val="A3DCB38C"/>
    <w:lvl w:ilvl="0" w:tplc="A5820F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CB2297"/>
    <w:multiLevelType w:val="hybridMultilevel"/>
    <w:tmpl w:val="200E2E7E"/>
    <w:lvl w:ilvl="0" w:tplc="676E70F0">
      <w:start w:val="3"/>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76E13E8"/>
    <w:multiLevelType w:val="hybridMultilevel"/>
    <w:tmpl w:val="9DA68344"/>
    <w:lvl w:ilvl="0" w:tplc="CBCE39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813FB1"/>
    <w:multiLevelType w:val="hybridMultilevel"/>
    <w:tmpl w:val="D34C9CAE"/>
    <w:lvl w:ilvl="0" w:tplc="D122C0F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AB726B"/>
    <w:multiLevelType w:val="hybridMultilevel"/>
    <w:tmpl w:val="82882BFA"/>
    <w:lvl w:ilvl="0" w:tplc="364EDA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A831CE5"/>
    <w:multiLevelType w:val="hybridMultilevel"/>
    <w:tmpl w:val="6B52A1D0"/>
    <w:lvl w:ilvl="0" w:tplc="D3B440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BA97388"/>
    <w:multiLevelType w:val="hybridMultilevel"/>
    <w:tmpl w:val="2AF8F878"/>
    <w:lvl w:ilvl="0" w:tplc="BE7C36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2D201C"/>
    <w:multiLevelType w:val="hybridMultilevel"/>
    <w:tmpl w:val="8252E550"/>
    <w:lvl w:ilvl="0" w:tplc="60F031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5344B3"/>
    <w:multiLevelType w:val="hybridMultilevel"/>
    <w:tmpl w:val="7EFC220A"/>
    <w:lvl w:ilvl="0" w:tplc="45FEB7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ACF3523"/>
    <w:multiLevelType w:val="hybridMultilevel"/>
    <w:tmpl w:val="49640A46"/>
    <w:lvl w:ilvl="0" w:tplc="07B61F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C687C47"/>
    <w:multiLevelType w:val="hybridMultilevel"/>
    <w:tmpl w:val="791A3754"/>
    <w:lvl w:ilvl="0" w:tplc="EC46C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4"/>
  </w:num>
  <w:num w:numId="3">
    <w:abstractNumId w:val="12"/>
  </w:num>
  <w:num w:numId="4">
    <w:abstractNumId w:val="2"/>
  </w:num>
  <w:num w:numId="5">
    <w:abstractNumId w:val="19"/>
  </w:num>
  <w:num w:numId="6">
    <w:abstractNumId w:val="1"/>
  </w:num>
  <w:num w:numId="7">
    <w:abstractNumId w:val="16"/>
  </w:num>
  <w:num w:numId="8">
    <w:abstractNumId w:val="11"/>
  </w:num>
  <w:num w:numId="9">
    <w:abstractNumId w:val="4"/>
  </w:num>
  <w:num w:numId="10">
    <w:abstractNumId w:val="8"/>
  </w:num>
  <w:num w:numId="11">
    <w:abstractNumId w:val="5"/>
  </w:num>
  <w:num w:numId="12">
    <w:abstractNumId w:val="21"/>
  </w:num>
  <w:num w:numId="13">
    <w:abstractNumId w:val="20"/>
  </w:num>
  <w:num w:numId="14">
    <w:abstractNumId w:val="14"/>
  </w:num>
  <w:num w:numId="15">
    <w:abstractNumId w:val="18"/>
  </w:num>
  <w:num w:numId="16">
    <w:abstractNumId w:val="3"/>
  </w:num>
  <w:num w:numId="17">
    <w:abstractNumId w:val="10"/>
  </w:num>
  <w:num w:numId="18">
    <w:abstractNumId w:val="6"/>
  </w:num>
  <w:num w:numId="19">
    <w:abstractNumId w:val="22"/>
  </w:num>
  <w:num w:numId="20">
    <w:abstractNumId w:val="17"/>
  </w:num>
  <w:num w:numId="21">
    <w:abstractNumId w:val="9"/>
  </w:num>
  <w:num w:numId="22">
    <w:abstractNumId w:val="23"/>
  </w:num>
  <w:num w:numId="23">
    <w:abstractNumId w:val="25"/>
  </w:num>
  <w:num w:numId="24">
    <w:abstractNumId w:val="13"/>
  </w:num>
  <w:num w:numId="25">
    <w:abstractNumId w:val="0"/>
  </w:num>
  <w:num w:numId="26">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F9B"/>
    <w:rsid w:val="0003796E"/>
    <w:rsid w:val="00052EDD"/>
    <w:rsid w:val="000F0C87"/>
    <w:rsid w:val="000F310D"/>
    <w:rsid w:val="000F61E9"/>
    <w:rsid w:val="00123122"/>
    <w:rsid w:val="00153B5C"/>
    <w:rsid w:val="00161145"/>
    <w:rsid w:val="00173C64"/>
    <w:rsid w:val="00231A0B"/>
    <w:rsid w:val="0026097C"/>
    <w:rsid w:val="002628AA"/>
    <w:rsid w:val="00293275"/>
    <w:rsid w:val="002D52E4"/>
    <w:rsid w:val="002F2971"/>
    <w:rsid w:val="00306E80"/>
    <w:rsid w:val="00330F50"/>
    <w:rsid w:val="00343224"/>
    <w:rsid w:val="003A1298"/>
    <w:rsid w:val="003A160C"/>
    <w:rsid w:val="003D7965"/>
    <w:rsid w:val="003F5EBF"/>
    <w:rsid w:val="00415EE6"/>
    <w:rsid w:val="004275A3"/>
    <w:rsid w:val="0045266F"/>
    <w:rsid w:val="00461703"/>
    <w:rsid w:val="00480EF1"/>
    <w:rsid w:val="004C3381"/>
    <w:rsid w:val="004C5E5E"/>
    <w:rsid w:val="004D3415"/>
    <w:rsid w:val="005072A3"/>
    <w:rsid w:val="005302F1"/>
    <w:rsid w:val="00566B9A"/>
    <w:rsid w:val="005846BD"/>
    <w:rsid w:val="005D619C"/>
    <w:rsid w:val="00626ED5"/>
    <w:rsid w:val="006271C8"/>
    <w:rsid w:val="00682EF0"/>
    <w:rsid w:val="00696016"/>
    <w:rsid w:val="006B768E"/>
    <w:rsid w:val="006C05FE"/>
    <w:rsid w:val="006C63F4"/>
    <w:rsid w:val="006F6939"/>
    <w:rsid w:val="00702F38"/>
    <w:rsid w:val="007350F3"/>
    <w:rsid w:val="0075619C"/>
    <w:rsid w:val="00780650"/>
    <w:rsid w:val="007C10D8"/>
    <w:rsid w:val="007D0379"/>
    <w:rsid w:val="007D120D"/>
    <w:rsid w:val="00887995"/>
    <w:rsid w:val="008B54FD"/>
    <w:rsid w:val="008D5178"/>
    <w:rsid w:val="008F3E34"/>
    <w:rsid w:val="009E5887"/>
    <w:rsid w:val="00A77E03"/>
    <w:rsid w:val="00A83B72"/>
    <w:rsid w:val="00A929D4"/>
    <w:rsid w:val="00AA5322"/>
    <w:rsid w:val="00AD6B2E"/>
    <w:rsid w:val="00AE1F9B"/>
    <w:rsid w:val="00B44C33"/>
    <w:rsid w:val="00BD76C2"/>
    <w:rsid w:val="00BF3EB5"/>
    <w:rsid w:val="00C067F1"/>
    <w:rsid w:val="00C1382C"/>
    <w:rsid w:val="00C31CBF"/>
    <w:rsid w:val="00C72831"/>
    <w:rsid w:val="00C82DE6"/>
    <w:rsid w:val="00CD098A"/>
    <w:rsid w:val="00D06ADE"/>
    <w:rsid w:val="00D3544B"/>
    <w:rsid w:val="00D76F6B"/>
    <w:rsid w:val="00D80543"/>
    <w:rsid w:val="00DD7E20"/>
    <w:rsid w:val="00DE1163"/>
    <w:rsid w:val="00DF1A44"/>
    <w:rsid w:val="00E2698D"/>
    <w:rsid w:val="00E847A6"/>
    <w:rsid w:val="00E86700"/>
    <w:rsid w:val="00FB1471"/>
    <w:rsid w:val="00FD1C6B"/>
    <w:rsid w:val="00FD3631"/>
    <w:rsid w:val="00FD5702"/>
    <w:rsid w:val="00FE5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6211C"/>
  <w15:chartTrackingRefBased/>
  <w15:docId w15:val="{BE18531C-3653-46B0-A0A2-38DDCB7C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71C8"/>
  </w:style>
  <w:style w:type="paragraph" w:styleId="Heading1">
    <w:name w:val="heading 1"/>
    <w:basedOn w:val="Normal"/>
    <w:next w:val="Normal"/>
    <w:link w:val="Heading1Char"/>
    <w:uiPriority w:val="9"/>
    <w:qFormat/>
    <w:rsid w:val="003D79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796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796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AE1F9B"/>
    <w:pPr>
      <w:ind w:left="720"/>
      <w:contextualSpacing/>
    </w:pPr>
  </w:style>
  <w:style w:type="paragraph" w:styleId="Header">
    <w:name w:val="header"/>
    <w:aliases w:val="ContentsHeader"/>
    <w:basedOn w:val="Normal"/>
    <w:link w:val="HeaderChar"/>
    <w:uiPriority w:val="99"/>
    <w:unhideWhenUsed/>
    <w:rsid w:val="002D52E4"/>
    <w:pPr>
      <w:tabs>
        <w:tab w:val="center" w:pos="4680"/>
        <w:tab w:val="right" w:pos="9360"/>
      </w:tabs>
    </w:pPr>
  </w:style>
  <w:style w:type="character" w:customStyle="1" w:styleId="HeaderChar">
    <w:name w:val="Header Char"/>
    <w:aliases w:val="ContentsHeader Char"/>
    <w:basedOn w:val="DefaultParagraphFont"/>
    <w:link w:val="Header"/>
    <w:uiPriority w:val="99"/>
    <w:rsid w:val="002D52E4"/>
  </w:style>
  <w:style w:type="paragraph" w:styleId="Footer">
    <w:name w:val="footer"/>
    <w:basedOn w:val="Normal"/>
    <w:link w:val="FooterChar"/>
    <w:uiPriority w:val="99"/>
    <w:unhideWhenUsed/>
    <w:rsid w:val="002D52E4"/>
    <w:pPr>
      <w:tabs>
        <w:tab w:val="center" w:pos="4680"/>
        <w:tab w:val="right" w:pos="9360"/>
      </w:tabs>
    </w:pPr>
  </w:style>
  <w:style w:type="character" w:customStyle="1" w:styleId="FooterChar">
    <w:name w:val="Footer Char"/>
    <w:basedOn w:val="DefaultParagraphFont"/>
    <w:link w:val="Footer"/>
    <w:uiPriority w:val="99"/>
    <w:rsid w:val="002D52E4"/>
  </w:style>
  <w:style w:type="character" w:customStyle="1" w:styleId="Heading1Char">
    <w:name w:val="Heading 1 Char"/>
    <w:basedOn w:val="DefaultParagraphFont"/>
    <w:link w:val="Heading1"/>
    <w:uiPriority w:val="9"/>
    <w:rsid w:val="003D7965"/>
    <w:rPr>
      <w:rFonts w:asciiTheme="majorHAnsi" w:eastAsiaTheme="majorEastAsia" w:hAnsiTheme="majorHAnsi" w:cstheme="majorBidi"/>
      <w:color w:val="2F5496" w:themeColor="accent1" w:themeShade="BF"/>
      <w:sz w:val="32"/>
      <w:szCs w:val="32"/>
    </w:rPr>
  </w:style>
  <w:style w:type="paragraph" w:customStyle="1" w:styleId="HeaderFooter">
    <w:name w:val="Header &amp; Footer"/>
    <w:rsid w:val="003D7965"/>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styleId="PlainText">
    <w:name w:val="Plain Text"/>
    <w:link w:val="PlainTextChar"/>
    <w:rsid w:val="003D7965"/>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PlainTextChar">
    <w:name w:val="Plain Text Char"/>
    <w:basedOn w:val="DefaultParagraphFont"/>
    <w:link w:val="PlainText"/>
    <w:rsid w:val="003D7965"/>
    <w:rPr>
      <w:rFonts w:ascii="Calibri" w:eastAsia="Calibri" w:hAnsi="Calibri" w:cs="Calibri"/>
      <w:color w:val="000000"/>
      <w:u w:color="000000"/>
      <w:bdr w:val="nil"/>
    </w:rPr>
  </w:style>
  <w:style w:type="paragraph" w:customStyle="1" w:styleId="BodyA">
    <w:name w:val="Body A"/>
    <w:rsid w:val="003D7965"/>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numbering" w:customStyle="1" w:styleId="ImportedStyle1">
    <w:name w:val="Imported Style 1"/>
    <w:rsid w:val="003D7965"/>
    <w:pPr>
      <w:numPr>
        <w:numId w:val="1"/>
      </w:numPr>
    </w:pPr>
  </w:style>
  <w:style w:type="paragraph" w:customStyle="1" w:styleId="Body">
    <w:name w:val="Body"/>
    <w:rsid w:val="003D7965"/>
    <w:pPr>
      <w:pBdr>
        <w:top w:val="nil"/>
        <w:left w:val="nil"/>
        <w:bottom w:val="nil"/>
        <w:right w:val="nil"/>
        <w:between w:val="nil"/>
        <w:bar w:val="nil"/>
      </w:pBdr>
      <w:spacing w:after="200" w:line="276" w:lineRule="auto"/>
    </w:pPr>
    <w:rPr>
      <w:rFonts w:ascii="Calibri" w:eastAsia="Calibri" w:hAnsi="Calibri" w:cs="Calibri"/>
      <w:color w:val="000000"/>
      <w:u w:color="000000"/>
      <w:bdr w:val="nil"/>
      <w:lang w:val="de-DE"/>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locked/>
    <w:rsid w:val="003D7965"/>
  </w:style>
  <w:style w:type="paragraph" w:customStyle="1" w:styleId="DefaultText">
    <w:name w:val="Default Text"/>
    <w:basedOn w:val="Normal"/>
    <w:link w:val="DefaultTextChar"/>
    <w:rsid w:val="003D7965"/>
    <w:pPr>
      <w:tabs>
        <w:tab w:val="left" w:pos="-709"/>
      </w:tabs>
      <w:spacing w:line="360" w:lineRule="auto"/>
      <w:jc w:val="both"/>
    </w:pPr>
    <w:rPr>
      <w:rFonts w:ascii="Times New Roman" w:eastAsia="Times New Roman" w:hAnsi="Times New Roman" w:cs="Times New Roman"/>
      <w:sz w:val="24"/>
      <w:szCs w:val="24"/>
      <w:lang w:val="en-GB" w:eastAsia="fr-FR"/>
    </w:rPr>
  </w:style>
  <w:style w:type="character" w:customStyle="1" w:styleId="DefaultTextChar">
    <w:name w:val="Default Text Char"/>
    <w:link w:val="DefaultText"/>
    <w:locked/>
    <w:rsid w:val="003D7965"/>
    <w:rPr>
      <w:rFonts w:ascii="Times New Roman" w:eastAsia="Times New Roman" w:hAnsi="Times New Roman" w:cs="Times New Roman"/>
      <w:sz w:val="24"/>
      <w:szCs w:val="24"/>
      <w:lang w:val="en-GB" w:eastAsia="fr-FR"/>
    </w:rPr>
  </w:style>
  <w:style w:type="character" w:customStyle="1" w:styleId="Heading2Char">
    <w:name w:val="Heading 2 Char"/>
    <w:basedOn w:val="DefaultParagraphFont"/>
    <w:link w:val="Heading2"/>
    <w:rsid w:val="003D796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D7965"/>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306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F61E9"/>
    <w:rPr>
      <w:sz w:val="20"/>
      <w:szCs w:val="20"/>
    </w:rPr>
  </w:style>
  <w:style w:type="character" w:customStyle="1" w:styleId="FootnoteTextChar">
    <w:name w:val="Footnote Text Char"/>
    <w:basedOn w:val="DefaultParagraphFont"/>
    <w:link w:val="FootnoteText"/>
    <w:uiPriority w:val="99"/>
    <w:semiHidden/>
    <w:rsid w:val="000F61E9"/>
    <w:rPr>
      <w:sz w:val="20"/>
      <w:szCs w:val="20"/>
    </w:rPr>
  </w:style>
  <w:style w:type="character" w:styleId="FootnoteReference">
    <w:name w:val="footnote reference"/>
    <w:basedOn w:val="DefaultParagraphFont"/>
    <w:uiPriority w:val="99"/>
    <w:semiHidden/>
    <w:unhideWhenUsed/>
    <w:rsid w:val="000F61E9"/>
    <w:rPr>
      <w:vertAlign w:val="superscript"/>
    </w:rPr>
  </w:style>
  <w:style w:type="paragraph" w:styleId="TOCHeading">
    <w:name w:val="TOC Heading"/>
    <w:basedOn w:val="Heading1"/>
    <w:next w:val="Normal"/>
    <w:uiPriority w:val="39"/>
    <w:unhideWhenUsed/>
    <w:qFormat/>
    <w:rsid w:val="000F61E9"/>
    <w:pPr>
      <w:spacing w:line="259" w:lineRule="auto"/>
      <w:outlineLvl w:val="9"/>
    </w:pPr>
  </w:style>
  <w:style w:type="paragraph" w:styleId="TOC1">
    <w:name w:val="toc 1"/>
    <w:basedOn w:val="Normal"/>
    <w:next w:val="Normal"/>
    <w:autoRedefine/>
    <w:uiPriority w:val="39"/>
    <w:unhideWhenUsed/>
    <w:rsid w:val="000F61E9"/>
    <w:pPr>
      <w:spacing w:after="100"/>
    </w:pPr>
  </w:style>
  <w:style w:type="paragraph" w:styleId="TOC3">
    <w:name w:val="toc 3"/>
    <w:basedOn w:val="Normal"/>
    <w:next w:val="Normal"/>
    <w:autoRedefine/>
    <w:uiPriority w:val="39"/>
    <w:unhideWhenUsed/>
    <w:rsid w:val="000F61E9"/>
    <w:pPr>
      <w:spacing w:after="100"/>
      <w:ind w:left="440"/>
    </w:pPr>
  </w:style>
  <w:style w:type="character" w:styleId="Hyperlink">
    <w:name w:val="Hyperlink"/>
    <w:basedOn w:val="DefaultParagraphFont"/>
    <w:uiPriority w:val="99"/>
    <w:unhideWhenUsed/>
    <w:rsid w:val="000F61E9"/>
    <w:rPr>
      <w:color w:val="0563C1" w:themeColor="hyperlink"/>
      <w:u w:val="single"/>
    </w:rPr>
  </w:style>
  <w:style w:type="paragraph" w:styleId="BalloonText">
    <w:name w:val="Balloon Text"/>
    <w:basedOn w:val="Normal"/>
    <w:link w:val="BalloonTextChar"/>
    <w:uiPriority w:val="99"/>
    <w:semiHidden/>
    <w:unhideWhenUsed/>
    <w:rsid w:val="002F29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9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27618">
      <w:bodyDiv w:val="1"/>
      <w:marLeft w:val="0"/>
      <w:marRight w:val="0"/>
      <w:marTop w:val="0"/>
      <w:marBottom w:val="0"/>
      <w:divBdr>
        <w:top w:val="none" w:sz="0" w:space="0" w:color="auto"/>
        <w:left w:val="none" w:sz="0" w:space="0" w:color="auto"/>
        <w:bottom w:val="none" w:sz="0" w:space="0" w:color="auto"/>
        <w:right w:val="none" w:sz="0" w:space="0" w:color="auto"/>
      </w:divBdr>
    </w:div>
    <w:div w:id="1015419198">
      <w:bodyDiv w:val="1"/>
      <w:marLeft w:val="0"/>
      <w:marRight w:val="0"/>
      <w:marTop w:val="0"/>
      <w:marBottom w:val="0"/>
      <w:divBdr>
        <w:top w:val="none" w:sz="0" w:space="0" w:color="auto"/>
        <w:left w:val="none" w:sz="0" w:space="0" w:color="auto"/>
        <w:bottom w:val="none" w:sz="0" w:space="0" w:color="auto"/>
        <w:right w:val="none" w:sz="0" w:space="0" w:color="auto"/>
      </w:divBdr>
    </w:div>
    <w:div w:id="1100877647">
      <w:bodyDiv w:val="1"/>
      <w:marLeft w:val="0"/>
      <w:marRight w:val="0"/>
      <w:marTop w:val="0"/>
      <w:marBottom w:val="0"/>
      <w:divBdr>
        <w:top w:val="none" w:sz="0" w:space="0" w:color="auto"/>
        <w:left w:val="none" w:sz="0" w:space="0" w:color="auto"/>
        <w:bottom w:val="none" w:sz="0" w:space="0" w:color="auto"/>
        <w:right w:val="none" w:sz="0" w:space="0" w:color="auto"/>
      </w:divBdr>
    </w:div>
    <w:div w:id="1184324026">
      <w:bodyDiv w:val="1"/>
      <w:marLeft w:val="0"/>
      <w:marRight w:val="0"/>
      <w:marTop w:val="0"/>
      <w:marBottom w:val="0"/>
      <w:divBdr>
        <w:top w:val="none" w:sz="0" w:space="0" w:color="auto"/>
        <w:left w:val="none" w:sz="0" w:space="0" w:color="auto"/>
        <w:bottom w:val="none" w:sz="0" w:space="0" w:color="auto"/>
        <w:right w:val="none" w:sz="0" w:space="0" w:color="auto"/>
      </w:divBdr>
    </w:div>
    <w:div w:id="1346133215">
      <w:bodyDiv w:val="1"/>
      <w:marLeft w:val="0"/>
      <w:marRight w:val="0"/>
      <w:marTop w:val="0"/>
      <w:marBottom w:val="0"/>
      <w:divBdr>
        <w:top w:val="none" w:sz="0" w:space="0" w:color="auto"/>
        <w:left w:val="none" w:sz="0" w:space="0" w:color="auto"/>
        <w:bottom w:val="none" w:sz="0" w:space="0" w:color="auto"/>
        <w:right w:val="none" w:sz="0" w:space="0" w:color="auto"/>
      </w:divBdr>
    </w:div>
    <w:div w:id="1376540981">
      <w:bodyDiv w:val="1"/>
      <w:marLeft w:val="0"/>
      <w:marRight w:val="0"/>
      <w:marTop w:val="0"/>
      <w:marBottom w:val="0"/>
      <w:divBdr>
        <w:top w:val="none" w:sz="0" w:space="0" w:color="auto"/>
        <w:left w:val="none" w:sz="0" w:space="0" w:color="auto"/>
        <w:bottom w:val="none" w:sz="0" w:space="0" w:color="auto"/>
        <w:right w:val="none" w:sz="0" w:space="0" w:color="auto"/>
      </w:divBdr>
    </w:div>
    <w:div w:id="1849101343">
      <w:bodyDiv w:val="1"/>
      <w:marLeft w:val="0"/>
      <w:marRight w:val="0"/>
      <w:marTop w:val="0"/>
      <w:marBottom w:val="0"/>
      <w:divBdr>
        <w:top w:val="none" w:sz="0" w:space="0" w:color="auto"/>
        <w:left w:val="none" w:sz="0" w:space="0" w:color="auto"/>
        <w:bottom w:val="none" w:sz="0" w:space="0" w:color="auto"/>
        <w:right w:val="none" w:sz="0" w:space="0" w:color="auto"/>
      </w:divBdr>
    </w:div>
    <w:div w:id="191601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image" Target="media/image4.emf"/><Relationship Id="rId26" Type="http://schemas.openxmlformats.org/officeDocument/2006/relationships/package" Target="embeddings/Microsoft_Excel_Worksheet5.xlsx"/><Relationship Id="rId3" Type="http://schemas.openxmlformats.org/officeDocument/2006/relationships/styles" Target="styles.xml"/><Relationship Id="rId21" Type="http://schemas.openxmlformats.org/officeDocument/2006/relationships/package" Target="embeddings/Microsoft_Excel_Worksheet3.xlsx"/><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5.xml"/><Relationship Id="rId25"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package" Target="embeddings/Microsoft_Excel_Worksheet1.xlsx"/><Relationship Id="rId20" Type="http://schemas.openxmlformats.org/officeDocument/2006/relationships/image" Target="media/image5.emf"/><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package" Target="embeddings/Microsoft_Excel_Worksheet4.xlsx"/><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6.emf"/><Relationship Id="rId28" Type="http://schemas.openxmlformats.org/officeDocument/2006/relationships/package" Target="embeddings/Microsoft_Excel_Worksheet6.xlsx"/><Relationship Id="rId10" Type="http://schemas.openxmlformats.org/officeDocument/2006/relationships/header" Target="header2.xml"/><Relationship Id="rId19" Type="http://schemas.openxmlformats.org/officeDocument/2006/relationships/package" Target="embeddings/Microsoft_Excel_Worksheet2.xls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package" Target="embeddings/Microsoft_Excel_Worksheet.xlsx"/><Relationship Id="rId22" Type="http://schemas.openxmlformats.org/officeDocument/2006/relationships/header" Target="header6.xml"/><Relationship Id="rId27" Type="http://schemas.openxmlformats.org/officeDocument/2006/relationships/image" Target="media/image8.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AF1E2-68B6-4F6A-A399-22CBCD2A0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18</Pages>
  <Words>3300</Words>
  <Characters>18815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Kanyama</dc:creator>
  <cp:keywords/>
  <dc:description/>
  <cp:lastModifiedBy>Clement Kanyama</cp:lastModifiedBy>
  <cp:revision>10</cp:revision>
  <dcterms:created xsi:type="dcterms:W3CDTF">2019-10-14T10:28:00Z</dcterms:created>
  <dcterms:modified xsi:type="dcterms:W3CDTF">2019-10-19T22:37:00Z</dcterms:modified>
</cp:coreProperties>
</file>