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bookmarkStart w:id="0" w:name="_Hlk494423538"/>
      <w:bookmarkStart w:id="1" w:name="_GoBack"/>
      <w:bookmarkEnd w:id="1"/>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jc w:val="both"/>
        <w:rPr>
          <w:rFonts w:ascii="Arial" w:hAnsi="Arial" w:cs="Arial"/>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r w:rsidRPr="00244110">
        <w:rPr>
          <w:rFonts w:ascii="Arial" w:hAnsi="Arial" w:cs="Arial"/>
          <w:noProof/>
        </w:rPr>
        <w:drawing>
          <wp:inline distT="0" distB="0" distL="0" distR="0">
            <wp:extent cx="9906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tabs>
          <w:tab w:val="left" w:pos="5760"/>
        </w:tabs>
        <w:jc w:val="right"/>
        <w:rPr>
          <w:rFonts w:ascii="Arial" w:hAnsi="Arial" w:cs="Arial"/>
          <w:b/>
          <w:snapToGrid w:val="0"/>
        </w:rPr>
      </w:pPr>
      <w:r w:rsidRPr="00244110">
        <w:rPr>
          <w:rFonts w:ascii="Arial" w:hAnsi="Arial" w:cs="Arial"/>
          <w:b/>
          <w:snapToGrid w:val="0"/>
        </w:rPr>
        <w:t xml:space="preserve">                                                                   Distr.</w:t>
      </w: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tabs>
          <w:tab w:val="left" w:pos="5760"/>
        </w:tabs>
        <w:jc w:val="right"/>
        <w:rPr>
          <w:rFonts w:ascii="Arial" w:hAnsi="Arial" w:cs="Arial"/>
          <w:b/>
          <w:snapToGrid w:val="0"/>
        </w:rPr>
      </w:pPr>
      <w:r w:rsidRPr="00244110">
        <w:rPr>
          <w:rFonts w:ascii="Arial" w:hAnsi="Arial" w:cs="Arial"/>
          <w:b/>
          <w:snapToGrid w:val="0"/>
        </w:rPr>
        <w:t xml:space="preserve">                                                                                              LIMITED</w:t>
      </w: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tabs>
          <w:tab w:val="left" w:pos="5220"/>
        </w:tabs>
        <w:jc w:val="right"/>
        <w:rPr>
          <w:rFonts w:ascii="Arial" w:hAnsi="Arial" w:cs="Arial"/>
          <w:b/>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ind w:firstLine="720"/>
        <w:jc w:val="right"/>
        <w:rPr>
          <w:rFonts w:ascii="Arial" w:hAnsi="Arial" w:cs="Arial"/>
          <w:b/>
          <w:snapToGrid w:val="0"/>
        </w:rPr>
      </w:pPr>
      <w:r>
        <w:rPr>
          <w:rFonts w:ascii="Arial" w:hAnsi="Arial" w:cs="Arial"/>
          <w:b/>
          <w:snapToGrid w:val="0"/>
        </w:rPr>
        <w:t xml:space="preserve">       CS/ADM/SC/</w:t>
      </w:r>
      <w:r w:rsidR="009C0015">
        <w:rPr>
          <w:rFonts w:ascii="Arial" w:hAnsi="Arial" w:cs="Arial"/>
          <w:b/>
          <w:snapToGrid w:val="0"/>
        </w:rPr>
        <w:t>X</w:t>
      </w:r>
      <w:r>
        <w:rPr>
          <w:rFonts w:ascii="Arial" w:hAnsi="Arial" w:cs="Arial"/>
          <w:b/>
          <w:snapToGrid w:val="0"/>
        </w:rPr>
        <w:t>X/4</w:t>
      </w: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b/>
          <w:snapToGrid w:val="0"/>
        </w:rPr>
      </w:pPr>
      <w:r w:rsidRPr="00244110">
        <w:rPr>
          <w:rFonts w:ascii="Arial" w:hAnsi="Arial" w:cs="Arial"/>
          <w:b/>
          <w:snapToGrid w:val="0"/>
        </w:rPr>
        <w:tab/>
      </w:r>
      <w:r w:rsidRPr="00244110">
        <w:rPr>
          <w:rFonts w:ascii="Arial" w:hAnsi="Arial" w:cs="Arial"/>
          <w:b/>
          <w:snapToGrid w:val="0"/>
        </w:rPr>
        <w:tab/>
      </w:r>
      <w:r w:rsidRPr="00244110">
        <w:rPr>
          <w:rFonts w:ascii="Arial" w:hAnsi="Arial" w:cs="Arial"/>
          <w:b/>
          <w:snapToGrid w:val="0"/>
        </w:rPr>
        <w:tab/>
      </w:r>
      <w:r w:rsidRPr="00244110">
        <w:rPr>
          <w:rFonts w:ascii="Arial" w:hAnsi="Arial" w:cs="Arial"/>
          <w:b/>
          <w:snapToGrid w:val="0"/>
        </w:rPr>
        <w:tab/>
      </w: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b/>
          <w:snapToGrid w:val="0"/>
        </w:rPr>
      </w:pPr>
      <w:r w:rsidRPr="00244110">
        <w:rPr>
          <w:rFonts w:ascii="Arial" w:hAnsi="Arial" w:cs="Arial"/>
          <w:snapToGrid w:val="0"/>
        </w:rPr>
        <w:t>Original:</w:t>
      </w:r>
      <w:r w:rsidRPr="00244110">
        <w:rPr>
          <w:rFonts w:ascii="Arial" w:hAnsi="Arial" w:cs="Arial"/>
          <w:b/>
          <w:snapToGrid w:val="0"/>
        </w:rPr>
        <w:t xml:space="preserve">  ENGLISH</w:t>
      </w: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b/>
          <w:snapToGrid w:val="0"/>
        </w:rPr>
      </w:pPr>
      <w:r w:rsidRPr="00244110">
        <w:rPr>
          <w:rFonts w:ascii="Arial" w:hAnsi="Arial" w:cs="Arial"/>
          <w:b/>
          <w:snapToGrid w:val="0"/>
        </w:rPr>
        <w:t>COMMON MARKET FOR EASTERN</w:t>
      </w: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b/>
          <w:snapToGrid w:val="0"/>
        </w:rPr>
      </w:pPr>
      <w:r w:rsidRPr="00244110">
        <w:rPr>
          <w:rFonts w:ascii="Arial" w:hAnsi="Arial" w:cs="Arial"/>
          <w:b/>
          <w:snapToGrid w:val="0"/>
        </w:rPr>
        <w:t>AND SOUTHERN AFRICA</w:t>
      </w: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rsidR="00E50B5A" w:rsidRPr="00244110" w:rsidRDefault="00981431"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Pr>
          <w:rFonts w:ascii="Arial" w:hAnsi="Arial" w:cs="Arial"/>
          <w:snapToGrid w:val="0"/>
        </w:rPr>
        <w:t xml:space="preserve">Twentieth </w:t>
      </w:r>
      <w:r w:rsidR="00E50B5A" w:rsidRPr="00244110">
        <w:rPr>
          <w:rFonts w:ascii="Arial" w:hAnsi="Arial" w:cs="Arial"/>
          <w:snapToGrid w:val="0"/>
        </w:rPr>
        <w:t>Meeting of the Sub-Committee on</w:t>
      </w:r>
    </w:p>
    <w:p w:rsidR="00E50B5A"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sidRPr="00244110">
        <w:rPr>
          <w:rFonts w:ascii="Arial" w:hAnsi="Arial" w:cs="Arial"/>
          <w:snapToGrid w:val="0"/>
        </w:rPr>
        <w:t>Audit and Budgetary Matters</w:t>
      </w:r>
    </w:p>
    <w:p w:rsidR="00E50B5A"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rsidR="00E50B5A"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Pr>
          <w:rFonts w:ascii="Arial" w:hAnsi="Arial" w:cs="Arial"/>
          <w:snapToGrid w:val="0"/>
        </w:rPr>
        <w:t>2</w:t>
      </w:r>
      <w:r w:rsidR="00981431">
        <w:rPr>
          <w:rFonts w:ascii="Arial" w:hAnsi="Arial" w:cs="Arial"/>
          <w:snapToGrid w:val="0"/>
        </w:rPr>
        <w:t>8</w:t>
      </w:r>
      <w:r>
        <w:rPr>
          <w:rFonts w:ascii="Arial" w:hAnsi="Arial" w:cs="Arial"/>
          <w:snapToGrid w:val="0"/>
        </w:rPr>
        <w:t xml:space="preserve"> October – </w:t>
      </w:r>
      <w:r w:rsidR="00981431">
        <w:rPr>
          <w:rFonts w:ascii="Arial" w:hAnsi="Arial" w:cs="Arial"/>
          <w:snapToGrid w:val="0"/>
        </w:rPr>
        <w:t xml:space="preserve">1 </w:t>
      </w:r>
      <w:r>
        <w:rPr>
          <w:rFonts w:ascii="Arial" w:hAnsi="Arial" w:cs="Arial"/>
          <w:snapToGrid w:val="0"/>
        </w:rPr>
        <w:t>November 201</w:t>
      </w:r>
      <w:r w:rsidR="00981431">
        <w:rPr>
          <w:rFonts w:ascii="Arial" w:hAnsi="Arial" w:cs="Arial"/>
          <w:snapToGrid w:val="0"/>
        </w:rPr>
        <w:t>9</w:t>
      </w: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sidRPr="00244110">
        <w:rPr>
          <w:rFonts w:ascii="Arial" w:hAnsi="Arial" w:cs="Arial"/>
          <w:snapToGrid w:val="0"/>
        </w:rPr>
        <w:t>Lusaka, Zambia</w:t>
      </w: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b/>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r>
        <w:rPr>
          <w:rFonts w:ascii="Arial" w:hAnsi="Arial" w:cs="Arial"/>
          <w:b/>
          <w:snapToGrid w:val="0"/>
        </w:rPr>
        <w:t>REVIEW OF THE ASSESSED CONTRIBUTION RATIOS FOR 20</w:t>
      </w:r>
      <w:r w:rsidR="00981431">
        <w:rPr>
          <w:rFonts w:ascii="Arial" w:hAnsi="Arial" w:cs="Arial"/>
          <w:b/>
          <w:snapToGrid w:val="0"/>
        </w:rPr>
        <w:t>20</w:t>
      </w: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r w:rsidRPr="00244110">
        <w:rPr>
          <w:rFonts w:ascii="Arial" w:hAnsi="Arial" w:cs="Arial"/>
          <w:b/>
          <w:snapToGrid w:val="0"/>
        </w:rPr>
        <w:t xml:space="preserve">(Agenda item </w:t>
      </w:r>
      <w:r>
        <w:rPr>
          <w:rFonts w:ascii="Arial" w:hAnsi="Arial" w:cs="Arial"/>
          <w:b/>
          <w:snapToGrid w:val="0"/>
        </w:rPr>
        <w:t>4)</w:t>
      </w: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rsidR="00E50B5A" w:rsidRPr="00244110"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rsidR="00E50B5A" w:rsidRDefault="00E50B5A" w:rsidP="00E50B5A">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sectPr w:rsidR="00E50B5A">
          <w:footerReference w:type="default" r:id="rId9"/>
          <w:footerReference w:type="first" r:id="rId10"/>
          <w:pgSz w:w="12240" w:h="15840"/>
          <w:pgMar w:top="1440" w:right="1440" w:bottom="1440" w:left="1440" w:header="720" w:footer="720" w:gutter="0"/>
          <w:cols w:space="720"/>
          <w:docGrid w:linePitch="360"/>
        </w:sectPr>
      </w:pPr>
    </w:p>
    <w:sdt>
      <w:sdtPr>
        <w:rPr>
          <w:rFonts w:ascii="Times New Roman" w:eastAsia="Times New Roman" w:hAnsi="Times New Roman" w:cs="Times New Roman"/>
          <w:color w:val="auto"/>
          <w:sz w:val="24"/>
          <w:szCs w:val="24"/>
        </w:rPr>
        <w:id w:val="-1140492925"/>
        <w:docPartObj>
          <w:docPartGallery w:val="Table of Contents"/>
          <w:docPartUnique/>
        </w:docPartObj>
      </w:sdtPr>
      <w:sdtEndPr>
        <w:rPr>
          <w:b/>
          <w:bCs/>
          <w:noProof/>
        </w:rPr>
      </w:sdtEndPr>
      <w:sdtContent>
        <w:p w:rsidR="00913E3E" w:rsidRDefault="00913E3E">
          <w:pPr>
            <w:pStyle w:val="TOCHeading"/>
          </w:pPr>
          <w:r>
            <w:t>Contents</w:t>
          </w:r>
        </w:p>
        <w:p w:rsidR="009E74F7" w:rsidRDefault="00CD4B31">
          <w:pPr>
            <w:pStyle w:val="TOC1"/>
            <w:tabs>
              <w:tab w:val="left" w:pos="660"/>
              <w:tab w:val="right" w:leader="dot" w:pos="9019"/>
            </w:tabs>
            <w:rPr>
              <w:rFonts w:asciiTheme="minorHAnsi" w:eastAsiaTheme="minorEastAsia" w:hAnsiTheme="minorHAnsi" w:cstheme="minorBidi"/>
              <w:noProof/>
              <w:sz w:val="22"/>
              <w:szCs w:val="22"/>
            </w:rPr>
          </w:pPr>
          <w:r>
            <w:fldChar w:fldCharType="begin"/>
          </w:r>
          <w:r w:rsidR="00913E3E">
            <w:instrText xml:space="preserve"> TOC \o "1-3" \h \z \u </w:instrText>
          </w:r>
          <w:r>
            <w:fldChar w:fldCharType="separate"/>
          </w:r>
          <w:hyperlink w:anchor="_Toc21610353" w:history="1">
            <w:r w:rsidR="009E74F7" w:rsidRPr="00A04386">
              <w:rPr>
                <w:rStyle w:val="Hyperlink"/>
                <w:rFonts w:cs="Arial"/>
                <w:b/>
                <w:noProof/>
              </w:rPr>
              <w:t>A.</w:t>
            </w:r>
            <w:r w:rsidR="009E74F7">
              <w:rPr>
                <w:rFonts w:asciiTheme="minorHAnsi" w:eastAsiaTheme="minorEastAsia" w:hAnsiTheme="minorHAnsi" w:cstheme="minorBidi"/>
                <w:noProof/>
                <w:sz w:val="22"/>
                <w:szCs w:val="22"/>
              </w:rPr>
              <w:tab/>
            </w:r>
            <w:r w:rsidR="009E74F7" w:rsidRPr="00A04386">
              <w:rPr>
                <w:rStyle w:val="Hyperlink"/>
                <w:rFonts w:cs="Arial"/>
                <w:b/>
                <w:noProof/>
              </w:rPr>
              <w:t>STATUS OF IMPLEMENTATION OF DECISIONS OF COUNCIL – ASSESSED CONTRIBUTION BUDGET RATIOS</w:t>
            </w:r>
            <w:r w:rsidR="009E74F7">
              <w:rPr>
                <w:noProof/>
                <w:webHidden/>
              </w:rPr>
              <w:tab/>
            </w:r>
            <w:r>
              <w:rPr>
                <w:noProof/>
                <w:webHidden/>
              </w:rPr>
              <w:fldChar w:fldCharType="begin"/>
            </w:r>
            <w:r w:rsidR="009E74F7">
              <w:rPr>
                <w:noProof/>
                <w:webHidden/>
              </w:rPr>
              <w:instrText xml:space="preserve"> PAGEREF _Toc21610353 \h </w:instrText>
            </w:r>
            <w:r>
              <w:rPr>
                <w:noProof/>
                <w:webHidden/>
              </w:rPr>
            </w:r>
            <w:r>
              <w:rPr>
                <w:noProof/>
                <w:webHidden/>
              </w:rPr>
              <w:fldChar w:fldCharType="separate"/>
            </w:r>
            <w:r w:rsidR="009E74F7">
              <w:rPr>
                <w:noProof/>
                <w:webHidden/>
              </w:rPr>
              <w:t>2</w:t>
            </w:r>
            <w:r>
              <w:rPr>
                <w:noProof/>
                <w:webHidden/>
              </w:rPr>
              <w:fldChar w:fldCharType="end"/>
            </w:r>
          </w:hyperlink>
        </w:p>
        <w:p w:rsidR="009E74F7" w:rsidRDefault="001174D5">
          <w:pPr>
            <w:pStyle w:val="TOC1"/>
            <w:tabs>
              <w:tab w:val="left" w:pos="660"/>
              <w:tab w:val="right" w:leader="dot" w:pos="9019"/>
            </w:tabs>
            <w:rPr>
              <w:rFonts w:asciiTheme="minorHAnsi" w:eastAsiaTheme="minorEastAsia" w:hAnsiTheme="minorHAnsi" w:cstheme="minorBidi"/>
              <w:noProof/>
              <w:sz w:val="22"/>
              <w:szCs w:val="22"/>
            </w:rPr>
          </w:pPr>
          <w:hyperlink w:anchor="_Toc21610354" w:history="1">
            <w:r w:rsidR="009E74F7" w:rsidRPr="00A04386">
              <w:rPr>
                <w:rStyle w:val="Hyperlink"/>
                <w:b/>
                <w:noProof/>
              </w:rPr>
              <w:t>B.</w:t>
            </w:r>
            <w:r w:rsidR="009E74F7">
              <w:rPr>
                <w:rFonts w:asciiTheme="minorHAnsi" w:eastAsiaTheme="minorEastAsia" w:hAnsiTheme="minorHAnsi" w:cstheme="minorBidi"/>
                <w:noProof/>
                <w:sz w:val="22"/>
                <w:szCs w:val="22"/>
              </w:rPr>
              <w:tab/>
            </w:r>
            <w:r w:rsidR="009E74F7" w:rsidRPr="00A04386">
              <w:rPr>
                <w:rStyle w:val="Hyperlink"/>
                <w:b/>
                <w:noProof/>
              </w:rPr>
              <w:t>PARAMETERS – IN CALCULATING 2020 ASSESSED CONTRIBUTION BUDGET RATIOS</w:t>
            </w:r>
            <w:r w:rsidR="009E74F7">
              <w:rPr>
                <w:noProof/>
                <w:webHidden/>
              </w:rPr>
              <w:tab/>
            </w:r>
            <w:r w:rsidR="00CD4B31">
              <w:rPr>
                <w:noProof/>
                <w:webHidden/>
              </w:rPr>
              <w:fldChar w:fldCharType="begin"/>
            </w:r>
            <w:r w:rsidR="009E74F7">
              <w:rPr>
                <w:noProof/>
                <w:webHidden/>
              </w:rPr>
              <w:instrText xml:space="preserve"> PAGEREF _Toc21610354 \h </w:instrText>
            </w:r>
            <w:r w:rsidR="00CD4B31">
              <w:rPr>
                <w:noProof/>
                <w:webHidden/>
              </w:rPr>
            </w:r>
            <w:r w:rsidR="00CD4B31">
              <w:rPr>
                <w:noProof/>
                <w:webHidden/>
              </w:rPr>
              <w:fldChar w:fldCharType="separate"/>
            </w:r>
            <w:r w:rsidR="009E74F7">
              <w:rPr>
                <w:noProof/>
                <w:webHidden/>
              </w:rPr>
              <w:t>4</w:t>
            </w:r>
            <w:r w:rsidR="00CD4B31">
              <w:rPr>
                <w:noProof/>
                <w:webHidden/>
              </w:rPr>
              <w:fldChar w:fldCharType="end"/>
            </w:r>
          </w:hyperlink>
        </w:p>
        <w:p w:rsidR="009E74F7" w:rsidRDefault="001174D5">
          <w:pPr>
            <w:pStyle w:val="TOC1"/>
            <w:tabs>
              <w:tab w:val="left" w:pos="660"/>
              <w:tab w:val="right" w:leader="dot" w:pos="9019"/>
            </w:tabs>
            <w:rPr>
              <w:rFonts w:asciiTheme="minorHAnsi" w:eastAsiaTheme="minorEastAsia" w:hAnsiTheme="minorHAnsi" w:cstheme="minorBidi"/>
              <w:noProof/>
              <w:sz w:val="22"/>
              <w:szCs w:val="22"/>
            </w:rPr>
          </w:pPr>
          <w:hyperlink w:anchor="_Toc21610355" w:history="1">
            <w:r w:rsidR="009E74F7" w:rsidRPr="00A04386">
              <w:rPr>
                <w:rStyle w:val="Hyperlink"/>
                <w:b/>
                <w:noProof/>
              </w:rPr>
              <w:t>C.</w:t>
            </w:r>
            <w:r w:rsidR="009E74F7">
              <w:rPr>
                <w:rFonts w:asciiTheme="minorHAnsi" w:eastAsiaTheme="minorEastAsia" w:hAnsiTheme="minorHAnsi" w:cstheme="minorBidi"/>
                <w:noProof/>
                <w:sz w:val="22"/>
                <w:szCs w:val="22"/>
              </w:rPr>
              <w:tab/>
            </w:r>
            <w:r w:rsidR="009E74F7" w:rsidRPr="00A04386">
              <w:rPr>
                <w:rStyle w:val="Hyperlink"/>
                <w:b/>
                <w:noProof/>
              </w:rPr>
              <w:t>RECOMMENDATION - 2020 ASSESSED CONTRIBUTION BUDGET RATIOS</w:t>
            </w:r>
            <w:r w:rsidR="009E74F7">
              <w:rPr>
                <w:noProof/>
                <w:webHidden/>
              </w:rPr>
              <w:tab/>
            </w:r>
            <w:r w:rsidR="00CD4B31">
              <w:rPr>
                <w:noProof/>
                <w:webHidden/>
              </w:rPr>
              <w:fldChar w:fldCharType="begin"/>
            </w:r>
            <w:r w:rsidR="009E74F7">
              <w:rPr>
                <w:noProof/>
                <w:webHidden/>
              </w:rPr>
              <w:instrText xml:space="preserve"> PAGEREF _Toc21610355 \h </w:instrText>
            </w:r>
            <w:r w:rsidR="00CD4B31">
              <w:rPr>
                <w:noProof/>
                <w:webHidden/>
              </w:rPr>
            </w:r>
            <w:r w:rsidR="00CD4B31">
              <w:rPr>
                <w:noProof/>
                <w:webHidden/>
              </w:rPr>
              <w:fldChar w:fldCharType="separate"/>
            </w:r>
            <w:r w:rsidR="009E74F7">
              <w:rPr>
                <w:noProof/>
                <w:webHidden/>
              </w:rPr>
              <w:t>6</w:t>
            </w:r>
            <w:r w:rsidR="00CD4B31">
              <w:rPr>
                <w:noProof/>
                <w:webHidden/>
              </w:rPr>
              <w:fldChar w:fldCharType="end"/>
            </w:r>
          </w:hyperlink>
        </w:p>
        <w:p w:rsidR="009E74F7" w:rsidRDefault="001174D5">
          <w:pPr>
            <w:pStyle w:val="TOC1"/>
            <w:tabs>
              <w:tab w:val="left" w:pos="660"/>
              <w:tab w:val="right" w:leader="dot" w:pos="9019"/>
            </w:tabs>
            <w:rPr>
              <w:rFonts w:asciiTheme="minorHAnsi" w:eastAsiaTheme="minorEastAsia" w:hAnsiTheme="minorHAnsi" w:cstheme="minorBidi"/>
              <w:noProof/>
              <w:sz w:val="22"/>
              <w:szCs w:val="22"/>
            </w:rPr>
          </w:pPr>
          <w:hyperlink w:anchor="_Toc21610356" w:history="1">
            <w:r w:rsidR="009E74F7" w:rsidRPr="00A04386">
              <w:rPr>
                <w:rStyle w:val="Hyperlink"/>
                <w:b/>
                <w:noProof/>
              </w:rPr>
              <w:t>D.</w:t>
            </w:r>
            <w:r w:rsidR="009E74F7">
              <w:rPr>
                <w:rFonts w:asciiTheme="minorHAnsi" w:eastAsiaTheme="minorEastAsia" w:hAnsiTheme="minorHAnsi" w:cstheme="minorBidi"/>
                <w:noProof/>
                <w:sz w:val="22"/>
                <w:szCs w:val="22"/>
              </w:rPr>
              <w:tab/>
            </w:r>
            <w:r w:rsidR="009E74F7" w:rsidRPr="00A04386">
              <w:rPr>
                <w:rStyle w:val="Hyperlink"/>
                <w:b/>
                <w:noProof/>
              </w:rPr>
              <w:t>ASSESSED CONTRIBUTION BUDGET RATIOS’ WORKINGS</w:t>
            </w:r>
            <w:r w:rsidR="009E74F7">
              <w:rPr>
                <w:noProof/>
                <w:webHidden/>
              </w:rPr>
              <w:tab/>
            </w:r>
            <w:r w:rsidR="00CD4B31">
              <w:rPr>
                <w:noProof/>
                <w:webHidden/>
              </w:rPr>
              <w:fldChar w:fldCharType="begin"/>
            </w:r>
            <w:r w:rsidR="009E74F7">
              <w:rPr>
                <w:noProof/>
                <w:webHidden/>
              </w:rPr>
              <w:instrText xml:space="preserve"> PAGEREF _Toc21610356 \h </w:instrText>
            </w:r>
            <w:r w:rsidR="00CD4B31">
              <w:rPr>
                <w:noProof/>
                <w:webHidden/>
              </w:rPr>
            </w:r>
            <w:r w:rsidR="00CD4B31">
              <w:rPr>
                <w:noProof/>
                <w:webHidden/>
              </w:rPr>
              <w:fldChar w:fldCharType="separate"/>
            </w:r>
            <w:r w:rsidR="009E74F7">
              <w:rPr>
                <w:noProof/>
                <w:webHidden/>
              </w:rPr>
              <w:t>7</w:t>
            </w:r>
            <w:r w:rsidR="00CD4B31">
              <w:rPr>
                <w:noProof/>
                <w:webHidden/>
              </w:rPr>
              <w:fldChar w:fldCharType="end"/>
            </w:r>
          </w:hyperlink>
        </w:p>
        <w:p w:rsidR="00913E3E" w:rsidRDefault="00CD4B31" w:rsidP="009E74F7">
          <w:pPr>
            <w:tabs>
              <w:tab w:val="left" w:pos="720"/>
            </w:tabs>
            <w:ind w:left="720" w:hanging="720"/>
          </w:pPr>
          <w:r>
            <w:rPr>
              <w:b/>
              <w:bCs/>
              <w:noProof/>
            </w:rPr>
            <w:fldChar w:fldCharType="end"/>
          </w:r>
        </w:p>
      </w:sdtContent>
    </w:sdt>
    <w:p w:rsidR="00934091" w:rsidRDefault="00934091" w:rsidP="003702F8">
      <w:pPr>
        <w:rPr>
          <w:rFonts w:ascii="Arial" w:hAnsi="Arial" w:cs="Arial"/>
          <w:b/>
          <w:noProof/>
          <w:color w:val="000000"/>
        </w:rPr>
        <w:sectPr w:rsidR="00934091" w:rsidSect="00C528FA">
          <w:headerReference w:type="even" r:id="rId11"/>
          <w:headerReference w:type="default" r:id="rId12"/>
          <w:headerReference w:type="first" r:id="rId13"/>
          <w:footerReference w:type="first" r:id="rId14"/>
          <w:pgSz w:w="11909" w:h="16834" w:code="9"/>
          <w:pgMar w:top="864" w:right="1440" w:bottom="864" w:left="1440" w:header="432" w:footer="432" w:gutter="0"/>
          <w:pgNumType w:start="1"/>
          <w:cols w:space="720"/>
          <w:titlePg/>
          <w:docGrid w:linePitch="360"/>
        </w:sectPr>
      </w:pPr>
    </w:p>
    <w:p w:rsidR="00784A4C" w:rsidRDefault="00913E3E" w:rsidP="003702F8">
      <w:pPr>
        <w:rPr>
          <w:rFonts w:ascii="Arial" w:hAnsi="Arial" w:cs="Arial"/>
          <w:b/>
          <w:noProof/>
          <w:color w:val="000000"/>
        </w:rPr>
      </w:pPr>
      <w:r>
        <w:rPr>
          <w:rFonts w:ascii="Arial" w:hAnsi="Arial" w:cs="Arial"/>
          <w:b/>
          <w:noProof/>
          <w:color w:val="000000"/>
        </w:rPr>
        <w:lastRenderedPageBreak/>
        <w:t>20</w:t>
      </w:r>
      <w:r w:rsidR="00981431">
        <w:rPr>
          <w:rFonts w:ascii="Arial" w:hAnsi="Arial" w:cs="Arial"/>
          <w:b/>
          <w:noProof/>
          <w:color w:val="000000"/>
        </w:rPr>
        <w:t xml:space="preserve">20 </w:t>
      </w:r>
      <w:r>
        <w:rPr>
          <w:rFonts w:ascii="Arial" w:hAnsi="Arial" w:cs="Arial"/>
          <w:b/>
          <w:noProof/>
          <w:color w:val="000000"/>
        </w:rPr>
        <w:t>ASSESSED CONTRIBUTION RATIOS</w:t>
      </w:r>
    </w:p>
    <w:p w:rsidR="003702F8" w:rsidRPr="00244110" w:rsidRDefault="003702F8" w:rsidP="003702F8">
      <w:pPr>
        <w:rPr>
          <w:rFonts w:ascii="Arial" w:hAnsi="Arial" w:cs="Arial"/>
          <w:b/>
          <w:noProof/>
          <w:color w:val="000000"/>
        </w:rPr>
      </w:pPr>
    </w:p>
    <w:bookmarkEnd w:id="0"/>
    <w:p w:rsidR="00934091" w:rsidRDefault="00934091" w:rsidP="00934091">
      <w:pPr>
        <w:rPr>
          <w:lang w:val="en-GB"/>
        </w:rPr>
      </w:pPr>
    </w:p>
    <w:p w:rsidR="00934091" w:rsidRDefault="00913E3E" w:rsidP="0082337A">
      <w:pPr>
        <w:pStyle w:val="Heading1"/>
        <w:numPr>
          <w:ilvl w:val="0"/>
          <w:numId w:val="13"/>
        </w:numPr>
        <w:ind w:hanging="720"/>
        <w:jc w:val="both"/>
        <w:rPr>
          <w:rFonts w:cs="Arial"/>
          <w:b/>
        </w:rPr>
      </w:pPr>
      <w:bookmarkStart w:id="2" w:name="_Toc21610353"/>
      <w:r w:rsidRPr="00B33E23">
        <w:rPr>
          <w:rFonts w:cs="Arial"/>
          <w:b/>
        </w:rPr>
        <w:t>STATUS OF IMPLEMENTATION OF DECISIONS OF COUNCIL</w:t>
      </w:r>
      <w:r>
        <w:rPr>
          <w:rFonts w:cs="Arial"/>
          <w:b/>
        </w:rPr>
        <w:t xml:space="preserve"> – ASSESSED CONTRIBUTION BUDGET RATIOS</w:t>
      </w:r>
      <w:bookmarkEnd w:id="2"/>
    </w:p>
    <w:p w:rsidR="0082337A" w:rsidRPr="00913E3E" w:rsidRDefault="0082337A" w:rsidP="00913E3E">
      <w:pPr>
        <w:jc w:val="both"/>
        <w:rPr>
          <w:rFonts w:ascii="Arial" w:hAnsi="Arial" w:cs="Arial"/>
          <w:lang w:val="en-GB"/>
        </w:rPr>
      </w:pPr>
    </w:p>
    <w:p w:rsidR="00AD0CBC" w:rsidRPr="00913E3E" w:rsidRDefault="003F6A04" w:rsidP="00913E3E">
      <w:pPr>
        <w:pStyle w:val="ListParagraph"/>
        <w:numPr>
          <w:ilvl w:val="0"/>
          <w:numId w:val="18"/>
        </w:numPr>
        <w:tabs>
          <w:tab w:val="left" w:pos="720"/>
        </w:tabs>
        <w:ind w:left="0" w:firstLine="0"/>
        <w:jc w:val="both"/>
        <w:rPr>
          <w:rFonts w:ascii="Arial" w:hAnsi="Arial" w:cs="Arial"/>
        </w:rPr>
      </w:pPr>
      <w:r w:rsidRPr="00913E3E">
        <w:rPr>
          <w:rFonts w:ascii="Arial" w:hAnsi="Arial" w:cs="Arial"/>
        </w:rPr>
        <w:t>The Secretariat is consulting the Chair (Madagascar) on convening the meeting of the Ministers of Finance</w:t>
      </w:r>
      <w:r w:rsidR="00AD0CBC" w:rsidRPr="00913E3E">
        <w:rPr>
          <w:rFonts w:ascii="Arial" w:hAnsi="Arial" w:cs="Arial"/>
        </w:rPr>
        <w:t xml:space="preserve"> to consider and deliberate on decisions made by Council, which relates to: -</w:t>
      </w:r>
    </w:p>
    <w:p w:rsidR="00AD0CBC" w:rsidRPr="00913E3E" w:rsidRDefault="00AD0CBC" w:rsidP="00B33E23">
      <w:pPr>
        <w:jc w:val="both"/>
        <w:rPr>
          <w:rFonts w:ascii="Arial" w:hAnsi="Arial" w:cs="Arial"/>
          <w:lang w:val="en-GB"/>
        </w:rPr>
      </w:pPr>
    </w:p>
    <w:p w:rsidR="00AD0CBC" w:rsidRPr="00913E3E" w:rsidRDefault="00DF717E" w:rsidP="00B33E23">
      <w:pPr>
        <w:pStyle w:val="ListParagraph"/>
        <w:numPr>
          <w:ilvl w:val="0"/>
          <w:numId w:val="17"/>
        </w:numPr>
        <w:jc w:val="both"/>
        <w:rPr>
          <w:rFonts w:ascii="Arial" w:hAnsi="Arial" w:cs="Arial"/>
          <w:lang w:val="en-GB"/>
        </w:rPr>
      </w:pPr>
      <w:r w:rsidRPr="00913E3E">
        <w:rPr>
          <w:rFonts w:ascii="Arial" w:hAnsi="Arial" w:cs="Arial"/>
          <w:lang w:val="en-GB"/>
        </w:rPr>
        <w:t>Non-and</w:t>
      </w:r>
      <w:r w:rsidR="00B33E23" w:rsidRPr="00913E3E">
        <w:rPr>
          <w:rFonts w:ascii="Arial" w:hAnsi="Arial" w:cs="Arial"/>
          <w:lang w:val="en-GB"/>
        </w:rPr>
        <w:t xml:space="preserve"> or late r</w:t>
      </w:r>
      <w:r w:rsidR="00AD0CBC" w:rsidRPr="00913E3E">
        <w:rPr>
          <w:rFonts w:ascii="Arial" w:hAnsi="Arial" w:cs="Arial"/>
          <w:lang w:val="en-GB"/>
        </w:rPr>
        <w:t>emittance</w:t>
      </w:r>
      <w:r w:rsidR="00B33E23" w:rsidRPr="00913E3E">
        <w:rPr>
          <w:rFonts w:ascii="Arial" w:hAnsi="Arial" w:cs="Arial"/>
          <w:lang w:val="en-GB"/>
        </w:rPr>
        <w:t xml:space="preserve"> of annual Member States;</w:t>
      </w:r>
    </w:p>
    <w:p w:rsidR="00B33E23" w:rsidRPr="00913E3E" w:rsidRDefault="00B33E23" w:rsidP="00B33E23">
      <w:pPr>
        <w:pStyle w:val="ListParagraph"/>
        <w:ind w:left="2160"/>
        <w:jc w:val="both"/>
        <w:rPr>
          <w:rFonts w:ascii="Arial" w:hAnsi="Arial" w:cs="Arial"/>
          <w:lang w:val="en-GB"/>
        </w:rPr>
      </w:pPr>
    </w:p>
    <w:p w:rsidR="00B33E23" w:rsidRPr="00913E3E" w:rsidRDefault="00B33E23" w:rsidP="00B33E23">
      <w:pPr>
        <w:pStyle w:val="ListParagraph"/>
        <w:numPr>
          <w:ilvl w:val="0"/>
          <w:numId w:val="17"/>
        </w:numPr>
        <w:jc w:val="both"/>
        <w:rPr>
          <w:rFonts w:ascii="Arial" w:hAnsi="Arial" w:cs="Arial"/>
          <w:lang w:val="en-GB"/>
        </w:rPr>
      </w:pPr>
      <w:r w:rsidRPr="00913E3E">
        <w:rPr>
          <w:rFonts w:ascii="Arial" w:hAnsi="Arial" w:cs="Arial"/>
          <w:lang w:val="en-GB"/>
        </w:rPr>
        <w:t xml:space="preserve">Libya’s request for COMESA to examine the parameters of her assessed contributions ratio </w:t>
      </w:r>
      <w:r w:rsidR="00DF717E" w:rsidRPr="00913E3E">
        <w:rPr>
          <w:rFonts w:ascii="Arial" w:hAnsi="Arial" w:cs="Arial"/>
          <w:lang w:val="en-GB"/>
        </w:rPr>
        <w:t>considering</w:t>
      </w:r>
      <w:r w:rsidRPr="00913E3E">
        <w:rPr>
          <w:rFonts w:ascii="Arial" w:hAnsi="Arial" w:cs="Arial"/>
          <w:lang w:val="en-GB"/>
        </w:rPr>
        <w:t xml:space="preserve"> the significant economic challenges she is facing;</w:t>
      </w:r>
      <w:r w:rsidR="0082337A" w:rsidRPr="00913E3E">
        <w:rPr>
          <w:rFonts w:ascii="Arial" w:hAnsi="Arial" w:cs="Arial"/>
          <w:lang w:val="en-GB"/>
        </w:rPr>
        <w:t xml:space="preserve"> and </w:t>
      </w:r>
    </w:p>
    <w:p w:rsidR="00B33E23" w:rsidRPr="00913E3E" w:rsidRDefault="00B33E23" w:rsidP="00B33E23">
      <w:pPr>
        <w:pStyle w:val="ListParagraph"/>
        <w:rPr>
          <w:rFonts w:ascii="Arial" w:hAnsi="Arial" w:cs="Arial"/>
          <w:lang w:val="en-GB"/>
        </w:rPr>
      </w:pPr>
    </w:p>
    <w:p w:rsidR="00B33E23" w:rsidRPr="00913E3E" w:rsidRDefault="00B33E23" w:rsidP="00B33E23">
      <w:pPr>
        <w:pStyle w:val="ListParagraph"/>
        <w:numPr>
          <w:ilvl w:val="0"/>
          <w:numId w:val="17"/>
        </w:numPr>
        <w:jc w:val="both"/>
        <w:rPr>
          <w:rFonts w:ascii="Arial" w:hAnsi="Arial" w:cs="Arial"/>
          <w:lang w:val="en-GB"/>
        </w:rPr>
      </w:pPr>
      <w:r w:rsidRPr="00913E3E">
        <w:rPr>
          <w:rFonts w:ascii="Arial" w:hAnsi="Arial" w:cs="Arial"/>
          <w:lang w:val="en-GB"/>
        </w:rPr>
        <w:t xml:space="preserve">Examination of whether the parameters </w:t>
      </w:r>
      <w:r w:rsidR="0082337A" w:rsidRPr="00913E3E">
        <w:rPr>
          <w:rFonts w:ascii="Arial" w:hAnsi="Arial" w:cs="Arial"/>
          <w:lang w:val="en-GB"/>
        </w:rPr>
        <w:t xml:space="preserve">should remain the same, as these have not changed </w:t>
      </w:r>
      <w:r w:rsidRPr="00913E3E">
        <w:rPr>
          <w:rFonts w:ascii="Arial" w:hAnsi="Arial" w:cs="Arial"/>
          <w:lang w:val="en-GB"/>
        </w:rPr>
        <w:t>in 2016 and 20</w:t>
      </w:r>
      <w:r w:rsidR="0082337A" w:rsidRPr="00913E3E">
        <w:rPr>
          <w:rFonts w:ascii="Arial" w:hAnsi="Arial" w:cs="Arial"/>
          <w:lang w:val="en-GB"/>
        </w:rPr>
        <w:t>17.</w:t>
      </w:r>
    </w:p>
    <w:p w:rsidR="00AD0CBC" w:rsidRPr="00913E3E" w:rsidRDefault="00AD0CBC" w:rsidP="00B33E23">
      <w:pPr>
        <w:pStyle w:val="ListParagraph"/>
        <w:ind w:left="2160"/>
        <w:rPr>
          <w:rFonts w:ascii="Arial" w:hAnsi="Arial" w:cs="Arial"/>
          <w:lang w:val="en-GB"/>
        </w:rPr>
      </w:pPr>
    </w:p>
    <w:p w:rsidR="003F6A04" w:rsidRPr="00913E3E" w:rsidRDefault="0082337A" w:rsidP="00913E3E">
      <w:pPr>
        <w:pStyle w:val="ListParagraph"/>
        <w:numPr>
          <w:ilvl w:val="0"/>
          <w:numId w:val="18"/>
        </w:numPr>
        <w:tabs>
          <w:tab w:val="left" w:pos="720"/>
        </w:tabs>
        <w:ind w:left="0" w:firstLine="0"/>
        <w:jc w:val="both"/>
        <w:rPr>
          <w:rFonts w:ascii="Arial" w:hAnsi="Arial" w:cs="Arial"/>
        </w:rPr>
      </w:pPr>
      <w:r w:rsidRPr="00913E3E">
        <w:rPr>
          <w:rFonts w:ascii="Arial" w:hAnsi="Arial" w:cs="Arial"/>
        </w:rPr>
        <w:t>The matters to be considered by the Ministers of Finance, are outlined below: -</w:t>
      </w:r>
    </w:p>
    <w:p w:rsidR="003F6A04" w:rsidRDefault="003F6A04" w:rsidP="00934091">
      <w:pPr>
        <w:rPr>
          <w:b/>
          <w:lang w:val="en-GB"/>
        </w:rPr>
      </w:pPr>
    </w:p>
    <w:p w:rsidR="00AD0CBC" w:rsidRDefault="002832A0" w:rsidP="002832A0">
      <w:pPr>
        <w:jc w:val="both"/>
        <w:rPr>
          <w:rFonts w:ascii="Arial" w:hAnsi="Arial" w:cs="Arial"/>
          <w:b/>
          <w:bCs/>
          <w:sz w:val="18"/>
          <w:szCs w:val="18"/>
        </w:rPr>
      </w:pPr>
      <w:r>
        <w:rPr>
          <w:rFonts w:ascii="Arial" w:hAnsi="Arial" w:cs="Arial"/>
          <w:b/>
          <w:bCs/>
          <w:sz w:val="18"/>
          <w:szCs w:val="18"/>
        </w:rPr>
        <w:t>October 2016 Council Decisions – Outstanding Council Decisions</w:t>
      </w:r>
    </w:p>
    <w:p w:rsidR="002832A0" w:rsidRPr="00AD0CBC" w:rsidRDefault="00AD0CBC" w:rsidP="002832A0">
      <w:pPr>
        <w:jc w:val="both"/>
        <w:rPr>
          <w:rFonts w:ascii="Arial" w:hAnsi="Arial" w:cs="Arial"/>
          <w:bCs/>
          <w:i/>
          <w:sz w:val="18"/>
          <w:szCs w:val="18"/>
        </w:rPr>
      </w:pPr>
      <w:r w:rsidRPr="00AD0CBC">
        <w:rPr>
          <w:rFonts w:ascii="Arial" w:hAnsi="Arial" w:cs="Arial"/>
          <w:bCs/>
          <w:i/>
          <w:sz w:val="18"/>
          <w:szCs w:val="18"/>
        </w:rPr>
        <w:t xml:space="preserve">(Extract of Report </w:t>
      </w:r>
      <w:r>
        <w:rPr>
          <w:rFonts w:ascii="Arial" w:hAnsi="Arial" w:cs="Arial"/>
          <w:bCs/>
          <w:i/>
          <w:sz w:val="18"/>
          <w:szCs w:val="18"/>
        </w:rPr>
        <w:t>compiled by Internal Audit on status of implementation of Council decisions)</w:t>
      </w:r>
    </w:p>
    <w:tbl>
      <w:tblPr>
        <w:tblStyle w:val="TableGrid"/>
        <w:tblW w:w="8905" w:type="dxa"/>
        <w:tblLook w:val="04A0" w:firstRow="1" w:lastRow="0" w:firstColumn="1" w:lastColumn="0" w:noHBand="0" w:noVBand="1"/>
      </w:tblPr>
      <w:tblGrid>
        <w:gridCol w:w="456"/>
        <w:gridCol w:w="2689"/>
        <w:gridCol w:w="2970"/>
        <w:gridCol w:w="2790"/>
      </w:tblGrid>
      <w:tr w:rsidR="003F6A04" w:rsidRPr="00DF5A6D" w:rsidTr="003F6A04">
        <w:tc>
          <w:tcPr>
            <w:tcW w:w="456" w:type="dxa"/>
            <w:shd w:val="clear" w:color="auto" w:fill="D9D9D9" w:themeFill="background1" w:themeFillShade="D9"/>
          </w:tcPr>
          <w:p w:rsidR="003F6A04" w:rsidRPr="00DF5A6D" w:rsidRDefault="003F6A04" w:rsidP="00B33E23">
            <w:pPr>
              <w:jc w:val="both"/>
              <w:rPr>
                <w:rFonts w:ascii="Arial" w:hAnsi="Arial" w:cs="Arial"/>
                <w:b/>
                <w:bCs/>
                <w:sz w:val="16"/>
                <w:szCs w:val="16"/>
              </w:rPr>
            </w:pPr>
            <w:r w:rsidRPr="00DF5A6D">
              <w:rPr>
                <w:rFonts w:ascii="Arial" w:hAnsi="Arial" w:cs="Arial"/>
                <w:b/>
                <w:bCs/>
                <w:sz w:val="16"/>
                <w:szCs w:val="16"/>
              </w:rPr>
              <w:t>No</w:t>
            </w:r>
          </w:p>
        </w:tc>
        <w:tc>
          <w:tcPr>
            <w:tcW w:w="2689" w:type="dxa"/>
            <w:shd w:val="clear" w:color="auto" w:fill="D9D9D9" w:themeFill="background1" w:themeFillShade="D9"/>
          </w:tcPr>
          <w:p w:rsidR="003F6A04" w:rsidRPr="00DF5A6D" w:rsidRDefault="003F6A04" w:rsidP="00B33E23">
            <w:pPr>
              <w:jc w:val="both"/>
              <w:rPr>
                <w:rFonts w:ascii="Arial" w:hAnsi="Arial" w:cs="Arial"/>
                <w:b/>
                <w:bCs/>
                <w:sz w:val="16"/>
                <w:szCs w:val="16"/>
              </w:rPr>
            </w:pPr>
            <w:r w:rsidRPr="00DF5A6D">
              <w:rPr>
                <w:rFonts w:ascii="Arial" w:hAnsi="Arial" w:cs="Arial"/>
                <w:b/>
                <w:bCs/>
                <w:sz w:val="16"/>
                <w:szCs w:val="16"/>
              </w:rPr>
              <w:t>Decision</w:t>
            </w:r>
          </w:p>
        </w:tc>
        <w:tc>
          <w:tcPr>
            <w:tcW w:w="2970" w:type="dxa"/>
            <w:shd w:val="clear" w:color="auto" w:fill="D9D9D9" w:themeFill="background1" w:themeFillShade="D9"/>
          </w:tcPr>
          <w:p w:rsidR="003F6A04" w:rsidRPr="00DF5A6D" w:rsidRDefault="003F6A04" w:rsidP="00B33E23">
            <w:pPr>
              <w:jc w:val="both"/>
              <w:rPr>
                <w:rFonts w:ascii="Arial" w:hAnsi="Arial" w:cs="Arial"/>
                <w:b/>
                <w:bCs/>
                <w:sz w:val="16"/>
                <w:szCs w:val="16"/>
              </w:rPr>
            </w:pPr>
            <w:r w:rsidRPr="00DF5A6D">
              <w:rPr>
                <w:rFonts w:ascii="Arial" w:hAnsi="Arial" w:cs="Arial"/>
                <w:b/>
                <w:bCs/>
                <w:sz w:val="16"/>
                <w:szCs w:val="16"/>
              </w:rPr>
              <w:t>Context</w:t>
            </w:r>
          </w:p>
        </w:tc>
        <w:tc>
          <w:tcPr>
            <w:tcW w:w="2790" w:type="dxa"/>
            <w:shd w:val="clear" w:color="auto" w:fill="D9D9D9" w:themeFill="background1" w:themeFillShade="D9"/>
          </w:tcPr>
          <w:p w:rsidR="003F6A04" w:rsidRPr="00DF5A6D" w:rsidRDefault="003F6A04" w:rsidP="00B33E23">
            <w:pPr>
              <w:jc w:val="both"/>
              <w:rPr>
                <w:rFonts w:ascii="Arial" w:hAnsi="Arial" w:cs="Arial"/>
                <w:b/>
                <w:bCs/>
                <w:sz w:val="16"/>
                <w:szCs w:val="16"/>
              </w:rPr>
            </w:pPr>
            <w:r w:rsidRPr="00DF5A6D">
              <w:rPr>
                <w:rFonts w:ascii="Arial" w:hAnsi="Arial" w:cs="Arial"/>
                <w:b/>
                <w:bCs/>
                <w:sz w:val="16"/>
                <w:szCs w:val="16"/>
              </w:rPr>
              <w:t xml:space="preserve">Implementation Status </w:t>
            </w:r>
          </w:p>
        </w:tc>
      </w:tr>
      <w:tr w:rsidR="003F6A04" w:rsidRPr="00153555" w:rsidTr="003F6A04">
        <w:trPr>
          <w:trHeight w:val="1850"/>
        </w:trPr>
        <w:tc>
          <w:tcPr>
            <w:tcW w:w="456" w:type="dxa"/>
            <w:tcBorders>
              <w:bottom w:val="single" w:sz="4" w:space="0" w:color="auto"/>
            </w:tcBorders>
          </w:tcPr>
          <w:p w:rsidR="003F6A04" w:rsidRPr="00153555" w:rsidRDefault="003F6A04" w:rsidP="00B33E23">
            <w:pPr>
              <w:jc w:val="both"/>
              <w:rPr>
                <w:rFonts w:ascii="Arial" w:hAnsi="Arial" w:cs="Arial"/>
                <w:bCs/>
                <w:sz w:val="16"/>
                <w:szCs w:val="16"/>
              </w:rPr>
            </w:pPr>
            <w:r w:rsidRPr="00153555">
              <w:rPr>
                <w:rFonts w:ascii="Arial" w:hAnsi="Arial" w:cs="Arial"/>
                <w:bCs/>
                <w:sz w:val="16"/>
                <w:szCs w:val="16"/>
              </w:rPr>
              <w:t>1</w:t>
            </w:r>
          </w:p>
        </w:tc>
        <w:tc>
          <w:tcPr>
            <w:tcW w:w="2689" w:type="dxa"/>
            <w:tcBorders>
              <w:bottom w:val="single" w:sz="4" w:space="0" w:color="auto"/>
            </w:tcBorders>
          </w:tcPr>
          <w:p w:rsidR="003F6A04" w:rsidRPr="00153555" w:rsidRDefault="003F6A04" w:rsidP="00B33E23">
            <w:pPr>
              <w:contextualSpacing/>
              <w:jc w:val="both"/>
              <w:rPr>
                <w:rFonts w:ascii="Arial" w:hAnsi="Arial" w:cs="Arial"/>
                <w:bCs/>
                <w:sz w:val="16"/>
                <w:szCs w:val="16"/>
              </w:rPr>
            </w:pPr>
            <w:r w:rsidRPr="00153555">
              <w:rPr>
                <w:rFonts w:ascii="Arial" w:eastAsiaTheme="minorEastAsia" w:hAnsi="Arial" w:cs="Arial"/>
                <w:sz w:val="16"/>
                <w:szCs w:val="16"/>
              </w:rPr>
              <w:t xml:space="preserve">The Secretariat should submit a report on the status of contributions payable by Member States to the Ministers of Finance and Governors of the Central Banks Meeting and that of the COMESA Fund Ministerial meeting; </w:t>
            </w:r>
          </w:p>
        </w:tc>
        <w:tc>
          <w:tcPr>
            <w:tcW w:w="2970" w:type="dxa"/>
            <w:tcBorders>
              <w:bottom w:val="single" w:sz="4" w:space="0" w:color="auto"/>
            </w:tcBorders>
          </w:tcPr>
          <w:p w:rsidR="003F6A04" w:rsidRPr="00153555" w:rsidRDefault="003F6A04" w:rsidP="00B33E23">
            <w:pPr>
              <w:jc w:val="both"/>
              <w:rPr>
                <w:rFonts w:ascii="Arial" w:hAnsi="Arial" w:cs="Arial"/>
                <w:bCs/>
                <w:sz w:val="16"/>
                <w:szCs w:val="16"/>
              </w:rPr>
            </w:pPr>
            <w:r w:rsidRPr="00153555">
              <w:rPr>
                <w:rFonts w:ascii="Arial" w:hAnsi="Arial" w:cs="Arial"/>
                <w:sz w:val="16"/>
                <w:szCs w:val="16"/>
              </w:rPr>
              <w:t>It was suggested that during the up-coming Council of Ministers meeting and Summit, there should be a substantive agenda on the low payment of contributions by Member States.  This matter should also be considered by the Ministers of Finance during the COMESA Fund and Governors of Central Banks meetings</w:t>
            </w:r>
          </w:p>
        </w:tc>
        <w:tc>
          <w:tcPr>
            <w:tcW w:w="2790" w:type="dxa"/>
            <w:vMerge w:val="restart"/>
            <w:tcBorders>
              <w:bottom w:val="single" w:sz="4" w:space="0" w:color="auto"/>
            </w:tcBorders>
          </w:tcPr>
          <w:p w:rsidR="00C5036F" w:rsidRPr="00C5036F" w:rsidRDefault="00C5036F" w:rsidP="00C5036F">
            <w:pPr>
              <w:jc w:val="both"/>
              <w:rPr>
                <w:rFonts w:ascii="Arial" w:hAnsi="Arial" w:cs="Arial"/>
                <w:bCs/>
                <w:sz w:val="16"/>
                <w:szCs w:val="16"/>
              </w:rPr>
            </w:pPr>
            <w:r w:rsidRPr="00C5036F">
              <w:rPr>
                <w:rFonts w:ascii="Arial" w:hAnsi="Arial" w:cs="Arial"/>
                <w:bCs/>
                <w:sz w:val="16"/>
                <w:szCs w:val="16"/>
              </w:rPr>
              <w:t xml:space="preserve">Paper is ready. </w:t>
            </w:r>
          </w:p>
          <w:p w:rsidR="003F6A04" w:rsidRDefault="00C5036F" w:rsidP="00C5036F">
            <w:pPr>
              <w:jc w:val="both"/>
              <w:rPr>
                <w:rFonts w:ascii="Arial" w:hAnsi="Arial" w:cs="Arial"/>
                <w:bCs/>
                <w:sz w:val="16"/>
                <w:szCs w:val="16"/>
              </w:rPr>
            </w:pPr>
            <w:r w:rsidRPr="00C5036F">
              <w:rPr>
                <w:rFonts w:ascii="Arial" w:hAnsi="Arial" w:cs="Arial"/>
                <w:bCs/>
                <w:sz w:val="16"/>
                <w:szCs w:val="16"/>
              </w:rPr>
              <w:t>Meeting is yet to be convened.</w:t>
            </w:r>
          </w:p>
          <w:p w:rsidR="00C5036F" w:rsidRDefault="00C5036F" w:rsidP="00C5036F">
            <w:pPr>
              <w:jc w:val="both"/>
              <w:rPr>
                <w:rFonts w:ascii="Arial" w:hAnsi="Arial" w:cs="Arial"/>
                <w:bCs/>
                <w:sz w:val="16"/>
                <w:szCs w:val="16"/>
              </w:rPr>
            </w:pPr>
          </w:p>
          <w:p w:rsidR="003F6A04" w:rsidRPr="00ED7DDE" w:rsidRDefault="003F6A04" w:rsidP="00B33E23">
            <w:pPr>
              <w:jc w:val="both"/>
              <w:rPr>
                <w:rFonts w:ascii="Arial" w:hAnsi="Arial" w:cs="Arial"/>
                <w:bCs/>
                <w:i/>
                <w:sz w:val="16"/>
                <w:szCs w:val="16"/>
              </w:rPr>
            </w:pPr>
            <w:r w:rsidRPr="00ED7DDE">
              <w:rPr>
                <w:rFonts w:ascii="Arial" w:hAnsi="Arial" w:cs="Arial"/>
                <w:bCs/>
                <w:i/>
                <w:sz w:val="16"/>
                <w:szCs w:val="16"/>
              </w:rPr>
              <w:t>Time-frame: Dates are yet to be deliberated on.</w:t>
            </w:r>
          </w:p>
          <w:p w:rsidR="003F6A04" w:rsidRPr="00153555" w:rsidRDefault="003F6A04" w:rsidP="00B33E23">
            <w:pPr>
              <w:jc w:val="both"/>
              <w:rPr>
                <w:rFonts w:ascii="Arial" w:hAnsi="Arial" w:cs="Arial"/>
                <w:bCs/>
                <w:sz w:val="16"/>
                <w:szCs w:val="16"/>
              </w:rPr>
            </w:pPr>
          </w:p>
        </w:tc>
      </w:tr>
      <w:tr w:rsidR="003F6A04" w:rsidRPr="00153555" w:rsidTr="003F6A04">
        <w:tc>
          <w:tcPr>
            <w:tcW w:w="456" w:type="dxa"/>
          </w:tcPr>
          <w:p w:rsidR="003F6A04" w:rsidRPr="00153555" w:rsidRDefault="003F6A04" w:rsidP="00B33E23">
            <w:pPr>
              <w:jc w:val="both"/>
              <w:rPr>
                <w:rFonts w:ascii="Arial" w:hAnsi="Arial" w:cs="Arial"/>
                <w:bCs/>
                <w:sz w:val="16"/>
                <w:szCs w:val="16"/>
              </w:rPr>
            </w:pPr>
            <w:r w:rsidRPr="00153555">
              <w:rPr>
                <w:rFonts w:ascii="Arial" w:hAnsi="Arial" w:cs="Arial"/>
                <w:bCs/>
                <w:sz w:val="16"/>
                <w:szCs w:val="16"/>
              </w:rPr>
              <w:t>3</w:t>
            </w:r>
          </w:p>
        </w:tc>
        <w:tc>
          <w:tcPr>
            <w:tcW w:w="2689" w:type="dxa"/>
          </w:tcPr>
          <w:p w:rsidR="003F6A04" w:rsidRPr="00EB4A8B" w:rsidRDefault="003F6A04" w:rsidP="00B33E23">
            <w:pPr>
              <w:contextualSpacing/>
              <w:jc w:val="both"/>
              <w:rPr>
                <w:rFonts w:ascii="Arial" w:hAnsi="Arial" w:cs="Arial"/>
                <w:bCs/>
                <w:sz w:val="16"/>
                <w:szCs w:val="16"/>
              </w:rPr>
            </w:pPr>
            <w:r w:rsidRPr="00EB4A8B">
              <w:rPr>
                <w:rFonts w:ascii="Arial" w:eastAsiaTheme="minorEastAsia" w:hAnsi="Arial" w:cs="Arial"/>
                <w:sz w:val="16"/>
                <w:szCs w:val="16"/>
              </w:rPr>
              <w:t>Libya’s request on her assessed contributions ratio be subjected to the formula on assessment of contribution ratios in the light of the new challenges being faced by the Member State</w:t>
            </w:r>
          </w:p>
        </w:tc>
        <w:tc>
          <w:tcPr>
            <w:tcW w:w="2970" w:type="dxa"/>
          </w:tcPr>
          <w:p w:rsidR="003F6A04" w:rsidRPr="00EB4A8B" w:rsidRDefault="003F6A04" w:rsidP="00B33E23">
            <w:pPr>
              <w:jc w:val="both"/>
              <w:rPr>
                <w:rFonts w:ascii="Arial" w:eastAsiaTheme="minorEastAsia" w:hAnsi="Arial" w:cs="Arial"/>
              </w:rPr>
            </w:pPr>
            <w:r w:rsidRPr="00EB4A8B">
              <w:rPr>
                <w:rFonts w:ascii="Arial" w:eastAsiaTheme="minorEastAsia" w:hAnsi="Arial" w:cs="Arial"/>
                <w:sz w:val="16"/>
                <w:szCs w:val="16"/>
              </w:rPr>
              <w:t>Libya requested that her assessment contribution ratio be reduced from the current 12% to 3% because of her current challenging situation and also requested for a repayment to be approved by the Authority.  On the assessed contribution to be reduced to 3%, Council informed Libya that this will follow the formula adopted by the Council of Ministers</w:t>
            </w:r>
            <w:r w:rsidRPr="00EB4A8B">
              <w:rPr>
                <w:rFonts w:ascii="Arial" w:eastAsiaTheme="minorEastAsia" w:hAnsi="Arial" w:cs="Arial"/>
              </w:rPr>
              <w:t>.</w:t>
            </w:r>
          </w:p>
          <w:p w:rsidR="003F6A04" w:rsidRPr="00EB4A8B" w:rsidRDefault="003F6A04" w:rsidP="00B33E23">
            <w:pPr>
              <w:jc w:val="both"/>
              <w:rPr>
                <w:rFonts w:ascii="Arial" w:hAnsi="Arial" w:cs="Arial"/>
                <w:bCs/>
                <w:sz w:val="16"/>
                <w:szCs w:val="16"/>
              </w:rPr>
            </w:pPr>
          </w:p>
        </w:tc>
        <w:tc>
          <w:tcPr>
            <w:tcW w:w="2790" w:type="dxa"/>
            <w:vMerge/>
          </w:tcPr>
          <w:p w:rsidR="003F6A04" w:rsidRPr="00EB4A8B" w:rsidRDefault="003F6A04" w:rsidP="00B33E23">
            <w:pPr>
              <w:jc w:val="both"/>
              <w:rPr>
                <w:rFonts w:ascii="Arial" w:hAnsi="Arial" w:cs="Arial"/>
                <w:bCs/>
                <w:sz w:val="16"/>
                <w:szCs w:val="16"/>
              </w:rPr>
            </w:pPr>
          </w:p>
        </w:tc>
      </w:tr>
      <w:tr w:rsidR="003F6A04" w:rsidRPr="00153555" w:rsidTr="003F6A04">
        <w:trPr>
          <w:trHeight w:val="1666"/>
        </w:trPr>
        <w:tc>
          <w:tcPr>
            <w:tcW w:w="456" w:type="dxa"/>
          </w:tcPr>
          <w:p w:rsidR="003F6A04" w:rsidRPr="00227B81" w:rsidRDefault="003F6A04" w:rsidP="00B33E23">
            <w:pPr>
              <w:jc w:val="both"/>
              <w:rPr>
                <w:rFonts w:ascii="Arial" w:hAnsi="Arial" w:cs="Arial"/>
                <w:bCs/>
                <w:sz w:val="16"/>
                <w:szCs w:val="16"/>
              </w:rPr>
            </w:pPr>
            <w:r>
              <w:rPr>
                <w:rFonts w:ascii="Arial" w:hAnsi="Arial" w:cs="Arial"/>
                <w:bCs/>
                <w:sz w:val="16"/>
                <w:szCs w:val="16"/>
              </w:rPr>
              <w:t>8</w:t>
            </w:r>
          </w:p>
        </w:tc>
        <w:tc>
          <w:tcPr>
            <w:tcW w:w="2689" w:type="dxa"/>
          </w:tcPr>
          <w:p w:rsidR="003F6A04" w:rsidRPr="00227B81" w:rsidRDefault="003F6A04" w:rsidP="00B33E23">
            <w:pPr>
              <w:contextualSpacing/>
              <w:jc w:val="both"/>
              <w:rPr>
                <w:rFonts w:ascii="Arial" w:hAnsi="Arial" w:cs="Arial"/>
                <w:bCs/>
                <w:sz w:val="16"/>
                <w:szCs w:val="16"/>
              </w:rPr>
            </w:pPr>
            <w:r w:rsidRPr="00227B81">
              <w:rPr>
                <w:rFonts w:ascii="Arial" w:hAnsi="Arial" w:cs="Arial"/>
                <w:sz w:val="16"/>
                <w:szCs w:val="16"/>
              </w:rPr>
              <w:t>The Secretariat should undertake a review of the formula of contributions and present the same to the Policy Organs meeting through the Ministers of Finance.</w:t>
            </w:r>
          </w:p>
        </w:tc>
        <w:tc>
          <w:tcPr>
            <w:tcW w:w="2970" w:type="dxa"/>
          </w:tcPr>
          <w:p w:rsidR="003F6A04" w:rsidRPr="00227B81" w:rsidRDefault="003F6A04" w:rsidP="00B33E23">
            <w:pPr>
              <w:jc w:val="both"/>
              <w:rPr>
                <w:rFonts w:ascii="Arial" w:hAnsi="Arial" w:cs="Arial"/>
                <w:bCs/>
                <w:sz w:val="16"/>
                <w:szCs w:val="16"/>
              </w:rPr>
            </w:pPr>
            <w:r w:rsidRPr="00227B81">
              <w:rPr>
                <w:rFonts w:ascii="Arial" w:hAnsi="Arial" w:cs="Arial"/>
                <w:sz w:val="16"/>
                <w:szCs w:val="16"/>
              </w:rPr>
              <w:t>Council noted that despite some economic challenges faced by some Member States, the assessed contribution ratio</w:t>
            </w:r>
            <w:r w:rsidR="00DF717E">
              <w:rPr>
                <w:rFonts w:ascii="Arial" w:hAnsi="Arial" w:cs="Arial"/>
                <w:sz w:val="16"/>
                <w:szCs w:val="16"/>
              </w:rPr>
              <w:t>s</w:t>
            </w:r>
            <w:r w:rsidRPr="00227B81">
              <w:rPr>
                <w:rFonts w:ascii="Arial" w:hAnsi="Arial" w:cs="Arial"/>
                <w:sz w:val="16"/>
                <w:szCs w:val="16"/>
              </w:rPr>
              <w:t xml:space="preserve"> have remained the same in 2016 and 2017.</w:t>
            </w:r>
          </w:p>
        </w:tc>
        <w:tc>
          <w:tcPr>
            <w:tcW w:w="2790" w:type="dxa"/>
          </w:tcPr>
          <w:p w:rsidR="00C5036F" w:rsidRPr="00C5036F" w:rsidRDefault="00C5036F" w:rsidP="00C5036F">
            <w:pPr>
              <w:jc w:val="both"/>
              <w:rPr>
                <w:rFonts w:ascii="Arial" w:hAnsi="Arial" w:cs="Arial"/>
                <w:bCs/>
                <w:sz w:val="16"/>
                <w:szCs w:val="16"/>
              </w:rPr>
            </w:pPr>
            <w:r w:rsidRPr="00C5036F">
              <w:rPr>
                <w:rFonts w:ascii="Arial" w:hAnsi="Arial" w:cs="Arial"/>
                <w:bCs/>
                <w:sz w:val="16"/>
                <w:szCs w:val="16"/>
              </w:rPr>
              <w:t xml:space="preserve">Paper is ready. </w:t>
            </w:r>
          </w:p>
          <w:p w:rsidR="00C5036F" w:rsidRDefault="00C5036F" w:rsidP="00C5036F">
            <w:pPr>
              <w:jc w:val="both"/>
              <w:rPr>
                <w:rFonts w:ascii="Arial" w:hAnsi="Arial" w:cs="Arial"/>
                <w:bCs/>
                <w:sz w:val="16"/>
                <w:szCs w:val="16"/>
              </w:rPr>
            </w:pPr>
            <w:r w:rsidRPr="00C5036F">
              <w:rPr>
                <w:rFonts w:ascii="Arial" w:hAnsi="Arial" w:cs="Arial"/>
                <w:bCs/>
                <w:sz w:val="16"/>
                <w:szCs w:val="16"/>
              </w:rPr>
              <w:t>Meeting is yet to be convened.</w:t>
            </w:r>
          </w:p>
          <w:p w:rsidR="00C5036F" w:rsidRDefault="00C5036F" w:rsidP="00C5036F">
            <w:pPr>
              <w:jc w:val="both"/>
              <w:rPr>
                <w:rFonts w:ascii="Arial" w:hAnsi="Arial" w:cs="Arial"/>
                <w:bCs/>
                <w:sz w:val="16"/>
                <w:szCs w:val="16"/>
              </w:rPr>
            </w:pPr>
          </w:p>
          <w:p w:rsidR="00C5036F" w:rsidRPr="00ED7DDE" w:rsidRDefault="00C5036F" w:rsidP="00C5036F">
            <w:pPr>
              <w:jc w:val="both"/>
              <w:rPr>
                <w:rFonts w:ascii="Arial" w:hAnsi="Arial" w:cs="Arial"/>
                <w:bCs/>
                <w:i/>
                <w:sz w:val="16"/>
                <w:szCs w:val="16"/>
              </w:rPr>
            </w:pPr>
            <w:r w:rsidRPr="00ED7DDE">
              <w:rPr>
                <w:rFonts w:ascii="Arial" w:hAnsi="Arial" w:cs="Arial"/>
                <w:bCs/>
                <w:i/>
                <w:sz w:val="16"/>
                <w:szCs w:val="16"/>
              </w:rPr>
              <w:t>Time-frame: Dates are yet to be deliberated on.</w:t>
            </w:r>
          </w:p>
          <w:p w:rsidR="003F6A04" w:rsidRPr="00153555" w:rsidRDefault="003F6A04" w:rsidP="00B33E23">
            <w:pPr>
              <w:jc w:val="both"/>
              <w:rPr>
                <w:rFonts w:ascii="Arial" w:hAnsi="Arial" w:cs="Arial"/>
                <w:bCs/>
                <w:sz w:val="16"/>
                <w:szCs w:val="16"/>
              </w:rPr>
            </w:pPr>
          </w:p>
        </w:tc>
      </w:tr>
    </w:tbl>
    <w:p w:rsidR="002832A0" w:rsidRDefault="002832A0" w:rsidP="002832A0">
      <w:pPr>
        <w:jc w:val="both"/>
        <w:rPr>
          <w:rFonts w:ascii="Arial" w:hAnsi="Arial"/>
          <w:bCs/>
          <w:sz w:val="22"/>
          <w:szCs w:val="22"/>
        </w:rPr>
      </w:pPr>
    </w:p>
    <w:p w:rsidR="002832A0" w:rsidRDefault="002832A0" w:rsidP="002832A0">
      <w:pPr>
        <w:jc w:val="both"/>
        <w:rPr>
          <w:rFonts w:ascii="Arial" w:hAnsi="Arial"/>
          <w:bCs/>
          <w:sz w:val="22"/>
          <w:szCs w:val="22"/>
        </w:rPr>
      </w:pPr>
    </w:p>
    <w:p w:rsidR="002832A0" w:rsidRDefault="002832A0" w:rsidP="002832A0">
      <w:pPr>
        <w:jc w:val="both"/>
        <w:rPr>
          <w:rFonts w:ascii="Arial" w:hAnsi="Arial"/>
          <w:bCs/>
          <w:sz w:val="22"/>
          <w:szCs w:val="22"/>
        </w:rPr>
      </w:pPr>
    </w:p>
    <w:p w:rsidR="003F6A04" w:rsidRDefault="003F6A04" w:rsidP="002832A0">
      <w:pPr>
        <w:rPr>
          <w:rFonts w:ascii="Arial" w:hAnsi="Arial" w:cs="Arial"/>
          <w:b/>
        </w:rPr>
        <w:sectPr w:rsidR="003F6A04" w:rsidSect="00DF717E">
          <w:headerReference w:type="first" r:id="rId15"/>
          <w:pgSz w:w="11909" w:h="16834" w:code="9"/>
          <w:pgMar w:top="864" w:right="1440" w:bottom="864" w:left="1440" w:header="432" w:footer="432" w:gutter="0"/>
          <w:cols w:space="720"/>
          <w:titlePg/>
          <w:docGrid w:linePitch="360"/>
        </w:sectPr>
      </w:pPr>
    </w:p>
    <w:p w:rsidR="002832A0" w:rsidRDefault="002832A0" w:rsidP="002832A0">
      <w:pPr>
        <w:rPr>
          <w:rFonts w:ascii="Arial" w:hAnsi="Arial" w:cs="Arial"/>
          <w:b/>
        </w:rPr>
      </w:pPr>
      <w:r>
        <w:rPr>
          <w:rFonts w:ascii="Arial" w:hAnsi="Arial" w:cs="Arial"/>
          <w:b/>
        </w:rPr>
        <w:lastRenderedPageBreak/>
        <w:t>Status of Implementation of November 2017 Council D</w:t>
      </w:r>
      <w:r w:rsidRPr="00A9601D">
        <w:rPr>
          <w:rFonts w:ascii="Arial" w:hAnsi="Arial" w:cs="Arial"/>
          <w:b/>
        </w:rPr>
        <w:t>ecisions</w:t>
      </w:r>
    </w:p>
    <w:p w:rsidR="00AD0CBC" w:rsidRPr="00AD0CBC" w:rsidRDefault="00AD0CBC" w:rsidP="00AD0CBC">
      <w:pPr>
        <w:jc w:val="both"/>
        <w:rPr>
          <w:rFonts w:ascii="Arial" w:hAnsi="Arial" w:cs="Arial"/>
          <w:bCs/>
          <w:i/>
          <w:sz w:val="18"/>
          <w:szCs w:val="18"/>
        </w:rPr>
      </w:pPr>
      <w:r w:rsidRPr="00AD0CBC">
        <w:rPr>
          <w:rFonts w:ascii="Arial" w:hAnsi="Arial" w:cs="Arial"/>
          <w:bCs/>
          <w:i/>
          <w:sz w:val="18"/>
          <w:szCs w:val="18"/>
        </w:rPr>
        <w:t xml:space="preserve">(Extract of Report </w:t>
      </w:r>
      <w:r>
        <w:rPr>
          <w:rFonts w:ascii="Arial" w:hAnsi="Arial" w:cs="Arial"/>
          <w:bCs/>
          <w:i/>
          <w:sz w:val="18"/>
          <w:szCs w:val="18"/>
        </w:rPr>
        <w:t>compiled by Internal Audit on status of implementation of Council decisions)</w:t>
      </w:r>
    </w:p>
    <w:tbl>
      <w:tblPr>
        <w:tblStyle w:val="TableGrid"/>
        <w:tblW w:w="8938" w:type="dxa"/>
        <w:tblLook w:val="04A0" w:firstRow="1" w:lastRow="0" w:firstColumn="1" w:lastColumn="0" w:noHBand="0" w:noVBand="1"/>
      </w:tblPr>
      <w:tblGrid>
        <w:gridCol w:w="454"/>
        <w:gridCol w:w="2601"/>
        <w:gridCol w:w="3060"/>
        <w:gridCol w:w="2823"/>
      </w:tblGrid>
      <w:tr w:rsidR="003F6A04" w:rsidRPr="00A9601D" w:rsidTr="003F6A04">
        <w:tc>
          <w:tcPr>
            <w:tcW w:w="454" w:type="dxa"/>
          </w:tcPr>
          <w:p w:rsidR="003F6A04" w:rsidRPr="003D5B27" w:rsidRDefault="003F6A04" w:rsidP="00B33E23">
            <w:pPr>
              <w:rPr>
                <w:rFonts w:ascii="Arial" w:hAnsi="Arial" w:cs="Arial"/>
                <w:b/>
                <w:sz w:val="16"/>
                <w:szCs w:val="16"/>
              </w:rPr>
            </w:pPr>
            <w:r w:rsidRPr="003D5B27">
              <w:rPr>
                <w:rFonts w:ascii="Arial" w:hAnsi="Arial" w:cs="Arial"/>
                <w:b/>
                <w:sz w:val="16"/>
                <w:szCs w:val="16"/>
              </w:rPr>
              <w:t>No</w:t>
            </w:r>
          </w:p>
        </w:tc>
        <w:tc>
          <w:tcPr>
            <w:tcW w:w="2601" w:type="dxa"/>
          </w:tcPr>
          <w:p w:rsidR="003F6A04" w:rsidRPr="003D5B27" w:rsidRDefault="003F6A04" w:rsidP="00B33E23">
            <w:pPr>
              <w:rPr>
                <w:rFonts w:ascii="Arial" w:hAnsi="Arial" w:cs="Arial"/>
                <w:b/>
                <w:sz w:val="16"/>
                <w:szCs w:val="16"/>
              </w:rPr>
            </w:pPr>
            <w:r w:rsidRPr="003D5B27">
              <w:rPr>
                <w:rFonts w:ascii="Arial" w:hAnsi="Arial" w:cs="Arial"/>
                <w:b/>
                <w:sz w:val="16"/>
                <w:szCs w:val="16"/>
              </w:rPr>
              <w:t>Decision</w:t>
            </w:r>
          </w:p>
        </w:tc>
        <w:tc>
          <w:tcPr>
            <w:tcW w:w="3060" w:type="dxa"/>
          </w:tcPr>
          <w:p w:rsidR="003F6A04" w:rsidRPr="003D5B27" w:rsidRDefault="003F6A04" w:rsidP="00B33E23">
            <w:pPr>
              <w:rPr>
                <w:rFonts w:ascii="Arial" w:hAnsi="Arial" w:cs="Arial"/>
                <w:b/>
                <w:sz w:val="16"/>
                <w:szCs w:val="16"/>
              </w:rPr>
            </w:pPr>
            <w:r w:rsidRPr="003D5B27">
              <w:rPr>
                <w:rFonts w:ascii="Arial" w:hAnsi="Arial" w:cs="Arial"/>
                <w:b/>
                <w:sz w:val="16"/>
                <w:szCs w:val="16"/>
              </w:rPr>
              <w:t>Context</w:t>
            </w:r>
          </w:p>
        </w:tc>
        <w:tc>
          <w:tcPr>
            <w:tcW w:w="2823" w:type="dxa"/>
          </w:tcPr>
          <w:p w:rsidR="003F6A04" w:rsidRDefault="003F6A04" w:rsidP="00B33E23">
            <w:pPr>
              <w:rPr>
                <w:rFonts w:ascii="Arial" w:hAnsi="Arial" w:cs="Arial"/>
                <w:b/>
                <w:sz w:val="16"/>
                <w:szCs w:val="16"/>
              </w:rPr>
            </w:pPr>
            <w:r>
              <w:rPr>
                <w:rFonts w:ascii="Arial" w:hAnsi="Arial" w:cs="Arial"/>
                <w:b/>
                <w:sz w:val="16"/>
                <w:szCs w:val="16"/>
              </w:rPr>
              <w:t>Implementation Status</w:t>
            </w:r>
          </w:p>
        </w:tc>
      </w:tr>
      <w:tr w:rsidR="003F6A04" w:rsidRPr="003D5B27" w:rsidTr="00AD0CBC">
        <w:trPr>
          <w:trHeight w:val="1142"/>
        </w:trPr>
        <w:tc>
          <w:tcPr>
            <w:tcW w:w="454" w:type="dxa"/>
          </w:tcPr>
          <w:p w:rsidR="003F6A04" w:rsidRPr="003D5B27" w:rsidRDefault="003F6A04" w:rsidP="00B33E23">
            <w:pPr>
              <w:rPr>
                <w:rFonts w:ascii="Arial" w:hAnsi="Arial" w:cs="Arial"/>
                <w:sz w:val="16"/>
                <w:szCs w:val="16"/>
              </w:rPr>
            </w:pPr>
            <w:r w:rsidRPr="003D5B27">
              <w:rPr>
                <w:rFonts w:ascii="Arial" w:hAnsi="Arial" w:cs="Arial"/>
                <w:sz w:val="16"/>
                <w:szCs w:val="16"/>
              </w:rPr>
              <w:t>7</w:t>
            </w:r>
          </w:p>
        </w:tc>
        <w:tc>
          <w:tcPr>
            <w:tcW w:w="2601" w:type="dxa"/>
          </w:tcPr>
          <w:p w:rsidR="003F6A04" w:rsidRPr="00CB21D4" w:rsidRDefault="003F6A04" w:rsidP="003F6A04">
            <w:pPr>
              <w:jc w:val="both"/>
              <w:rPr>
                <w:rFonts w:ascii="Arial" w:hAnsi="Arial" w:cs="Arial"/>
                <w:sz w:val="16"/>
                <w:szCs w:val="16"/>
              </w:rPr>
            </w:pPr>
            <w:r w:rsidRPr="00CB21D4">
              <w:rPr>
                <w:rFonts w:ascii="Arial" w:hAnsi="Arial" w:cs="Arial"/>
                <w:bCs/>
                <w:iCs/>
                <w:sz w:val="16"/>
                <w:szCs w:val="16"/>
              </w:rPr>
              <w:t>The matter of annual Member States contributions be brought before the meeting of Ministers responsible for Finance.</w:t>
            </w:r>
          </w:p>
        </w:tc>
        <w:tc>
          <w:tcPr>
            <w:tcW w:w="3060" w:type="dxa"/>
          </w:tcPr>
          <w:p w:rsidR="003F6A04" w:rsidRPr="003D5B27" w:rsidRDefault="003F6A04" w:rsidP="003F6A04">
            <w:pPr>
              <w:pStyle w:val="Default"/>
              <w:jc w:val="both"/>
              <w:rPr>
                <w:sz w:val="16"/>
                <w:szCs w:val="16"/>
              </w:rPr>
            </w:pPr>
            <w:r w:rsidRPr="00A10A92">
              <w:rPr>
                <w:sz w:val="16"/>
                <w:szCs w:val="16"/>
              </w:rPr>
              <w:t xml:space="preserve">Council noted that the current non-remittance/late remittance of annual Member States contribution has a significant adverse impact on the organisation, which if not immediately attended may result in the depletion of Cash Reserve Fund and cessation of all activities, including </w:t>
            </w:r>
            <w:r>
              <w:rPr>
                <w:sz w:val="16"/>
                <w:szCs w:val="16"/>
              </w:rPr>
              <w:t>p</w:t>
            </w:r>
            <w:r w:rsidRPr="00A10A92">
              <w:rPr>
                <w:sz w:val="16"/>
                <w:szCs w:val="16"/>
              </w:rPr>
              <w:t>rogrammes</w:t>
            </w:r>
            <w:r>
              <w:rPr>
                <w:sz w:val="22"/>
                <w:szCs w:val="22"/>
              </w:rPr>
              <w:t xml:space="preserve">. </w:t>
            </w:r>
          </w:p>
        </w:tc>
        <w:tc>
          <w:tcPr>
            <w:tcW w:w="2823" w:type="dxa"/>
          </w:tcPr>
          <w:p w:rsidR="00C5036F" w:rsidRPr="00C5036F" w:rsidRDefault="00C5036F" w:rsidP="00C5036F">
            <w:pPr>
              <w:jc w:val="both"/>
              <w:rPr>
                <w:rFonts w:ascii="Arial" w:hAnsi="Arial" w:cs="Arial"/>
                <w:bCs/>
                <w:sz w:val="16"/>
                <w:szCs w:val="16"/>
              </w:rPr>
            </w:pPr>
            <w:r w:rsidRPr="00C5036F">
              <w:rPr>
                <w:rFonts w:ascii="Arial" w:hAnsi="Arial" w:cs="Arial"/>
                <w:bCs/>
                <w:sz w:val="16"/>
                <w:szCs w:val="16"/>
              </w:rPr>
              <w:t xml:space="preserve">Paper is ready. </w:t>
            </w:r>
          </w:p>
          <w:p w:rsidR="00C5036F" w:rsidRDefault="00C5036F" w:rsidP="00C5036F">
            <w:pPr>
              <w:jc w:val="both"/>
              <w:rPr>
                <w:rFonts w:ascii="Arial" w:hAnsi="Arial" w:cs="Arial"/>
                <w:bCs/>
                <w:sz w:val="16"/>
                <w:szCs w:val="16"/>
              </w:rPr>
            </w:pPr>
            <w:r w:rsidRPr="00C5036F">
              <w:rPr>
                <w:rFonts w:ascii="Arial" w:hAnsi="Arial" w:cs="Arial"/>
                <w:bCs/>
                <w:sz w:val="16"/>
                <w:szCs w:val="16"/>
              </w:rPr>
              <w:t>Meeting is yet to be convened.</w:t>
            </w:r>
          </w:p>
          <w:p w:rsidR="00C5036F" w:rsidRDefault="00C5036F" w:rsidP="00C5036F">
            <w:pPr>
              <w:jc w:val="both"/>
              <w:rPr>
                <w:rFonts w:ascii="Arial" w:hAnsi="Arial" w:cs="Arial"/>
                <w:bCs/>
                <w:sz w:val="16"/>
                <w:szCs w:val="16"/>
              </w:rPr>
            </w:pPr>
          </w:p>
          <w:p w:rsidR="00C5036F" w:rsidRPr="00ED7DDE" w:rsidRDefault="00C5036F" w:rsidP="00C5036F">
            <w:pPr>
              <w:jc w:val="both"/>
              <w:rPr>
                <w:rFonts w:ascii="Arial" w:hAnsi="Arial" w:cs="Arial"/>
                <w:bCs/>
                <w:i/>
                <w:sz w:val="16"/>
                <w:szCs w:val="16"/>
              </w:rPr>
            </w:pPr>
            <w:r w:rsidRPr="00ED7DDE">
              <w:rPr>
                <w:rFonts w:ascii="Arial" w:hAnsi="Arial" w:cs="Arial"/>
                <w:bCs/>
                <w:i/>
                <w:sz w:val="16"/>
                <w:szCs w:val="16"/>
              </w:rPr>
              <w:t>Time-frame: Dates are yet to be deliberated on.</w:t>
            </w:r>
          </w:p>
          <w:p w:rsidR="003F6A04" w:rsidRPr="00153555" w:rsidRDefault="003F6A04" w:rsidP="00B33E23">
            <w:pPr>
              <w:jc w:val="both"/>
              <w:rPr>
                <w:rFonts w:ascii="Arial" w:hAnsi="Arial" w:cs="Arial"/>
                <w:bCs/>
                <w:sz w:val="16"/>
                <w:szCs w:val="16"/>
              </w:rPr>
            </w:pPr>
          </w:p>
        </w:tc>
      </w:tr>
      <w:tr w:rsidR="00AD0CBC" w:rsidRPr="003D5B27" w:rsidTr="00AD0CBC">
        <w:trPr>
          <w:trHeight w:val="917"/>
        </w:trPr>
        <w:tc>
          <w:tcPr>
            <w:tcW w:w="454" w:type="dxa"/>
          </w:tcPr>
          <w:p w:rsidR="00AD0CBC" w:rsidRPr="003D5B27" w:rsidRDefault="00AD0CBC" w:rsidP="00B33E23">
            <w:pPr>
              <w:rPr>
                <w:rFonts w:ascii="Arial" w:hAnsi="Arial" w:cs="Arial"/>
                <w:sz w:val="16"/>
                <w:szCs w:val="16"/>
              </w:rPr>
            </w:pPr>
            <w:r>
              <w:rPr>
                <w:rFonts w:ascii="Arial" w:hAnsi="Arial" w:cs="Arial"/>
                <w:sz w:val="16"/>
                <w:szCs w:val="16"/>
              </w:rPr>
              <w:t>15</w:t>
            </w:r>
          </w:p>
        </w:tc>
        <w:tc>
          <w:tcPr>
            <w:tcW w:w="2601" w:type="dxa"/>
          </w:tcPr>
          <w:p w:rsidR="00AD0CBC" w:rsidRPr="008206C2" w:rsidRDefault="00AD0CBC" w:rsidP="00B33E23">
            <w:pPr>
              <w:pStyle w:val="Default"/>
              <w:jc w:val="both"/>
              <w:rPr>
                <w:sz w:val="16"/>
                <w:szCs w:val="16"/>
              </w:rPr>
            </w:pPr>
            <w:r>
              <w:rPr>
                <w:bCs/>
                <w:iCs/>
                <w:sz w:val="16"/>
                <w:szCs w:val="16"/>
              </w:rPr>
              <w:t>A</w:t>
            </w:r>
            <w:r w:rsidRPr="008206C2">
              <w:rPr>
                <w:bCs/>
                <w:iCs/>
                <w:sz w:val="16"/>
                <w:szCs w:val="16"/>
              </w:rPr>
              <w:t xml:space="preserve"> policy framework on budget allocation be put in place by the COMESA Secretariat to ensure that program activities are allocated significant portion of the budget. This applies to the COMESA Secretariat and all COMESA Institutions and Agencies. </w:t>
            </w:r>
          </w:p>
        </w:tc>
        <w:tc>
          <w:tcPr>
            <w:tcW w:w="3060" w:type="dxa"/>
          </w:tcPr>
          <w:p w:rsidR="00AD0CBC" w:rsidRPr="008206C2" w:rsidRDefault="00AD0CBC" w:rsidP="00DF717E">
            <w:pPr>
              <w:pStyle w:val="Default"/>
              <w:jc w:val="both"/>
              <w:rPr>
                <w:sz w:val="16"/>
                <w:szCs w:val="16"/>
              </w:rPr>
            </w:pPr>
            <w:r w:rsidRPr="008206C2">
              <w:rPr>
                <w:sz w:val="16"/>
                <w:szCs w:val="16"/>
              </w:rPr>
              <w:t xml:space="preserve">Council was invited to note that RIA played an important role in promoting investments in the region, yet only 34 % of its budget obtained from Member States, was allocated to program activities </w:t>
            </w:r>
          </w:p>
          <w:p w:rsidR="00AD0CBC" w:rsidRPr="003D5B27" w:rsidRDefault="00AD0CBC" w:rsidP="00B33E23">
            <w:pPr>
              <w:rPr>
                <w:rFonts w:ascii="Arial" w:hAnsi="Arial" w:cs="Arial"/>
                <w:sz w:val="16"/>
                <w:szCs w:val="16"/>
              </w:rPr>
            </w:pPr>
          </w:p>
        </w:tc>
        <w:tc>
          <w:tcPr>
            <w:tcW w:w="2823" w:type="dxa"/>
          </w:tcPr>
          <w:p w:rsidR="00AD0CBC" w:rsidRPr="00C5036F" w:rsidRDefault="00C5036F" w:rsidP="00B33E23">
            <w:pPr>
              <w:jc w:val="both"/>
              <w:rPr>
                <w:rFonts w:ascii="Arial" w:hAnsi="Arial" w:cs="Arial"/>
                <w:bCs/>
                <w:sz w:val="16"/>
                <w:szCs w:val="16"/>
              </w:rPr>
            </w:pPr>
            <w:r w:rsidRPr="00C5036F">
              <w:rPr>
                <w:rFonts w:ascii="Arial" w:hAnsi="Arial" w:cs="Arial"/>
                <w:bCs/>
                <w:sz w:val="16"/>
                <w:szCs w:val="16"/>
              </w:rPr>
              <w:t>Outstanding: To be aligned with process to come up with 2021-2025 MTSP.</w:t>
            </w:r>
          </w:p>
          <w:p w:rsidR="00AD0CBC" w:rsidRPr="00ED7DDE" w:rsidRDefault="00AD0CBC" w:rsidP="00B33E23">
            <w:pPr>
              <w:jc w:val="both"/>
              <w:rPr>
                <w:rFonts w:ascii="Arial" w:hAnsi="Arial" w:cs="Arial"/>
                <w:bCs/>
                <w:i/>
                <w:sz w:val="16"/>
                <w:szCs w:val="16"/>
              </w:rPr>
            </w:pPr>
          </w:p>
        </w:tc>
      </w:tr>
      <w:tr w:rsidR="003F6A04" w:rsidRPr="003D5B27" w:rsidTr="00AD0CBC">
        <w:trPr>
          <w:trHeight w:val="773"/>
        </w:trPr>
        <w:tc>
          <w:tcPr>
            <w:tcW w:w="454" w:type="dxa"/>
          </w:tcPr>
          <w:p w:rsidR="003F6A04" w:rsidRDefault="003F6A04" w:rsidP="00B33E23">
            <w:pPr>
              <w:rPr>
                <w:rFonts w:ascii="Arial" w:hAnsi="Arial" w:cs="Arial"/>
                <w:sz w:val="16"/>
                <w:szCs w:val="16"/>
              </w:rPr>
            </w:pPr>
            <w:r>
              <w:rPr>
                <w:rFonts w:ascii="Arial" w:hAnsi="Arial" w:cs="Arial"/>
                <w:sz w:val="16"/>
                <w:szCs w:val="16"/>
              </w:rPr>
              <w:t>21</w:t>
            </w:r>
          </w:p>
        </w:tc>
        <w:tc>
          <w:tcPr>
            <w:tcW w:w="2601" w:type="dxa"/>
          </w:tcPr>
          <w:p w:rsidR="003F6A04" w:rsidRPr="00CB3878" w:rsidRDefault="003F6A04" w:rsidP="0082337A">
            <w:pPr>
              <w:pStyle w:val="Default"/>
              <w:jc w:val="both"/>
              <w:rPr>
                <w:color w:val="auto"/>
                <w:sz w:val="16"/>
                <w:szCs w:val="16"/>
              </w:rPr>
            </w:pPr>
            <w:r>
              <w:rPr>
                <w:bCs/>
                <w:iCs/>
                <w:sz w:val="16"/>
                <w:szCs w:val="16"/>
              </w:rPr>
              <w:t>T</w:t>
            </w:r>
            <w:r w:rsidRPr="00CB3878">
              <w:rPr>
                <w:bCs/>
                <w:iCs/>
                <w:sz w:val="16"/>
                <w:szCs w:val="16"/>
              </w:rPr>
              <w:t>he Secretariat submits the matter of review of the formula regarding distribution of annual Member States contributions to the Ministers of Finance, as directed by Council in Nove</w:t>
            </w:r>
            <w:r>
              <w:rPr>
                <w:bCs/>
                <w:iCs/>
                <w:sz w:val="16"/>
                <w:szCs w:val="16"/>
              </w:rPr>
              <w:t>mber 2012.</w:t>
            </w:r>
          </w:p>
          <w:p w:rsidR="003F6A04" w:rsidRPr="007B2BEE" w:rsidRDefault="003F6A04" w:rsidP="0082337A">
            <w:pPr>
              <w:pStyle w:val="Default"/>
              <w:jc w:val="both"/>
              <w:rPr>
                <w:bCs/>
                <w:iCs/>
                <w:sz w:val="16"/>
                <w:szCs w:val="16"/>
              </w:rPr>
            </w:pPr>
          </w:p>
        </w:tc>
        <w:tc>
          <w:tcPr>
            <w:tcW w:w="3060" w:type="dxa"/>
          </w:tcPr>
          <w:p w:rsidR="003F6A04" w:rsidRDefault="003F6A04" w:rsidP="0082337A">
            <w:pPr>
              <w:pStyle w:val="Default"/>
              <w:jc w:val="both"/>
              <w:rPr>
                <w:sz w:val="22"/>
                <w:szCs w:val="22"/>
              </w:rPr>
            </w:pPr>
            <w:r w:rsidRPr="00CB3878">
              <w:rPr>
                <w:sz w:val="16"/>
                <w:szCs w:val="16"/>
              </w:rPr>
              <w:t xml:space="preserve">Council noted that the current formula is due for review, as directed by the Council in November 2012. The review waits convening of the meeting of the Ministers responsible for Finance. </w:t>
            </w:r>
          </w:p>
        </w:tc>
        <w:tc>
          <w:tcPr>
            <w:tcW w:w="2823" w:type="dxa"/>
          </w:tcPr>
          <w:p w:rsidR="00C5036F" w:rsidRPr="00C5036F" w:rsidRDefault="00C5036F" w:rsidP="00C5036F">
            <w:pPr>
              <w:jc w:val="both"/>
              <w:rPr>
                <w:rFonts w:ascii="Arial" w:hAnsi="Arial" w:cs="Arial"/>
                <w:bCs/>
                <w:sz w:val="16"/>
                <w:szCs w:val="16"/>
              </w:rPr>
            </w:pPr>
            <w:r w:rsidRPr="00C5036F">
              <w:rPr>
                <w:rFonts w:ascii="Arial" w:hAnsi="Arial" w:cs="Arial"/>
                <w:bCs/>
                <w:sz w:val="16"/>
                <w:szCs w:val="16"/>
              </w:rPr>
              <w:t xml:space="preserve">Paper is ready. </w:t>
            </w:r>
          </w:p>
          <w:p w:rsidR="00C5036F" w:rsidRDefault="00C5036F" w:rsidP="00C5036F">
            <w:pPr>
              <w:jc w:val="both"/>
              <w:rPr>
                <w:rFonts w:ascii="Arial" w:hAnsi="Arial" w:cs="Arial"/>
                <w:bCs/>
                <w:sz w:val="16"/>
                <w:szCs w:val="16"/>
              </w:rPr>
            </w:pPr>
            <w:r w:rsidRPr="00C5036F">
              <w:rPr>
                <w:rFonts w:ascii="Arial" w:hAnsi="Arial" w:cs="Arial"/>
                <w:bCs/>
                <w:sz w:val="16"/>
                <w:szCs w:val="16"/>
              </w:rPr>
              <w:t>Meeting is yet to be convened.</w:t>
            </w:r>
          </w:p>
          <w:p w:rsidR="00C5036F" w:rsidRDefault="00C5036F" w:rsidP="00C5036F">
            <w:pPr>
              <w:jc w:val="both"/>
              <w:rPr>
                <w:rFonts w:ascii="Arial" w:hAnsi="Arial" w:cs="Arial"/>
                <w:bCs/>
                <w:sz w:val="16"/>
                <w:szCs w:val="16"/>
              </w:rPr>
            </w:pPr>
          </w:p>
          <w:p w:rsidR="00C5036F" w:rsidRPr="00ED7DDE" w:rsidRDefault="00C5036F" w:rsidP="00C5036F">
            <w:pPr>
              <w:jc w:val="both"/>
              <w:rPr>
                <w:rFonts w:ascii="Arial" w:hAnsi="Arial" w:cs="Arial"/>
                <w:bCs/>
                <w:i/>
                <w:sz w:val="16"/>
                <w:szCs w:val="16"/>
              </w:rPr>
            </w:pPr>
            <w:r w:rsidRPr="00ED7DDE">
              <w:rPr>
                <w:rFonts w:ascii="Arial" w:hAnsi="Arial" w:cs="Arial"/>
                <w:bCs/>
                <w:i/>
                <w:sz w:val="16"/>
                <w:szCs w:val="16"/>
              </w:rPr>
              <w:t>Time-frame: Dates are yet to be deliberated on.</w:t>
            </w:r>
          </w:p>
          <w:p w:rsidR="003F6A04" w:rsidRPr="00153555" w:rsidRDefault="003F6A04" w:rsidP="00B33E23">
            <w:pPr>
              <w:jc w:val="both"/>
              <w:rPr>
                <w:rFonts w:ascii="Arial" w:hAnsi="Arial" w:cs="Arial"/>
                <w:bCs/>
                <w:sz w:val="16"/>
                <w:szCs w:val="16"/>
              </w:rPr>
            </w:pPr>
          </w:p>
        </w:tc>
      </w:tr>
      <w:tr w:rsidR="00C5036F" w:rsidRPr="003D5B27" w:rsidTr="00CD67BD">
        <w:trPr>
          <w:trHeight w:val="2208"/>
        </w:trPr>
        <w:tc>
          <w:tcPr>
            <w:tcW w:w="454" w:type="dxa"/>
          </w:tcPr>
          <w:p w:rsidR="00C5036F" w:rsidRDefault="00C5036F" w:rsidP="00B33E23">
            <w:pPr>
              <w:rPr>
                <w:rFonts w:ascii="Arial" w:hAnsi="Arial" w:cs="Arial"/>
                <w:sz w:val="16"/>
                <w:szCs w:val="16"/>
              </w:rPr>
            </w:pPr>
            <w:r>
              <w:rPr>
                <w:rFonts w:ascii="Arial" w:hAnsi="Arial" w:cs="Arial"/>
                <w:sz w:val="16"/>
                <w:szCs w:val="16"/>
              </w:rPr>
              <w:t>22</w:t>
            </w:r>
          </w:p>
        </w:tc>
        <w:tc>
          <w:tcPr>
            <w:tcW w:w="2601" w:type="dxa"/>
          </w:tcPr>
          <w:p w:rsidR="00C5036F" w:rsidRPr="007B2BEE" w:rsidRDefault="00C5036F" w:rsidP="0082337A">
            <w:pPr>
              <w:pStyle w:val="Default"/>
              <w:jc w:val="both"/>
              <w:rPr>
                <w:bCs/>
                <w:iCs/>
                <w:sz w:val="16"/>
                <w:szCs w:val="16"/>
              </w:rPr>
            </w:pPr>
            <w:r>
              <w:rPr>
                <w:bCs/>
                <w:iCs/>
                <w:color w:val="auto"/>
                <w:sz w:val="16"/>
                <w:szCs w:val="16"/>
              </w:rPr>
              <w:t>T</w:t>
            </w:r>
            <w:r w:rsidRPr="00CB3878">
              <w:rPr>
                <w:bCs/>
                <w:iCs/>
                <w:color w:val="auto"/>
                <w:sz w:val="16"/>
                <w:szCs w:val="16"/>
              </w:rPr>
              <w:t xml:space="preserve">here is a need to align the scope of programmes, as developed from the 2016-2020 Medium Term Strategic Plan with increased funding from Member States. In this regard, the COMESA Secretariat should be mandated to carry out work, which should inform deliberations of COMESA Policy Organs on review of the base line of Member States funding. </w:t>
            </w:r>
          </w:p>
        </w:tc>
        <w:tc>
          <w:tcPr>
            <w:tcW w:w="3060" w:type="dxa"/>
          </w:tcPr>
          <w:p w:rsidR="00C5036F" w:rsidRDefault="00C5036F" w:rsidP="0082337A">
            <w:pPr>
              <w:pStyle w:val="Default"/>
              <w:jc w:val="both"/>
              <w:rPr>
                <w:sz w:val="22"/>
                <w:szCs w:val="22"/>
              </w:rPr>
            </w:pPr>
            <w:r w:rsidRPr="00CB3878">
              <w:rPr>
                <w:sz w:val="16"/>
                <w:szCs w:val="16"/>
              </w:rPr>
              <w:t>Council noted that the current formula is due for review, as directed by the Council in November 2012. The review waits convening of the meeting of the Ministers responsible for Finance</w:t>
            </w:r>
          </w:p>
        </w:tc>
        <w:tc>
          <w:tcPr>
            <w:tcW w:w="2823" w:type="dxa"/>
          </w:tcPr>
          <w:p w:rsidR="00C5036F" w:rsidRDefault="00C5036F" w:rsidP="00AD0CBC">
            <w:pPr>
              <w:jc w:val="both"/>
              <w:rPr>
                <w:rFonts w:ascii="Arial" w:hAnsi="Arial" w:cs="Arial"/>
                <w:sz w:val="16"/>
                <w:szCs w:val="16"/>
              </w:rPr>
            </w:pPr>
            <w:r w:rsidRPr="00C5036F">
              <w:rPr>
                <w:rFonts w:ascii="Arial" w:hAnsi="Arial" w:cs="Arial"/>
                <w:bCs/>
                <w:sz w:val="16"/>
                <w:szCs w:val="16"/>
              </w:rPr>
              <w:t>Outstanding: To be aligned with process to come up with 2021-2025 MTSP.</w:t>
            </w:r>
          </w:p>
        </w:tc>
      </w:tr>
    </w:tbl>
    <w:p w:rsidR="002832A0" w:rsidRDefault="002832A0" w:rsidP="002832A0">
      <w:pPr>
        <w:rPr>
          <w:rFonts w:ascii="Arial" w:hAnsi="Arial" w:cs="Arial"/>
          <w:b/>
        </w:rPr>
      </w:pPr>
      <w:r>
        <w:rPr>
          <w:rFonts w:ascii="Arial" w:hAnsi="Arial" w:cs="Arial"/>
          <w:b/>
        </w:rPr>
        <w:t>Status of Implementation of July 2018 Council D</w:t>
      </w:r>
      <w:r w:rsidRPr="00A9601D">
        <w:rPr>
          <w:rFonts w:ascii="Arial" w:hAnsi="Arial" w:cs="Arial"/>
          <w:b/>
        </w:rPr>
        <w:t>ecisions</w:t>
      </w:r>
    </w:p>
    <w:p w:rsidR="00AD0CBC" w:rsidRPr="00AD0CBC" w:rsidRDefault="00AD0CBC" w:rsidP="00AD0CBC">
      <w:pPr>
        <w:jc w:val="both"/>
        <w:rPr>
          <w:rFonts w:ascii="Arial" w:hAnsi="Arial" w:cs="Arial"/>
          <w:bCs/>
          <w:i/>
          <w:sz w:val="18"/>
          <w:szCs w:val="18"/>
        </w:rPr>
      </w:pPr>
      <w:r w:rsidRPr="00AD0CBC">
        <w:rPr>
          <w:rFonts w:ascii="Arial" w:hAnsi="Arial" w:cs="Arial"/>
          <w:bCs/>
          <w:i/>
          <w:sz w:val="18"/>
          <w:szCs w:val="18"/>
        </w:rPr>
        <w:t xml:space="preserve">(Extract of Report </w:t>
      </w:r>
      <w:r>
        <w:rPr>
          <w:rFonts w:ascii="Arial" w:hAnsi="Arial" w:cs="Arial"/>
          <w:bCs/>
          <w:i/>
          <w:sz w:val="18"/>
          <w:szCs w:val="18"/>
        </w:rPr>
        <w:t>compiled by Internal Audit on status of implementation of Council decisions)</w:t>
      </w:r>
    </w:p>
    <w:tbl>
      <w:tblPr>
        <w:tblStyle w:val="TableGrid"/>
        <w:tblW w:w="8905" w:type="dxa"/>
        <w:tblLook w:val="04A0" w:firstRow="1" w:lastRow="0" w:firstColumn="1" w:lastColumn="0" w:noHBand="0" w:noVBand="1"/>
      </w:tblPr>
      <w:tblGrid>
        <w:gridCol w:w="462"/>
        <w:gridCol w:w="2376"/>
        <w:gridCol w:w="3277"/>
        <w:gridCol w:w="2790"/>
      </w:tblGrid>
      <w:tr w:rsidR="003F6A04" w:rsidRPr="003757C0" w:rsidTr="003F6A04">
        <w:tc>
          <w:tcPr>
            <w:tcW w:w="462" w:type="dxa"/>
          </w:tcPr>
          <w:p w:rsidR="003F6A04" w:rsidRPr="003757C0" w:rsidRDefault="003F6A04" w:rsidP="00B33E23">
            <w:pPr>
              <w:jc w:val="both"/>
              <w:rPr>
                <w:rFonts w:ascii="Arial" w:hAnsi="Arial" w:cs="Arial"/>
                <w:b/>
                <w:bCs/>
                <w:sz w:val="16"/>
                <w:szCs w:val="16"/>
              </w:rPr>
            </w:pPr>
            <w:r w:rsidRPr="003757C0">
              <w:rPr>
                <w:rFonts w:ascii="Arial" w:hAnsi="Arial" w:cs="Arial"/>
                <w:b/>
                <w:bCs/>
                <w:sz w:val="16"/>
                <w:szCs w:val="16"/>
              </w:rPr>
              <w:t>No</w:t>
            </w:r>
          </w:p>
        </w:tc>
        <w:tc>
          <w:tcPr>
            <w:tcW w:w="2376" w:type="dxa"/>
          </w:tcPr>
          <w:p w:rsidR="003F6A04" w:rsidRPr="003757C0" w:rsidRDefault="003F6A04" w:rsidP="00B33E23">
            <w:pPr>
              <w:jc w:val="both"/>
              <w:rPr>
                <w:rFonts w:ascii="Arial" w:hAnsi="Arial" w:cs="Arial"/>
                <w:b/>
                <w:bCs/>
                <w:sz w:val="16"/>
                <w:szCs w:val="16"/>
              </w:rPr>
            </w:pPr>
            <w:r w:rsidRPr="003757C0">
              <w:rPr>
                <w:rFonts w:ascii="Arial" w:hAnsi="Arial" w:cs="Arial"/>
                <w:b/>
                <w:bCs/>
                <w:sz w:val="16"/>
                <w:szCs w:val="16"/>
              </w:rPr>
              <w:t>Decision</w:t>
            </w:r>
          </w:p>
        </w:tc>
        <w:tc>
          <w:tcPr>
            <w:tcW w:w="3277" w:type="dxa"/>
          </w:tcPr>
          <w:p w:rsidR="003F6A04" w:rsidRPr="003757C0" w:rsidRDefault="003F6A04" w:rsidP="00B33E23">
            <w:pPr>
              <w:jc w:val="both"/>
              <w:rPr>
                <w:rFonts w:ascii="Arial" w:hAnsi="Arial" w:cs="Arial"/>
                <w:b/>
                <w:bCs/>
                <w:sz w:val="16"/>
                <w:szCs w:val="16"/>
              </w:rPr>
            </w:pPr>
            <w:r w:rsidRPr="003757C0">
              <w:rPr>
                <w:rFonts w:ascii="Arial" w:hAnsi="Arial" w:cs="Arial"/>
                <w:b/>
                <w:bCs/>
                <w:sz w:val="16"/>
                <w:szCs w:val="16"/>
              </w:rPr>
              <w:t>Context</w:t>
            </w:r>
          </w:p>
        </w:tc>
        <w:tc>
          <w:tcPr>
            <w:tcW w:w="2790" w:type="dxa"/>
          </w:tcPr>
          <w:p w:rsidR="003F6A04" w:rsidRPr="003757C0" w:rsidRDefault="003F6A04" w:rsidP="00B33E23">
            <w:pPr>
              <w:jc w:val="both"/>
              <w:rPr>
                <w:rFonts w:ascii="Arial" w:hAnsi="Arial" w:cs="Arial"/>
                <w:b/>
                <w:bCs/>
                <w:sz w:val="16"/>
                <w:szCs w:val="16"/>
              </w:rPr>
            </w:pPr>
            <w:r w:rsidRPr="003757C0">
              <w:rPr>
                <w:rFonts w:ascii="Arial" w:hAnsi="Arial" w:cs="Arial"/>
                <w:b/>
                <w:bCs/>
                <w:sz w:val="16"/>
                <w:szCs w:val="16"/>
              </w:rPr>
              <w:t xml:space="preserve">Implementation Status </w:t>
            </w:r>
          </w:p>
        </w:tc>
      </w:tr>
      <w:tr w:rsidR="00AD0CBC" w:rsidRPr="003757C0" w:rsidTr="00B33E23">
        <w:trPr>
          <w:trHeight w:val="4784"/>
        </w:trPr>
        <w:tc>
          <w:tcPr>
            <w:tcW w:w="462" w:type="dxa"/>
          </w:tcPr>
          <w:p w:rsidR="00AD0CBC" w:rsidRPr="003757C0" w:rsidRDefault="00AD0CBC" w:rsidP="00B33E23">
            <w:pPr>
              <w:jc w:val="both"/>
              <w:rPr>
                <w:rFonts w:ascii="Arial" w:hAnsi="Arial" w:cs="Arial"/>
                <w:bCs/>
                <w:sz w:val="16"/>
                <w:szCs w:val="16"/>
              </w:rPr>
            </w:pPr>
            <w:r w:rsidRPr="003757C0">
              <w:rPr>
                <w:rFonts w:ascii="Arial" w:hAnsi="Arial" w:cs="Arial"/>
                <w:bCs/>
                <w:sz w:val="16"/>
                <w:szCs w:val="16"/>
              </w:rPr>
              <w:t>14</w:t>
            </w:r>
          </w:p>
        </w:tc>
        <w:tc>
          <w:tcPr>
            <w:tcW w:w="2376" w:type="dxa"/>
          </w:tcPr>
          <w:p w:rsidR="00AD0CBC" w:rsidRPr="003757C0" w:rsidRDefault="00AD0CBC" w:rsidP="00B33E23">
            <w:pPr>
              <w:jc w:val="both"/>
              <w:rPr>
                <w:rFonts w:ascii="Arial" w:hAnsi="Arial" w:cs="Arial"/>
                <w:sz w:val="16"/>
                <w:szCs w:val="16"/>
              </w:rPr>
            </w:pPr>
            <w:r w:rsidRPr="003757C0">
              <w:rPr>
                <w:rFonts w:ascii="Arial" w:hAnsi="Arial" w:cs="Arial"/>
                <w:sz w:val="16"/>
                <w:szCs w:val="16"/>
              </w:rPr>
              <w:t>Council noted the unfunded 2018 budget needs of COM$1,101,623, attributed to the withdrawal of grant funding on re-current costs of institutional support (capacity, systems and processes); overtime pay for locally recruited staff to cope with limited capacity; and address strategic and organizational risks.  Council: -</w:t>
            </w:r>
          </w:p>
          <w:p w:rsidR="00AD0CBC" w:rsidRPr="003757C0" w:rsidRDefault="00AD0CBC" w:rsidP="00B33E23">
            <w:pPr>
              <w:pStyle w:val="ListParagraph"/>
              <w:ind w:left="0"/>
              <w:jc w:val="both"/>
              <w:rPr>
                <w:rFonts w:ascii="Arial" w:hAnsi="Arial" w:cs="Arial"/>
                <w:sz w:val="16"/>
                <w:szCs w:val="16"/>
              </w:rPr>
            </w:pPr>
          </w:p>
          <w:p w:rsidR="00AD0CBC" w:rsidRPr="003757C0" w:rsidRDefault="00AD0CBC" w:rsidP="00B33E23">
            <w:pPr>
              <w:jc w:val="both"/>
              <w:rPr>
                <w:rFonts w:ascii="Arial" w:hAnsi="Arial" w:cs="Arial"/>
                <w:sz w:val="16"/>
                <w:szCs w:val="16"/>
              </w:rPr>
            </w:pPr>
            <w:r w:rsidRPr="003757C0">
              <w:rPr>
                <w:rFonts w:ascii="Arial" w:hAnsi="Arial" w:cs="Arial"/>
                <w:sz w:val="16"/>
                <w:szCs w:val="16"/>
              </w:rPr>
              <w:t xml:space="preserve">Approved the proposal to obtain required funding of COM$926,623 from staff budget lines be submitted to Council for approval. </w:t>
            </w:r>
          </w:p>
          <w:p w:rsidR="00AD0CBC" w:rsidRPr="003757C0" w:rsidRDefault="00AD0CBC" w:rsidP="00B33E23">
            <w:pPr>
              <w:jc w:val="both"/>
              <w:rPr>
                <w:rFonts w:ascii="Arial" w:hAnsi="Arial" w:cs="Arial"/>
                <w:sz w:val="16"/>
                <w:szCs w:val="16"/>
              </w:rPr>
            </w:pPr>
          </w:p>
          <w:p w:rsidR="00AD0CBC" w:rsidRPr="003757C0" w:rsidRDefault="00AD0CBC" w:rsidP="00B33E23">
            <w:pPr>
              <w:jc w:val="both"/>
              <w:rPr>
                <w:rFonts w:ascii="Arial" w:hAnsi="Arial" w:cs="Arial"/>
                <w:b/>
                <w:sz w:val="16"/>
                <w:szCs w:val="16"/>
              </w:rPr>
            </w:pPr>
            <w:r w:rsidRPr="003757C0">
              <w:rPr>
                <w:rFonts w:ascii="Arial" w:hAnsi="Arial" w:cs="Arial"/>
                <w:sz w:val="16"/>
                <w:szCs w:val="16"/>
              </w:rPr>
              <w:t>Council decided that the request for increased funding towards COMESA programmes and activities be referred to Ministers responsible for Finance</w:t>
            </w:r>
            <w:r w:rsidRPr="003757C0">
              <w:rPr>
                <w:rFonts w:ascii="Arial" w:hAnsi="Arial" w:cs="Arial"/>
                <w:b/>
                <w:sz w:val="16"/>
                <w:szCs w:val="16"/>
              </w:rPr>
              <w:t>.</w:t>
            </w:r>
          </w:p>
          <w:p w:rsidR="00AD0CBC" w:rsidRPr="003757C0" w:rsidRDefault="00AD0CBC" w:rsidP="00B33E23">
            <w:pPr>
              <w:jc w:val="both"/>
              <w:rPr>
                <w:rFonts w:ascii="Arial" w:hAnsi="Arial" w:cs="Arial"/>
                <w:sz w:val="16"/>
                <w:szCs w:val="16"/>
              </w:rPr>
            </w:pPr>
          </w:p>
        </w:tc>
        <w:tc>
          <w:tcPr>
            <w:tcW w:w="3277" w:type="dxa"/>
          </w:tcPr>
          <w:p w:rsidR="00AD0CBC" w:rsidRPr="003757C0" w:rsidRDefault="00AD0CBC" w:rsidP="00B33E23">
            <w:pPr>
              <w:jc w:val="both"/>
              <w:rPr>
                <w:rFonts w:ascii="Arial" w:hAnsi="Arial" w:cs="Arial"/>
                <w:bCs/>
                <w:sz w:val="16"/>
                <w:szCs w:val="16"/>
              </w:rPr>
            </w:pPr>
            <w:r w:rsidRPr="003757C0">
              <w:rPr>
                <w:rFonts w:ascii="Arial" w:hAnsi="Arial" w:cs="Arial"/>
                <w:sz w:val="16"/>
                <w:szCs w:val="16"/>
              </w:rPr>
              <w:t>Council noted the request for additional funding of COMESA programmes and activities. Council observed that there is a need to consult Ministers responsible for Finance as they are critical to sustainability of COMESA funding</w:t>
            </w:r>
          </w:p>
        </w:tc>
        <w:tc>
          <w:tcPr>
            <w:tcW w:w="2790" w:type="dxa"/>
          </w:tcPr>
          <w:p w:rsidR="00AD0CBC" w:rsidRPr="00C5036F" w:rsidRDefault="00C5036F" w:rsidP="00B33E23">
            <w:pPr>
              <w:jc w:val="both"/>
              <w:rPr>
                <w:rFonts w:ascii="Arial" w:hAnsi="Arial" w:cs="Arial"/>
                <w:sz w:val="16"/>
                <w:szCs w:val="16"/>
              </w:rPr>
            </w:pPr>
            <w:r w:rsidRPr="00C5036F">
              <w:rPr>
                <w:rFonts w:ascii="Arial" w:hAnsi="Arial" w:cs="Arial"/>
                <w:sz w:val="16"/>
                <w:szCs w:val="16"/>
              </w:rPr>
              <w:t>A paper on operationalization of COMESA levy, as established under Article 168, was presented to Officials in August 2019</w:t>
            </w:r>
          </w:p>
          <w:p w:rsidR="00AD0CBC" w:rsidRPr="00153555" w:rsidRDefault="00AD0CBC" w:rsidP="00B33E23">
            <w:pPr>
              <w:jc w:val="both"/>
              <w:rPr>
                <w:rFonts w:ascii="Arial" w:hAnsi="Arial" w:cs="Arial"/>
                <w:bCs/>
                <w:sz w:val="16"/>
                <w:szCs w:val="16"/>
              </w:rPr>
            </w:pPr>
          </w:p>
        </w:tc>
      </w:tr>
    </w:tbl>
    <w:p w:rsidR="002832A0" w:rsidRPr="00153555" w:rsidRDefault="002832A0" w:rsidP="002832A0">
      <w:pPr>
        <w:jc w:val="both"/>
        <w:rPr>
          <w:rFonts w:ascii="Arial" w:hAnsi="Arial"/>
          <w:bCs/>
          <w:sz w:val="22"/>
          <w:szCs w:val="22"/>
        </w:rPr>
      </w:pPr>
    </w:p>
    <w:p w:rsidR="002832A0" w:rsidRPr="00934091" w:rsidRDefault="002832A0" w:rsidP="00934091">
      <w:pPr>
        <w:rPr>
          <w:b/>
          <w:lang w:val="en-GB"/>
        </w:rPr>
      </w:pPr>
    </w:p>
    <w:p w:rsidR="002832A0" w:rsidRDefault="002832A0" w:rsidP="002832A0">
      <w:pPr>
        <w:rPr>
          <w:lang w:val="en-GB"/>
        </w:rPr>
      </w:pPr>
    </w:p>
    <w:p w:rsidR="00913E3E" w:rsidRDefault="00913E3E" w:rsidP="002832A0">
      <w:pPr>
        <w:pStyle w:val="Heading1"/>
        <w:numPr>
          <w:ilvl w:val="0"/>
          <w:numId w:val="13"/>
        </w:numPr>
        <w:ind w:hanging="720"/>
        <w:jc w:val="both"/>
        <w:rPr>
          <w:b/>
        </w:rPr>
        <w:sectPr w:rsidR="00913E3E" w:rsidSect="00DF717E">
          <w:pgSz w:w="11909" w:h="16834" w:code="9"/>
          <w:pgMar w:top="864" w:right="1440" w:bottom="864" w:left="1440" w:header="432" w:footer="432" w:gutter="0"/>
          <w:cols w:space="720"/>
          <w:titlePg/>
          <w:docGrid w:linePitch="360"/>
        </w:sectPr>
      </w:pPr>
    </w:p>
    <w:p w:rsidR="002832A0" w:rsidRPr="002832A0" w:rsidRDefault="002832A0" w:rsidP="002832A0">
      <w:pPr>
        <w:pStyle w:val="Heading1"/>
        <w:numPr>
          <w:ilvl w:val="0"/>
          <w:numId w:val="13"/>
        </w:numPr>
        <w:ind w:hanging="720"/>
        <w:jc w:val="both"/>
        <w:rPr>
          <w:b/>
        </w:rPr>
      </w:pPr>
      <w:bookmarkStart w:id="3" w:name="_Toc21610354"/>
      <w:r w:rsidRPr="002832A0">
        <w:rPr>
          <w:b/>
        </w:rPr>
        <w:lastRenderedPageBreak/>
        <w:t>PARAMETERS – IN CALCULATING 20</w:t>
      </w:r>
      <w:r w:rsidR="00C5036F">
        <w:rPr>
          <w:b/>
        </w:rPr>
        <w:t xml:space="preserve">20 </w:t>
      </w:r>
      <w:r w:rsidRPr="002832A0">
        <w:rPr>
          <w:b/>
        </w:rPr>
        <w:t>ASSESSED CONTRIBUTION BUDGET RATIOS</w:t>
      </w:r>
      <w:bookmarkEnd w:id="3"/>
    </w:p>
    <w:p w:rsidR="002832A0" w:rsidRPr="002832A0" w:rsidRDefault="002832A0" w:rsidP="002832A0">
      <w:pPr>
        <w:rPr>
          <w:b/>
          <w:lang w:val="en-GB"/>
        </w:rPr>
      </w:pPr>
    </w:p>
    <w:p w:rsidR="00B2030F" w:rsidRPr="00913E3E" w:rsidRDefault="002832A0" w:rsidP="00913E3E">
      <w:pPr>
        <w:pStyle w:val="ListParagraph"/>
        <w:numPr>
          <w:ilvl w:val="0"/>
          <w:numId w:val="18"/>
        </w:numPr>
        <w:tabs>
          <w:tab w:val="left" w:pos="720"/>
        </w:tabs>
        <w:ind w:left="0" w:firstLine="0"/>
        <w:jc w:val="both"/>
        <w:rPr>
          <w:rFonts w:ascii="Arial" w:hAnsi="Arial" w:cs="Arial"/>
          <w:lang w:val="en-GB"/>
        </w:rPr>
      </w:pPr>
      <w:r w:rsidRPr="00913E3E">
        <w:rPr>
          <w:rFonts w:ascii="Arial" w:hAnsi="Arial" w:cs="Arial"/>
          <w:lang w:val="en-GB"/>
        </w:rPr>
        <w:t>P</w:t>
      </w:r>
      <w:r w:rsidR="001C4988" w:rsidRPr="00913E3E">
        <w:rPr>
          <w:rFonts w:ascii="Arial" w:hAnsi="Arial" w:cs="Arial"/>
          <w:lang w:val="en-GB"/>
        </w:rPr>
        <w:t xml:space="preserve">ending the outcome of the review of the formula by the Ministers responsible for Finance, </w:t>
      </w:r>
      <w:r w:rsidR="00B2030F" w:rsidRPr="00913E3E">
        <w:rPr>
          <w:rFonts w:ascii="Arial" w:hAnsi="Arial" w:cs="Arial"/>
          <w:lang w:val="en-GB"/>
        </w:rPr>
        <w:t xml:space="preserve">the Secretariat </w:t>
      </w:r>
      <w:r w:rsidR="00D9338C" w:rsidRPr="00913E3E">
        <w:rPr>
          <w:rFonts w:ascii="Arial" w:hAnsi="Arial" w:cs="Arial"/>
          <w:lang w:val="en-GB"/>
        </w:rPr>
        <w:t>has applied the decision</w:t>
      </w:r>
      <w:r w:rsidR="000B5033">
        <w:rPr>
          <w:rFonts w:ascii="Arial" w:hAnsi="Arial" w:cs="Arial"/>
          <w:lang w:val="en-GB"/>
        </w:rPr>
        <w:t xml:space="preserve"> </w:t>
      </w:r>
      <w:r w:rsidR="00146A63" w:rsidRPr="00913E3E">
        <w:rPr>
          <w:rFonts w:ascii="Arial" w:hAnsi="Arial" w:cs="Arial"/>
          <w:lang w:val="en-GB"/>
        </w:rPr>
        <w:t>of Council (</w:t>
      </w:r>
      <w:r w:rsidR="00D9338C" w:rsidRPr="00913E3E">
        <w:rPr>
          <w:rFonts w:ascii="Arial" w:hAnsi="Arial" w:cs="Arial"/>
          <w:lang w:val="en-GB"/>
        </w:rPr>
        <w:t>November</w:t>
      </w:r>
      <w:r w:rsidR="00146A63" w:rsidRPr="00913E3E">
        <w:rPr>
          <w:rFonts w:ascii="Arial" w:hAnsi="Arial" w:cs="Arial"/>
          <w:lang w:val="en-GB"/>
        </w:rPr>
        <w:t xml:space="preserve"> 2012 in Kampala, Uganda)</w:t>
      </w:r>
      <w:r w:rsidR="00D9338C" w:rsidRPr="00913E3E">
        <w:rPr>
          <w:rFonts w:ascii="Arial" w:hAnsi="Arial" w:cs="Arial"/>
          <w:lang w:val="en-GB"/>
        </w:rPr>
        <w:t xml:space="preserve"> by use of existing parameters</w:t>
      </w:r>
      <w:r w:rsidR="00146A63" w:rsidRPr="00913E3E">
        <w:rPr>
          <w:rFonts w:ascii="Arial" w:hAnsi="Arial" w:cs="Arial"/>
          <w:lang w:val="en-GB"/>
        </w:rPr>
        <w:t xml:space="preserve">, </w:t>
      </w:r>
      <w:r w:rsidR="00D9338C" w:rsidRPr="00913E3E">
        <w:rPr>
          <w:rFonts w:ascii="Arial" w:hAnsi="Arial" w:cs="Arial"/>
          <w:lang w:val="en-GB"/>
        </w:rPr>
        <w:t xml:space="preserve">in </w:t>
      </w:r>
      <w:r w:rsidR="00B2030F" w:rsidRPr="00913E3E">
        <w:rPr>
          <w:rFonts w:ascii="Arial" w:hAnsi="Arial" w:cs="Arial"/>
          <w:lang w:val="en-GB"/>
        </w:rPr>
        <w:t xml:space="preserve">calculating the </w:t>
      </w:r>
      <w:r w:rsidRPr="00913E3E">
        <w:rPr>
          <w:rFonts w:ascii="Arial" w:hAnsi="Arial" w:cs="Arial"/>
          <w:lang w:val="en-GB"/>
        </w:rPr>
        <w:t>proposed 2019</w:t>
      </w:r>
      <w:r w:rsidR="00B2030F" w:rsidRPr="00913E3E">
        <w:rPr>
          <w:rFonts w:ascii="Arial" w:hAnsi="Arial" w:cs="Arial"/>
          <w:lang w:val="en-GB"/>
        </w:rPr>
        <w:t xml:space="preserve">assessed </w:t>
      </w:r>
      <w:r w:rsidR="00D9338C" w:rsidRPr="00913E3E">
        <w:rPr>
          <w:rFonts w:ascii="Arial" w:hAnsi="Arial" w:cs="Arial"/>
          <w:lang w:val="en-GB"/>
        </w:rPr>
        <w:t xml:space="preserve">annual Member States </w:t>
      </w:r>
      <w:r w:rsidR="00B2030F" w:rsidRPr="00913E3E">
        <w:rPr>
          <w:rFonts w:ascii="Arial" w:hAnsi="Arial" w:cs="Arial"/>
          <w:lang w:val="en-GB"/>
        </w:rPr>
        <w:t>contributions</w:t>
      </w:r>
      <w:r w:rsidRPr="00913E3E">
        <w:rPr>
          <w:rFonts w:ascii="Arial" w:hAnsi="Arial" w:cs="Arial"/>
          <w:lang w:val="en-GB"/>
        </w:rPr>
        <w:t>, as follows: -</w:t>
      </w:r>
    </w:p>
    <w:p w:rsidR="00B2030F" w:rsidRPr="0084182C" w:rsidRDefault="00B2030F" w:rsidP="00B2030F">
      <w:pPr>
        <w:pStyle w:val="DefaultText"/>
        <w:tabs>
          <w:tab w:val="clear" w:pos="-709"/>
        </w:tabs>
        <w:spacing w:line="240" w:lineRule="auto"/>
        <w:rPr>
          <w:rFonts w:ascii="Arial" w:hAnsi="Arial" w:cs="Arial"/>
          <w:bCs/>
          <w:sz w:val="14"/>
          <w:szCs w:val="22"/>
        </w:rPr>
      </w:pPr>
    </w:p>
    <w:p w:rsidR="00B2030F" w:rsidRDefault="00146A63" w:rsidP="00E4170E">
      <w:pPr>
        <w:pStyle w:val="ListParagraph"/>
        <w:numPr>
          <w:ilvl w:val="0"/>
          <w:numId w:val="3"/>
        </w:numPr>
        <w:ind w:left="2171" w:hanging="731"/>
        <w:jc w:val="both"/>
        <w:rPr>
          <w:rFonts w:ascii="Arial" w:hAnsi="Arial" w:cs="Arial"/>
        </w:rPr>
      </w:pPr>
      <w:r>
        <w:rPr>
          <w:rFonts w:ascii="Arial" w:hAnsi="Arial" w:cs="Arial"/>
        </w:rPr>
        <w:t>The parameters of the formula, as stated, below:</w:t>
      </w:r>
    </w:p>
    <w:p w:rsidR="00146A63" w:rsidRDefault="00146A63" w:rsidP="00D9338C">
      <w:pPr>
        <w:pStyle w:val="ListParagraph"/>
        <w:ind w:left="2171"/>
        <w:jc w:val="both"/>
        <w:rPr>
          <w:rFonts w:ascii="Arial" w:hAnsi="Arial" w:cs="Arial"/>
        </w:rPr>
      </w:pPr>
    </w:p>
    <w:p w:rsidR="00146A63" w:rsidRPr="00146A63" w:rsidRDefault="00146A63" w:rsidP="00E4170E">
      <w:pPr>
        <w:pStyle w:val="ListParagraph"/>
        <w:numPr>
          <w:ilvl w:val="0"/>
          <w:numId w:val="4"/>
        </w:numPr>
        <w:ind w:left="2891" w:hanging="720"/>
        <w:jc w:val="both"/>
        <w:rPr>
          <w:rFonts w:ascii="Arial" w:hAnsi="Arial" w:cs="Arial"/>
        </w:rPr>
      </w:pPr>
      <w:r w:rsidRPr="00146A63">
        <w:rPr>
          <w:rFonts w:ascii="Arial" w:hAnsi="Arial" w:cs="Arial"/>
        </w:rPr>
        <w:t>Gross Domestic Product - 30%</w:t>
      </w:r>
    </w:p>
    <w:p w:rsidR="00146A63" w:rsidRPr="00146A63" w:rsidRDefault="005D1959" w:rsidP="00E4170E">
      <w:pPr>
        <w:pStyle w:val="ListParagraph"/>
        <w:numPr>
          <w:ilvl w:val="0"/>
          <w:numId w:val="4"/>
        </w:numPr>
        <w:ind w:left="2891" w:hanging="720"/>
        <w:jc w:val="both"/>
        <w:rPr>
          <w:rFonts w:ascii="Arial" w:hAnsi="Arial" w:cs="Arial"/>
        </w:rPr>
      </w:pPr>
      <w:r>
        <w:rPr>
          <w:rFonts w:ascii="Arial" w:hAnsi="Arial" w:cs="Arial"/>
        </w:rPr>
        <w:t>Imports from Non-</w:t>
      </w:r>
      <w:r w:rsidR="00146A63" w:rsidRPr="00146A63">
        <w:rPr>
          <w:rFonts w:ascii="Arial" w:hAnsi="Arial" w:cs="Arial"/>
        </w:rPr>
        <w:t>COMESA Countries - 30%</w:t>
      </w:r>
    </w:p>
    <w:p w:rsidR="00146A63" w:rsidRPr="00146A63" w:rsidRDefault="00146A63" w:rsidP="00E4170E">
      <w:pPr>
        <w:pStyle w:val="ListParagraph"/>
        <w:numPr>
          <w:ilvl w:val="0"/>
          <w:numId w:val="4"/>
        </w:numPr>
        <w:ind w:left="2891" w:hanging="720"/>
        <w:jc w:val="both"/>
        <w:rPr>
          <w:rFonts w:ascii="Arial" w:hAnsi="Arial" w:cs="Arial"/>
        </w:rPr>
      </w:pPr>
      <w:r w:rsidRPr="00146A63">
        <w:rPr>
          <w:rFonts w:ascii="Arial" w:hAnsi="Arial" w:cs="Arial"/>
        </w:rPr>
        <w:t>Intra COMESA Exports - 30%</w:t>
      </w:r>
    </w:p>
    <w:p w:rsidR="00146A63" w:rsidRPr="00146A63" w:rsidRDefault="00146A63" w:rsidP="00E4170E">
      <w:pPr>
        <w:pStyle w:val="ListParagraph"/>
        <w:numPr>
          <w:ilvl w:val="0"/>
          <w:numId w:val="4"/>
        </w:numPr>
        <w:ind w:left="2891" w:hanging="720"/>
        <w:jc w:val="both"/>
        <w:rPr>
          <w:rFonts w:ascii="Arial" w:hAnsi="Arial" w:cs="Arial"/>
        </w:rPr>
      </w:pPr>
      <w:r w:rsidRPr="00146A63">
        <w:rPr>
          <w:rFonts w:ascii="Arial" w:hAnsi="Arial" w:cs="Arial"/>
        </w:rPr>
        <w:t>GNP per Capita - 5%</w:t>
      </w:r>
    </w:p>
    <w:p w:rsidR="00146A63" w:rsidRPr="00146A63" w:rsidRDefault="00146A63" w:rsidP="00E4170E">
      <w:pPr>
        <w:pStyle w:val="ListParagraph"/>
        <w:numPr>
          <w:ilvl w:val="0"/>
          <w:numId w:val="4"/>
        </w:numPr>
        <w:ind w:left="2891" w:hanging="720"/>
        <w:jc w:val="both"/>
        <w:rPr>
          <w:rFonts w:ascii="Arial" w:hAnsi="Arial" w:cs="Arial"/>
        </w:rPr>
      </w:pPr>
      <w:r w:rsidRPr="00146A63">
        <w:rPr>
          <w:rFonts w:ascii="Arial" w:hAnsi="Arial" w:cs="Arial"/>
        </w:rPr>
        <w:t>Population - 5%</w:t>
      </w:r>
    </w:p>
    <w:p w:rsidR="00146A63" w:rsidRDefault="00146A63" w:rsidP="00D9338C">
      <w:pPr>
        <w:pStyle w:val="ListParagraph"/>
        <w:ind w:left="2531"/>
        <w:jc w:val="both"/>
        <w:rPr>
          <w:rFonts w:ascii="Arial" w:hAnsi="Arial" w:cs="Arial"/>
        </w:rPr>
      </w:pPr>
    </w:p>
    <w:p w:rsidR="00B2030F" w:rsidRPr="0084182C" w:rsidRDefault="00B2030F" w:rsidP="00E4170E">
      <w:pPr>
        <w:pStyle w:val="ListParagraph"/>
        <w:numPr>
          <w:ilvl w:val="0"/>
          <w:numId w:val="3"/>
        </w:numPr>
        <w:ind w:left="2171" w:hanging="731"/>
        <w:jc w:val="both"/>
        <w:rPr>
          <w:rFonts w:ascii="Arial" w:hAnsi="Arial" w:cs="Arial"/>
        </w:rPr>
      </w:pPr>
      <w:r w:rsidRPr="0084182C">
        <w:rPr>
          <w:rFonts w:ascii="Arial" w:hAnsi="Arial" w:cs="Arial"/>
        </w:rPr>
        <w:t>The S</w:t>
      </w:r>
      <w:r w:rsidR="00146A63">
        <w:rPr>
          <w:rFonts w:ascii="Arial" w:hAnsi="Arial" w:cs="Arial"/>
        </w:rPr>
        <w:t>ecretariat shall apply the five-</w:t>
      </w:r>
      <w:r w:rsidRPr="0084182C">
        <w:rPr>
          <w:rFonts w:ascii="Arial" w:hAnsi="Arial" w:cs="Arial"/>
        </w:rPr>
        <w:t>year moving average using the most up to date statistics on an annual basis;</w:t>
      </w:r>
    </w:p>
    <w:p w:rsidR="00146A63" w:rsidRDefault="00146A63" w:rsidP="00D9338C">
      <w:pPr>
        <w:pStyle w:val="ListParagraph"/>
        <w:ind w:left="2171"/>
        <w:jc w:val="both"/>
        <w:rPr>
          <w:rFonts w:ascii="Arial" w:hAnsi="Arial" w:cs="Arial"/>
        </w:rPr>
      </w:pPr>
    </w:p>
    <w:p w:rsidR="00B2030F" w:rsidRPr="0084182C" w:rsidRDefault="00B2030F" w:rsidP="00E4170E">
      <w:pPr>
        <w:pStyle w:val="ListParagraph"/>
        <w:numPr>
          <w:ilvl w:val="0"/>
          <w:numId w:val="3"/>
        </w:numPr>
        <w:ind w:left="2171" w:hanging="731"/>
        <w:jc w:val="both"/>
        <w:rPr>
          <w:rFonts w:ascii="Arial" w:hAnsi="Arial" w:cs="Arial"/>
        </w:rPr>
      </w:pPr>
      <w:r w:rsidRPr="0084182C">
        <w:rPr>
          <w:rFonts w:ascii="Arial" w:hAnsi="Arial" w:cs="Arial"/>
        </w:rPr>
        <w:t>Member States whose statistics are different from what is contained in COMSTAT Database shall provide the correct statistics as per laid down procedure between the National Statistics Office and the Secretariat;</w:t>
      </w:r>
    </w:p>
    <w:p w:rsidR="00B2030F" w:rsidRPr="0084182C" w:rsidRDefault="00B2030F" w:rsidP="00D9338C">
      <w:pPr>
        <w:pStyle w:val="ListParagraph"/>
        <w:ind w:left="1451"/>
        <w:rPr>
          <w:rFonts w:ascii="Arial" w:hAnsi="Arial" w:cs="Arial"/>
          <w:sz w:val="18"/>
        </w:rPr>
      </w:pPr>
    </w:p>
    <w:p w:rsidR="00B2030F" w:rsidRPr="00913E3E" w:rsidRDefault="00146A63" w:rsidP="00913E3E">
      <w:pPr>
        <w:pStyle w:val="ListParagraph"/>
        <w:numPr>
          <w:ilvl w:val="0"/>
          <w:numId w:val="18"/>
        </w:numPr>
        <w:tabs>
          <w:tab w:val="left" w:pos="720"/>
        </w:tabs>
        <w:ind w:left="0" w:firstLine="0"/>
        <w:jc w:val="both"/>
        <w:rPr>
          <w:rFonts w:ascii="Arial" w:hAnsi="Arial" w:cs="Arial"/>
        </w:rPr>
      </w:pPr>
      <w:r w:rsidRPr="00913E3E">
        <w:rPr>
          <w:rFonts w:ascii="Arial" w:hAnsi="Arial" w:cs="Arial"/>
        </w:rPr>
        <w:t xml:space="preserve">The Secretariat shall </w:t>
      </w:r>
      <w:r w:rsidR="00B2030F" w:rsidRPr="00913E3E">
        <w:rPr>
          <w:rFonts w:ascii="Arial" w:hAnsi="Arial" w:cs="Arial"/>
        </w:rPr>
        <w:t xml:space="preserve">continue to use the World Bank and the COMSTAT </w:t>
      </w:r>
      <w:r w:rsidR="000B5033">
        <w:rPr>
          <w:rFonts w:ascii="Arial" w:hAnsi="Arial" w:cs="Arial"/>
        </w:rPr>
        <w:t>database</w:t>
      </w:r>
      <w:r w:rsidR="00B2030F" w:rsidRPr="00913E3E">
        <w:rPr>
          <w:rFonts w:ascii="Arial" w:hAnsi="Arial" w:cs="Arial"/>
        </w:rPr>
        <w:t xml:space="preserve"> as the sources of statistics for calculating th</w:t>
      </w:r>
      <w:r w:rsidR="00913E3E">
        <w:rPr>
          <w:rFonts w:ascii="Arial" w:hAnsi="Arial" w:cs="Arial"/>
        </w:rPr>
        <w:t>e assessed contribution ratios: -</w:t>
      </w:r>
    </w:p>
    <w:p w:rsidR="00B2030F" w:rsidRPr="00913E3E" w:rsidRDefault="00B2030F" w:rsidP="00D9338C">
      <w:pPr>
        <w:pStyle w:val="ListParagraph"/>
        <w:ind w:left="1451" w:hanging="731"/>
        <w:rPr>
          <w:rFonts w:ascii="Arial" w:hAnsi="Arial" w:cs="Arial"/>
        </w:rPr>
      </w:pPr>
    </w:p>
    <w:p w:rsidR="00913E3E" w:rsidRDefault="00146A63" w:rsidP="00913E3E">
      <w:pPr>
        <w:pStyle w:val="ListParagraph"/>
        <w:numPr>
          <w:ilvl w:val="0"/>
          <w:numId w:val="19"/>
        </w:numPr>
        <w:ind w:left="2160" w:hanging="720"/>
        <w:jc w:val="both"/>
        <w:rPr>
          <w:rFonts w:ascii="Arial" w:hAnsi="Arial" w:cs="Arial"/>
        </w:rPr>
      </w:pPr>
      <w:r w:rsidRPr="00913E3E">
        <w:rPr>
          <w:rFonts w:ascii="Arial" w:hAnsi="Arial" w:cs="Arial"/>
        </w:rPr>
        <w:t xml:space="preserve">That </w:t>
      </w:r>
      <w:r w:rsidR="00B2030F" w:rsidRPr="00913E3E">
        <w:rPr>
          <w:rFonts w:ascii="Arial" w:hAnsi="Arial" w:cs="Arial"/>
        </w:rPr>
        <w:t xml:space="preserve">a lower ceiling of 1%, an upper ceiling of 12% be applied; and </w:t>
      </w:r>
    </w:p>
    <w:p w:rsidR="00913E3E" w:rsidRDefault="00913E3E" w:rsidP="00913E3E">
      <w:pPr>
        <w:pStyle w:val="ListParagraph"/>
        <w:ind w:left="2160" w:hanging="720"/>
        <w:jc w:val="both"/>
        <w:rPr>
          <w:rFonts w:ascii="Arial" w:hAnsi="Arial" w:cs="Arial"/>
        </w:rPr>
      </w:pPr>
    </w:p>
    <w:p w:rsidR="00B2030F" w:rsidRPr="00913E3E" w:rsidRDefault="00B2030F" w:rsidP="00913E3E">
      <w:pPr>
        <w:pStyle w:val="ListParagraph"/>
        <w:numPr>
          <w:ilvl w:val="0"/>
          <w:numId w:val="19"/>
        </w:numPr>
        <w:ind w:left="2160" w:hanging="720"/>
        <w:jc w:val="both"/>
        <w:rPr>
          <w:rFonts w:ascii="Arial" w:hAnsi="Arial" w:cs="Arial"/>
        </w:rPr>
      </w:pPr>
      <w:r w:rsidRPr="00913E3E">
        <w:rPr>
          <w:rFonts w:ascii="Arial" w:hAnsi="Arial" w:cs="Arial"/>
        </w:rPr>
        <w:t>That a shock absorber of 15% be adopted as it addresses the criteria of equity, fairness, capacity to pay, strength of the economy, benefits accruing to Member Sta</w:t>
      </w:r>
      <w:r w:rsidR="00D9338C" w:rsidRPr="00913E3E">
        <w:rPr>
          <w:rFonts w:ascii="Arial" w:hAnsi="Arial" w:cs="Arial"/>
        </w:rPr>
        <w:t>tes and the size of the market.</w:t>
      </w:r>
    </w:p>
    <w:p w:rsidR="002832A0" w:rsidRPr="00913E3E" w:rsidRDefault="002832A0" w:rsidP="002832A0">
      <w:pPr>
        <w:pStyle w:val="ListParagraph"/>
        <w:rPr>
          <w:rFonts w:ascii="Arial" w:hAnsi="Arial" w:cs="Arial"/>
        </w:rPr>
      </w:pPr>
    </w:p>
    <w:p w:rsidR="002832A0" w:rsidRPr="00913E3E" w:rsidRDefault="002832A0" w:rsidP="00913E3E">
      <w:pPr>
        <w:pStyle w:val="ListParagraph"/>
        <w:numPr>
          <w:ilvl w:val="0"/>
          <w:numId w:val="18"/>
        </w:numPr>
        <w:tabs>
          <w:tab w:val="left" w:pos="720"/>
        </w:tabs>
        <w:ind w:left="0" w:firstLine="0"/>
        <w:jc w:val="both"/>
        <w:rPr>
          <w:rFonts w:ascii="Arial" w:hAnsi="Arial" w:cs="Arial"/>
        </w:rPr>
      </w:pPr>
      <w:r w:rsidRPr="00913E3E">
        <w:rPr>
          <w:rFonts w:ascii="Arial" w:hAnsi="Arial" w:cs="Arial"/>
        </w:rPr>
        <w:t>Step by step application of the parameters, is as outlined below: -</w:t>
      </w:r>
    </w:p>
    <w:p w:rsidR="00913E3E" w:rsidRDefault="00913E3E" w:rsidP="00913E3E">
      <w:pPr>
        <w:pStyle w:val="ListParagraph"/>
        <w:tabs>
          <w:tab w:val="left" w:pos="1440"/>
        </w:tabs>
        <w:jc w:val="both"/>
        <w:rPr>
          <w:rFonts w:ascii="Arial" w:hAnsi="Arial" w:cs="Arial"/>
        </w:rPr>
      </w:pPr>
    </w:p>
    <w:p w:rsidR="00913E3E" w:rsidRDefault="00913E3E" w:rsidP="00C5036F">
      <w:pPr>
        <w:pStyle w:val="ListParagraph"/>
        <w:tabs>
          <w:tab w:val="left" w:pos="2160"/>
        </w:tabs>
        <w:jc w:val="both"/>
        <w:rPr>
          <w:rFonts w:ascii="Arial" w:hAnsi="Arial" w:cs="Arial"/>
        </w:rPr>
      </w:pPr>
      <w:r w:rsidRPr="00C5036F">
        <w:rPr>
          <w:rFonts w:ascii="Arial" w:hAnsi="Arial" w:cs="Arial"/>
          <w:b/>
        </w:rPr>
        <w:t>Step 1</w:t>
      </w:r>
      <w:r>
        <w:rPr>
          <w:rFonts w:ascii="Arial" w:hAnsi="Arial" w:cs="Arial"/>
        </w:rPr>
        <w:t>:</w:t>
      </w:r>
      <w:r>
        <w:rPr>
          <w:rFonts w:ascii="Arial" w:hAnsi="Arial" w:cs="Arial"/>
        </w:rPr>
        <w:tab/>
      </w:r>
      <w:r w:rsidR="002832A0" w:rsidRPr="00913E3E">
        <w:rPr>
          <w:rFonts w:ascii="Arial" w:hAnsi="Arial" w:cs="Arial"/>
        </w:rPr>
        <w:t>Parameters are provided by COM</w:t>
      </w:r>
      <w:r w:rsidR="000B5033">
        <w:rPr>
          <w:rFonts w:ascii="Arial" w:hAnsi="Arial" w:cs="Arial"/>
        </w:rPr>
        <w:t>ESA</w:t>
      </w:r>
      <w:r w:rsidR="002832A0" w:rsidRPr="00913E3E">
        <w:rPr>
          <w:rFonts w:ascii="Arial" w:hAnsi="Arial" w:cs="Arial"/>
        </w:rPr>
        <w:t xml:space="preserve"> Statistics</w:t>
      </w:r>
      <w:r w:rsidR="000B5033">
        <w:rPr>
          <w:rFonts w:ascii="Arial" w:hAnsi="Arial" w:cs="Arial"/>
        </w:rPr>
        <w:t xml:space="preserve"> unit</w:t>
      </w:r>
      <w:r w:rsidR="002832A0" w:rsidRPr="00913E3E">
        <w:rPr>
          <w:rFonts w:ascii="Arial" w:hAnsi="Arial" w:cs="Arial"/>
        </w:rPr>
        <w:t xml:space="preserve"> in line with </w:t>
      </w:r>
      <w:r>
        <w:rPr>
          <w:rFonts w:ascii="Arial" w:hAnsi="Arial" w:cs="Arial"/>
        </w:rPr>
        <w:t xml:space="preserve">rules of </w:t>
      </w:r>
      <w:r w:rsidR="002832A0" w:rsidRPr="00913E3E">
        <w:rPr>
          <w:rFonts w:ascii="Arial" w:hAnsi="Arial" w:cs="Arial"/>
        </w:rPr>
        <w:t xml:space="preserve">procedures governing their work.  </w:t>
      </w:r>
    </w:p>
    <w:p w:rsidR="00913E3E" w:rsidRDefault="00913E3E" w:rsidP="00C5036F">
      <w:pPr>
        <w:pStyle w:val="ListParagraph"/>
        <w:tabs>
          <w:tab w:val="left" w:pos="2160"/>
        </w:tabs>
        <w:ind w:left="2160" w:hanging="1440"/>
        <w:jc w:val="both"/>
        <w:rPr>
          <w:rFonts w:ascii="Arial" w:hAnsi="Arial" w:cs="Arial"/>
        </w:rPr>
      </w:pPr>
    </w:p>
    <w:p w:rsidR="002832A0" w:rsidRPr="00913E3E" w:rsidRDefault="002832A0" w:rsidP="00C5036F">
      <w:pPr>
        <w:pStyle w:val="ListParagraph"/>
        <w:tabs>
          <w:tab w:val="left" w:pos="2160"/>
        </w:tabs>
        <w:ind w:left="2160" w:hanging="1440"/>
        <w:jc w:val="both"/>
        <w:rPr>
          <w:rFonts w:ascii="Arial" w:hAnsi="Arial" w:cs="Arial"/>
        </w:rPr>
      </w:pPr>
      <w:r w:rsidRPr="00913E3E">
        <w:rPr>
          <w:rFonts w:ascii="Arial" w:hAnsi="Arial" w:cs="Arial"/>
        </w:rPr>
        <w:t>Note the following steps, which are adhered to: -</w:t>
      </w:r>
    </w:p>
    <w:p w:rsidR="002832A0" w:rsidRPr="00913E3E" w:rsidRDefault="002832A0" w:rsidP="00C5036F">
      <w:pPr>
        <w:pStyle w:val="ListParagraph"/>
        <w:tabs>
          <w:tab w:val="left" w:pos="1440"/>
        </w:tabs>
        <w:ind w:left="0"/>
        <w:jc w:val="both"/>
        <w:rPr>
          <w:rFonts w:ascii="Arial" w:hAnsi="Arial" w:cs="Arial"/>
        </w:rPr>
      </w:pPr>
    </w:p>
    <w:p w:rsidR="002832A0" w:rsidRPr="00913E3E" w:rsidRDefault="00913E3E" w:rsidP="00C5036F">
      <w:pPr>
        <w:pStyle w:val="ListParagraph"/>
        <w:tabs>
          <w:tab w:val="left" w:pos="1440"/>
        </w:tabs>
        <w:jc w:val="both"/>
        <w:rPr>
          <w:rFonts w:ascii="Arial" w:hAnsi="Arial" w:cs="Arial"/>
        </w:rPr>
      </w:pPr>
      <w:r w:rsidRPr="00C5036F">
        <w:rPr>
          <w:rFonts w:ascii="Arial" w:hAnsi="Arial" w:cs="Arial"/>
          <w:b/>
        </w:rPr>
        <w:t>Step 2</w:t>
      </w:r>
      <w:r w:rsidR="002832A0" w:rsidRPr="00913E3E">
        <w:rPr>
          <w:rFonts w:ascii="Arial" w:hAnsi="Arial" w:cs="Arial"/>
        </w:rPr>
        <w:t>:</w:t>
      </w:r>
      <w:r w:rsidR="002832A0" w:rsidRPr="00913E3E">
        <w:rPr>
          <w:rFonts w:ascii="Arial" w:hAnsi="Arial" w:cs="Arial"/>
        </w:rPr>
        <w:tab/>
        <w:t xml:space="preserve">Individual variables obtained over a five-year period, from </w:t>
      </w:r>
      <w:r w:rsidRPr="00913E3E">
        <w:rPr>
          <w:rFonts w:ascii="Arial" w:hAnsi="Arial" w:cs="Arial"/>
        </w:rPr>
        <w:t>201</w:t>
      </w:r>
      <w:r w:rsidR="00C5036F">
        <w:rPr>
          <w:rFonts w:ascii="Arial" w:hAnsi="Arial" w:cs="Arial"/>
        </w:rPr>
        <w:t>4</w:t>
      </w:r>
      <w:r w:rsidRPr="00913E3E">
        <w:rPr>
          <w:rFonts w:ascii="Arial" w:hAnsi="Arial" w:cs="Arial"/>
        </w:rPr>
        <w:t xml:space="preserve"> to 201</w:t>
      </w:r>
      <w:r w:rsidR="00C5036F">
        <w:rPr>
          <w:rFonts w:ascii="Arial" w:hAnsi="Arial" w:cs="Arial"/>
        </w:rPr>
        <w:t>8</w:t>
      </w:r>
      <w:r w:rsidR="002832A0" w:rsidRPr="00913E3E">
        <w:rPr>
          <w:rFonts w:ascii="Arial" w:hAnsi="Arial" w:cs="Arial"/>
        </w:rPr>
        <w:t>, which are then averaged to smoothen impact.</w:t>
      </w:r>
    </w:p>
    <w:p w:rsidR="002832A0" w:rsidRPr="00913E3E" w:rsidRDefault="002832A0" w:rsidP="00C5036F">
      <w:pPr>
        <w:pStyle w:val="ListParagraph"/>
        <w:tabs>
          <w:tab w:val="left" w:pos="1440"/>
        </w:tabs>
        <w:ind w:left="2160" w:hanging="1440"/>
        <w:jc w:val="both"/>
        <w:rPr>
          <w:rFonts w:ascii="Arial" w:hAnsi="Arial" w:cs="Arial"/>
        </w:rPr>
      </w:pPr>
    </w:p>
    <w:p w:rsidR="002832A0" w:rsidRPr="00913E3E" w:rsidRDefault="00913E3E" w:rsidP="00C5036F">
      <w:pPr>
        <w:pStyle w:val="ListParagraph"/>
        <w:tabs>
          <w:tab w:val="left" w:pos="1440"/>
        </w:tabs>
        <w:ind w:left="2160" w:hanging="1440"/>
        <w:jc w:val="both"/>
        <w:rPr>
          <w:rFonts w:ascii="Arial" w:hAnsi="Arial" w:cs="Arial"/>
        </w:rPr>
      </w:pPr>
      <w:r w:rsidRPr="00C5036F">
        <w:rPr>
          <w:rFonts w:ascii="Arial" w:hAnsi="Arial" w:cs="Arial"/>
          <w:b/>
        </w:rPr>
        <w:t>Step 3</w:t>
      </w:r>
      <w:r w:rsidR="002832A0" w:rsidRPr="00913E3E">
        <w:rPr>
          <w:rFonts w:ascii="Arial" w:hAnsi="Arial" w:cs="Arial"/>
        </w:rPr>
        <w:t>:</w:t>
      </w:r>
      <w:r w:rsidR="002832A0" w:rsidRPr="00913E3E">
        <w:rPr>
          <w:rFonts w:ascii="Arial" w:hAnsi="Arial" w:cs="Arial"/>
        </w:rPr>
        <w:tab/>
        <w:t>A proportion of each Member State’ average variable.</w:t>
      </w:r>
    </w:p>
    <w:p w:rsidR="002832A0" w:rsidRPr="00913E3E" w:rsidRDefault="002832A0" w:rsidP="00C5036F">
      <w:pPr>
        <w:pStyle w:val="ListParagraph"/>
        <w:tabs>
          <w:tab w:val="left" w:pos="1440"/>
        </w:tabs>
        <w:ind w:left="2160" w:hanging="1440"/>
        <w:jc w:val="both"/>
        <w:rPr>
          <w:rFonts w:ascii="Arial" w:hAnsi="Arial" w:cs="Arial"/>
        </w:rPr>
      </w:pPr>
    </w:p>
    <w:p w:rsidR="002832A0" w:rsidRPr="00913E3E" w:rsidRDefault="00913E3E" w:rsidP="00C5036F">
      <w:pPr>
        <w:pStyle w:val="ListParagraph"/>
        <w:tabs>
          <w:tab w:val="left" w:pos="1440"/>
        </w:tabs>
        <w:jc w:val="both"/>
        <w:rPr>
          <w:rFonts w:ascii="Arial" w:hAnsi="Arial" w:cs="Arial"/>
        </w:rPr>
      </w:pPr>
      <w:r w:rsidRPr="00C5036F">
        <w:rPr>
          <w:rFonts w:ascii="Arial" w:hAnsi="Arial" w:cs="Arial"/>
          <w:b/>
        </w:rPr>
        <w:t>Step 4</w:t>
      </w:r>
      <w:r w:rsidR="002832A0" w:rsidRPr="00913E3E">
        <w:rPr>
          <w:rFonts w:ascii="Arial" w:hAnsi="Arial" w:cs="Arial"/>
        </w:rPr>
        <w:t>:</w:t>
      </w:r>
      <w:r w:rsidR="002832A0" w:rsidRPr="00913E3E">
        <w:rPr>
          <w:rFonts w:ascii="Arial" w:hAnsi="Arial" w:cs="Arial"/>
        </w:rPr>
        <w:tab/>
        <w:t>Each average variable is then adjusted based on its weight in the formula, as follows: -</w:t>
      </w:r>
    </w:p>
    <w:p w:rsidR="002832A0" w:rsidRDefault="002832A0" w:rsidP="002832A0">
      <w:pPr>
        <w:pStyle w:val="ListParagraph"/>
        <w:tabs>
          <w:tab w:val="left" w:pos="1440"/>
        </w:tabs>
        <w:ind w:left="0"/>
        <w:jc w:val="both"/>
        <w:rPr>
          <w:rFonts w:ascii="Arial" w:hAnsi="Arial" w:cs="Arial"/>
        </w:rPr>
      </w:pPr>
    </w:p>
    <w:tbl>
      <w:tblPr>
        <w:tblStyle w:val="TableGrid"/>
        <w:tblW w:w="0" w:type="auto"/>
        <w:tblLook w:val="04A0" w:firstRow="1" w:lastRow="0" w:firstColumn="1" w:lastColumn="0" w:noHBand="0" w:noVBand="1"/>
      </w:tblPr>
      <w:tblGrid>
        <w:gridCol w:w="2335"/>
        <w:gridCol w:w="2700"/>
        <w:gridCol w:w="4315"/>
      </w:tblGrid>
      <w:tr w:rsidR="002832A0" w:rsidTr="00B33E23">
        <w:tc>
          <w:tcPr>
            <w:tcW w:w="5035" w:type="dxa"/>
            <w:gridSpan w:val="2"/>
            <w:shd w:val="clear" w:color="auto" w:fill="D9D9D9" w:themeFill="background1" w:themeFillShade="D9"/>
          </w:tcPr>
          <w:p w:rsidR="002832A0" w:rsidRDefault="002832A0" w:rsidP="00B33E23">
            <w:pPr>
              <w:jc w:val="both"/>
              <w:rPr>
                <w:rFonts w:ascii="Arial" w:hAnsi="Arial" w:cs="Arial"/>
              </w:rPr>
            </w:pPr>
            <w:r>
              <w:rPr>
                <w:rFonts w:ascii="Arial" w:hAnsi="Arial" w:cs="Arial"/>
              </w:rPr>
              <w:t xml:space="preserve">Variable </w:t>
            </w:r>
          </w:p>
        </w:tc>
        <w:tc>
          <w:tcPr>
            <w:tcW w:w="4315" w:type="dxa"/>
            <w:shd w:val="clear" w:color="auto" w:fill="D9D9D9" w:themeFill="background1" w:themeFillShade="D9"/>
          </w:tcPr>
          <w:p w:rsidR="002832A0" w:rsidRDefault="002832A0" w:rsidP="003F6A04">
            <w:pPr>
              <w:jc w:val="center"/>
              <w:rPr>
                <w:rFonts w:ascii="Arial" w:hAnsi="Arial" w:cs="Arial"/>
              </w:rPr>
            </w:pPr>
            <w:r>
              <w:rPr>
                <w:rFonts w:ascii="Arial" w:hAnsi="Arial" w:cs="Arial"/>
              </w:rPr>
              <w:t>Weight</w:t>
            </w:r>
          </w:p>
        </w:tc>
      </w:tr>
      <w:tr w:rsidR="002832A0" w:rsidTr="00B33E23">
        <w:tc>
          <w:tcPr>
            <w:tcW w:w="5035" w:type="dxa"/>
            <w:gridSpan w:val="2"/>
          </w:tcPr>
          <w:p w:rsidR="002832A0" w:rsidRDefault="002832A0" w:rsidP="00B33E23">
            <w:pPr>
              <w:jc w:val="both"/>
              <w:rPr>
                <w:rFonts w:ascii="Arial" w:hAnsi="Arial" w:cs="Arial"/>
              </w:rPr>
            </w:pPr>
            <w:r>
              <w:rPr>
                <w:rFonts w:ascii="Arial" w:hAnsi="Arial" w:cs="Arial"/>
              </w:rPr>
              <w:t xml:space="preserve">1: </w:t>
            </w:r>
            <w:r w:rsidRPr="002408D1">
              <w:rPr>
                <w:rFonts w:ascii="Arial" w:hAnsi="Arial" w:cs="Arial"/>
              </w:rPr>
              <w:t xml:space="preserve">Population </w:t>
            </w:r>
          </w:p>
        </w:tc>
        <w:tc>
          <w:tcPr>
            <w:tcW w:w="4315" w:type="dxa"/>
          </w:tcPr>
          <w:p w:rsidR="002832A0" w:rsidRDefault="002832A0" w:rsidP="003F6A04">
            <w:pPr>
              <w:jc w:val="center"/>
              <w:rPr>
                <w:rFonts w:ascii="Arial" w:hAnsi="Arial" w:cs="Arial"/>
              </w:rPr>
            </w:pPr>
            <w:r>
              <w:rPr>
                <w:rFonts w:ascii="Arial" w:hAnsi="Arial" w:cs="Arial"/>
              </w:rPr>
              <w:t>30%</w:t>
            </w:r>
          </w:p>
        </w:tc>
      </w:tr>
      <w:tr w:rsidR="002832A0" w:rsidTr="00B33E23">
        <w:tc>
          <w:tcPr>
            <w:tcW w:w="5035" w:type="dxa"/>
            <w:gridSpan w:val="2"/>
          </w:tcPr>
          <w:p w:rsidR="002832A0" w:rsidRDefault="002832A0" w:rsidP="00B33E23">
            <w:pPr>
              <w:jc w:val="both"/>
              <w:rPr>
                <w:rFonts w:ascii="Arial" w:hAnsi="Arial" w:cs="Arial"/>
              </w:rPr>
            </w:pPr>
            <w:r>
              <w:rPr>
                <w:rFonts w:ascii="Arial" w:hAnsi="Arial" w:cs="Arial"/>
              </w:rPr>
              <w:t xml:space="preserve">2: </w:t>
            </w:r>
            <w:r w:rsidRPr="002408D1">
              <w:rPr>
                <w:rFonts w:ascii="Arial" w:hAnsi="Arial" w:cs="Arial"/>
              </w:rPr>
              <w:t xml:space="preserve">GDP </w:t>
            </w:r>
          </w:p>
        </w:tc>
        <w:tc>
          <w:tcPr>
            <w:tcW w:w="4315" w:type="dxa"/>
          </w:tcPr>
          <w:p w:rsidR="002832A0" w:rsidRDefault="002832A0" w:rsidP="003F6A04">
            <w:pPr>
              <w:jc w:val="center"/>
              <w:rPr>
                <w:rFonts w:ascii="Arial" w:hAnsi="Arial" w:cs="Arial"/>
              </w:rPr>
            </w:pPr>
            <w:r>
              <w:rPr>
                <w:rFonts w:ascii="Arial" w:hAnsi="Arial" w:cs="Arial"/>
              </w:rPr>
              <w:t>30%</w:t>
            </w:r>
          </w:p>
        </w:tc>
      </w:tr>
      <w:tr w:rsidR="002832A0" w:rsidTr="00B33E23">
        <w:tc>
          <w:tcPr>
            <w:tcW w:w="5035" w:type="dxa"/>
            <w:gridSpan w:val="2"/>
          </w:tcPr>
          <w:p w:rsidR="002832A0" w:rsidRDefault="002832A0" w:rsidP="00B33E23">
            <w:pPr>
              <w:jc w:val="both"/>
              <w:rPr>
                <w:rFonts w:ascii="Arial" w:hAnsi="Arial" w:cs="Arial"/>
              </w:rPr>
            </w:pPr>
            <w:r>
              <w:rPr>
                <w:rFonts w:ascii="Arial" w:hAnsi="Arial" w:cs="Arial"/>
              </w:rPr>
              <w:t xml:space="preserve">3: </w:t>
            </w:r>
            <w:r w:rsidRPr="002408D1">
              <w:rPr>
                <w:rFonts w:ascii="Arial" w:hAnsi="Arial" w:cs="Arial"/>
              </w:rPr>
              <w:t xml:space="preserve">GNI per Capital </w:t>
            </w:r>
          </w:p>
        </w:tc>
        <w:tc>
          <w:tcPr>
            <w:tcW w:w="4315" w:type="dxa"/>
          </w:tcPr>
          <w:p w:rsidR="002832A0" w:rsidRDefault="002832A0" w:rsidP="003F6A04">
            <w:pPr>
              <w:jc w:val="center"/>
              <w:rPr>
                <w:rFonts w:ascii="Arial" w:hAnsi="Arial" w:cs="Arial"/>
              </w:rPr>
            </w:pPr>
            <w:r>
              <w:rPr>
                <w:rFonts w:ascii="Arial" w:hAnsi="Arial" w:cs="Arial"/>
              </w:rPr>
              <w:t>30%</w:t>
            </w:r>
          </w:p>
        </w:tc>
      </w:tr>
      <w:tr w:rsidR="002832A0" w:rsidTr="00B33E23">
        <w:tc>
          <w:tcPr>
            <w:tcW w:w="2335" w:type="dxa"/>
            <w:vMerge w:val="restart"/>
          </w:tcPr>
          <w:p w:rsidR="002832A0" w:rsidRPr="002408D1" w:rsidRDefault="002832A0" w:rsidP="00B33E23">
            <w:pPr>
              <w:jc w:val="both"/>
              <w:rPr>
                <w:rFonts w:ascii="Arial" w:hAnsi="Arial" w:cs="Arial"/>
              </w:rPr>
            </w:pPr>
            <w:r>
              <w:rPr>
                <w:rFonts w:ascii="Arial" w:hAnsi="Arial" w:cs="Arial"/>
              </w:rPr>
              <w:t xml:space="preserve">4: </w:t>
            </w:r>
            <w:r w:rsidRPr="002408D1">
              <w:rPr>
                <w:rFonts w:ascii="Arial" w:hAnsi="Arial" w:cs="Arial"/>
              </w:rPr>
              <w:t>Trade Statistics</w:t>
            </w:r>
          </w:p>
        </w:tc>
        <w:tc>
          <w:tcPr>
            <w:tcW w:w="2700" w:type="dxa"/>
          </w:tcPr>
          <w:p w:rsidR="002832A0" w:rsidRPr="002408D1" w:rsidRDefault="002832A0" w:rsidP="00B33E23">
            <w:pPr>
              <w:jc w:val="both"/>
              <w:rPr>
                <w:rFonts w:ascii="Arial" w:hAnsi="Arial" w:cs="Arial"/>
              </w:rPr>
            </w:pPr>
            <w:r>
              <w:rPr>
                <w:rFonts w:ascii="Arial" w:hAnsi="Arial" w:cs="Arial"/>
              </w:rPr>
              <w:t xml:space="preserve">4.1: </w:t>
            </w:r>
            <w:r w:rsidRPr="002408D1">
              <w:rPr>
                <w:rFonts w:ascii="Arial" w:hAnsi="Arial" w:cs="Arial"/>
              </w:rPr>
              <w:t xml:space="preserve">Extra-COMESA Imports </w:t>
            </w:r>
          </w:p>
        </w:tc>
        <w:tc>
          <w:tcPr>
            <w:tcW w:w="4315" w:type="dxa"/>
          </w:tcPr>
          <w:p w:rsidR="002832A0" w:rsidRDefault="002832A0" w:rsidP="003F6A04">
            <w:pPr>
              <w:jc w:val="center"/>
              <w:rPr>
                <w:rFonts w:ascii="Arial" w:hAnsi="Arial" w:cs="Arial"/>
              </w:rPr>
            </w:pPr>
            <w:r>
              <w:rPr>
                <w:rFonts w:ascii="Arial" w:hAnsi="Arial" w:cs="Arial"/>
              </w:rPr>
              <w:t>5%</w:t>
            </w:r>
          </w:p>
        </w:tc>
      </w:tr>
      <w:tr w:rsidR="002832A0" w:rsidTr="00B33E23">
        <w:tc>
          <w:tcPr>
            <w:tcW w:w="2335" w:type="dxa"/>
            <w:vMerge/>
          </w:tcPr>
          <w:p w:rsidR="002832A0" w:rsidRDefault="002832A0" w:rsidP="00B33E23">
            <w:pPr>
              <w:jc w:val="both"/>
              <w:rPr>
                <w:rFonts w:ascii="Arial" w:hAnsi="Arial" w:cs="Arial"/>
              </w:rPr>
            </w:pPr>
          </w:p>
        </w:tc>
        <w:tc>
          <w:tcPr>
            <w:tcW w:w="2700" w:type="dxa"/>
          </w:tcPr>
          <w:p w:rsidR="002832A0" w:rsidRPr="002408D1" w:rsidRDefault="002832A0" w:rsidP="00B33E23">
            <w:pPr>
              <w:jc w:val="both"/>
              <w:rPr>
                <w:rFonts w:ascii="Arial" w:hAnsi="Arial" w:cs="Arial"/>
              </w:rPr>
            </w:pPr>
            <w:r>
              <w:rPr>
                <w:rFonts w:ascii="Arial" w:hAnsi="Arial" w:cs="Arial"/>
              </w:rPr>
              <w:t xml:space="preserve">4.2: </w:t>
            </w:r>
            <w:r w:rsidRPr="002408D1">
              <w:rPr>
                <w:rFonts w:ascii="Arial" w:hAnsi="Arial" w:cs="Arial"/>
              </w:rPr>
              <w:t>Intra-COMESA Exports</w:t>
            </w:r>
          </w:p>
        </w:tc>
        <w:tc>
          <w:tcPr>
            <w:tcW w:w="4315" w:type="dxa"/>
          </w:tcPr>
          <w:p w:rsidR="002832A0" w:rsidRDefault="002832A0" w:rsidP="003F6A04">
            <w:pPr>
              <w:jc w:val="center"/>
              <w:rPr>
                <w:rFonts w:ascii="Arial" w:hAnsi="Arial" w:cs="Arial"/>
              </w:rPr>
            </w:pPr>
            <w:r>
              <w:rPr>
                <w:rFonts w:ascii="Arial" w:hAnsi="Arial" w:cs="Arial"/>
              </w:rPr>
              <w:t>5%</w:t>
            </w:r>
          </w:p>
        </w:tc>
      </w:tr>
      <w:tr w:rsidR="002832A0" w:rsidTr="00B33E23">
        <w:tc>
          <w:tcPr>
            <w:tcW w:w="5035" w:type="dxa"/>
            <w:gridSpan w:val="2"/>
          </w:tcPr>
          <w:p w:rsidR="002832A0" w:rsidRDefault="002832A0" w:rsidP="00B33E23">
            <w:pPr>
              <w:jc w:val="both"/>
              <w:rPr>
                <w:rFonts w:ascii="Arial" w:hAnsi="Arial" w:cs="Arial"/>
              </w:rPr>
            </w:pPr>
            <w:r>
              <w:rPr>
                <w:rFonts w:ascii="Arial" w:hAnsi="Arial" w:cs="Arial"/>
              </w:rPr>
              <w:t>Total</w:t>
            </w:r>
          </w:p>
        </w:tc>
        <w:tc>
          <w:tcPr>
            <w:tcW w:w="4315" w:type="dxa"/>
          </w:tcPr>
          <w:p w:rsidR="002832A0" w:rsidRDefault="002832A0" w:rsidP="003F6A04">
            <w:pPr>
              <w:jc w:val="center"/>
              <w:rPr>
                <w:rFonts w:ascii="Arial" w:hAnsi="Arial" w:cs="Arial"/>
              </w:rPr>
            </w:pPr>
            <w:r>
              <w:rPr>
                <w:rFonts w:ascii="Arial" w:hAnsi="Arial" w:cs="Arial"/>
              </w:rPr>
              <w:t>100%</w:t>
            </w:r>
          </w:p>
        </w:tc>
      </w:tr>
    </w:tbl>
    <w:p w:rsidR="002832A0" w:rsidRPr="00913E3E" w:rsidRDefault="002832A0" w:rsidP="002832A0">
      <w:pPr>
        <w:jc w:val="both"/>
        <w:rPr>
          <w:rFonts w:ascii="Arial" w:hAnsi="Arial" w:cs="Arial"/>
        </w:rPr>
      </w:pPr>
    </w:p>
    <w:p w:rsidR="002832A0" w:rsidRPr="000D76ED" w:rsidRDefault="002832A0" w:rsidP="00913E3E">
      <w:pPr>
        <w:pStyle w:val="ListParagraph"/>
        <w:tabs>
          <w:tab w:val="left" w:pos="1440"/>
        </w:tabs>
        <w:ind w:left="2160" w:hanging="1440"/>
        <w:jc w:val="both"/>
        <w:rPr>
          <w:rFonts w:ascii="Arial" w:hAnsi="Arial" w:cs="Arial"/>
        </w:rPr>
      </w:pPr>
      <w:r w:rsidRPr="000D76ED">
        <w:rPr>
          <w:rFonts w:ascii="Arial" w:hAnsi="Arial" w:cs="Arial"/>
        </w:rPr>
        <w:t xml:space="preserve">Step </w:t>
      </w:r>
      <w:r w:rsidR="00913E3E" w:rsidRPr="000D76ED">
        <w:rPr>
          <w:rFonts w:ascii="Arial" w:hAnsi="Arial" w:cs="Arial"/>
        </w:rPr>
        <w:t>5</w:t>
      </w:r>
      <w:r w:rsidRPr="000D76ED">
        <w:rPr>
          <w:rFonts w:ascii="Arial" w:hAnsi="Arial" w:cs="Arial"/>
        </w:rPr>
        <w:t>:</w:t>
      </w:r>
      <w:r w:rsidRPr="000D76ED">
        <w:rPr>
          <w:rFonts w:ascii="Arial" w:hAnsi="Arial" w:cs="Arial"/>
        </w:rPr>
        <w:tab/>
        <w:t>Budget ratios before capping adjustments</w:t>
      </w:r>
    </w:p>
    <w:p w:rsidR="002832A0" w:rsidRPr="000D76ED" w:rsidRDefault="002832A0" w:rsidP="00913E3E">
      <w:pPr>
        <w:pStyle w:val="ListParagraph"/>
        <w:tabs>
          <w:tab w:val="left" w:pos="1440"/>
        </w:tabs>
        <w:ind w:left="2160" w:hanging="1440"/>
        <w:jc w:val="both"/>
        <w:rPr>
          <w:rFonts w:ascii="Arial" w:hAnsi="Arial" w:cs="Arial"/>
        </w:rPr>
      </w:pPr>
    </w:p>
    <w:p w:rsidR="002832A0" w:rsidRPr="000D76ED" w:rsidRDefault="00913E3E" w:rsidP="00913E3E">
      <w:pPr>
        <w:pStyle w:val="ListParagraph"/>
        <w:tabs>
          <w:tab w:val="left" w:pos="1440"/>
        </w:tabs>
        <w:ind w:left="2160" w:hanging="1440"/>
        <w:jc w:val="both"/>
        <w:rPr>
          <w:rFonts w:ascii="Arial" w:hAnsi="Arial" w:cs="Arial"/>
        </w:rPr>
      </w:pPr>
      <w:r w:rsidRPr="000D76ED">
        <w:rPr>
          <w:rFonts w:ascii="Arial" w:hAnsi="Arial" w:cs="Arial"/>
        </w:rPr>
        <w:t>Step 5</w:t>
      </w:r>
      <w:r w:rsidR="002832A0" w:rsidRPr="000D76ED">
        <w:rPr>
          <w:rFonts w:ascii="Arial" w:hAnsi="Arial" w:cs="Arial"/>
        </w:rPr>
        <w:t>.1:</w:t>
      </w:r>
      <w:r w:rsidR="002832A0" w:rsidRPr="000D76ED">
        <w:rPr>
          <w:rFonts w:ascii="Arial" w:hAnsi="Arial" w:cs="Arial"/>
        </w:rPr>
        <w:tab/>
        <w:t>Upper cap</w:t>
      </w:r>
    </w:p>
    <w:p w:rsidR="002832A0" w:rsidRPr="000D76ED" w:rsidRDefault="00913E3E" w:rsidP="00913E3E">
      <w:pPr>
        <w:pStyle w:val="ListParagraph"/>
        <w:tabs>
          <w:tab w:val="left" w:pos="1440"/>
        </w:tabs>
        <w:ind w:left="2160" w:hanging="1440"/>
        <w:jc w:val="both"/>
        <w:rPr>
          <w:rFonts w:ascii="Arial" w:hAnsi="Arial" w:cs="Arial"/>
        </w:rPr>
      </w:pPr>
      <w:r w:rsidRPr="000D76ED">
        <w:rPr>
          <w:rFonts w:ascii="Arial" w:hAnsi="Arial" w:cs="Arial"/>
        </w:rPr>
        <w:t>Step 5</w:t>
      </w:r>
      <w:r w:rsidR="002832A0" w:rsidRPr="000D76ED">
        <w:rPr>
          <w:rFonts w:ascii="Arial" w:hAnsi="Arial" w:cs="Arial"/>
        </w:rPr>
        <w:t>.2:</w:t>
      </w:r>
      <w:r w:rsidR="002832A0" w:rsidRPr="000D76ED">
        <w:rPr>
          <w:rFonts w:ascii="Arial" w:hAnsi="Arial" w:cs="Arial"/>
        </w:rPr>
        <w:tab/>
        <w:t>Floor cap</w:t>
      </w:r>
    </w:p>
    <w:p w:rsidR="00913E3E" w:rsidRPr="000D76ED" w:rsidRDefault="00913E3E" w:rsidP="00913E3E">
      <w:pPr>
        <w:pStyle w:val="ListParagraph"/>
        <w:tabs>
          <w:tab w:val="left" w:pos="1440"/>
        </w:tabs>
        <w:ind w:left="2160" w:hanging="1440"/>
        <w:jc w:val="both"/>
        <w:rPr>
          <w:rFonts w:ascii="Arial" w:hAnsi="Arial" w:cs="Arial"/>
        </w:rPr>
      </w:pPr>
      <w:r w:rsidRPr="000D76ED">
        <w:rPr>
          <w:rFonts w:ascii="Arial" w:hAnsi="Arial" w:cs="Arial"/>
        </w:rPr>
        <w:t>Step 5</w:t>
      </w:r>
      <w:r w:rsidR="002832A0" w:rsidRPr="000D76ED">
        <w:rPr>
          <w:rFonts w:ascii="Arial" w:hAnsi="Arial" w:cs="Arial"/>
        </w:rPr>
        <w:t>.3:</w:t>
      </w:r>
      <w:r w:rsidR="002832A0" w:rsidRPr="000D76ED">
        <w:rPr>
          <w:rFonts w:ascii="Arial" w:hAnsi="Arial" w:cs="Arial"/>
        </w:rPr>
        <w:tab/>
        <w:t>Apply shock absorbers to limit any increase in Member States’ budget ratio to under 15%</w:t>
      </w:r>
    </w:p>
    <w:p w:rsidR="00913E3E" w:rsidRPr="000D76ED" w:rsidRDefault="00913E3E" w:rsidP="00913E3E">
      <w:pPr>
        <w:pStyle w:val="ListParagraph"/>
        <w:tabs>
          <w:tab w:val="left" w:pos="1440"/>
        </w:tabs>
        <w:ind w:left="2160" w:hanging="1440"/>
        <w:jc w:val="both"/>
        <w:rPr>
          <w:rFonts w:ascii="Arial" w:hAnsi="Arial" w:cs="Arial"/>
        </w:rPr>
      </w:pPr>
    </w:p>
    <w:p w:rsidR="000D76ED" w:rsidRDefault="000D76ED" w:rsidP="00913E3E">
      <w:pPr>
        <w:pStyle w:val="Heading1"/>
        <w:numPr>
          <w:ilvl w:val="0"/>
          <w:numId w:val="13"/>
        </w:numPr>
        <w:ind w:hanging="720"/>
        <w:jc w:val="both"/>
        <w:rPr>
          <w:b/>
        </w:rPr>
        <w:sectPr w:rsidR="000D76ED">
          <w:headerReference w:type="default" r:id="rId16"/>
          <w:pgSz w:w="12240" w:h="15840"/>
          <w:pgMar w:top="1440" w:right="1440" w:bottom="1440" w:left="1440" w:header="720" w:footer="720" w:gutter="0"/>
          <w:cols w:space="720"/>
          <w:docGrid w:linePitch="360"/>
        </w:sectPr>
      </w:pPr>
    </w:p>
    <w:p w:rsidR="002832A0" w:rsidRPr="00913E3E" w:rsidRDefault="000D76ED" w:rsidP="00913E3E">
      <w:pPr>
        <w:pStyle w:val="Heading1"/>
        <w:numPr>
          <w:ilvl w:val="0"/>
          <w:numId w:val="13"/>
        </w:numPr>
        <w:ind w:hanging="720"/>
        <w:jc w:val="both"/>
        <w:rPr>
          <w:b/>
        </w:rPr>
      </w:pPr>
      <w:bookmarkStart w:id="4" w:name="_Toc21610355"/>
      <w:r>
        <w:rPr>
          <w:b/>
        </w:rPr>
        <w:lastRenderedPageBreak/>
        <w:t xml:space="preserve">RECOMMENDATION - </w:t>
      </w:r>
      <w:r w:rsidR="002832A0" w:rsidRPr="00913E3E">
        <w:rPr>
          <w:b/>
        </w:rPr>
        <w:t>20</w:t>
      </w:r>
      <w:r w:rsidR="00C5036F">
        <w:rPr>
          <w:b/>
        </w:rPr>
        <w:t>20</w:t>
      </w:r>
      <w:r w:rsidR="002832A0" w:rsidRPr="00913E3E">
        <w:rPr>
          <w:b/>
        </w:rPr>
        <w:t xml:space="preserve"> ASSESSED CONTRIBUTION BUDGET RATIOS</w:t>
      </w:r>
      <w:bookmarkEnd w:id="4"/>
    </w:p>
    <w:p w:rsidR="005D1959" w:rsidRPr="000D76ED" w:rsidRDefault="005D1959" w:rsidP="002832A0">
      <w:pPr>
        <w:pStyle w:val="Heading1"/>
        <w:rPr>
          <w:rFonts w:cs="Arial"/>
          <w:b/>
          <w:szCs w:val="24"/>
        </w:rPr>
      </w:pPr>
    </w:p>
    <w:p w:rsidR="002832A0" w:rsidRPr="000D76ED" w:rsidRDefault="003F6A04" w:rsidP="000D76ED">
      <w:pPr>
        <w:pStyle w:val="ListParagraph"/>
        <w:numPr>
          <w:ilvl w:val="0"/>
          <w:numId w:val="18"/>
        </w:numPr>
        <w:tabs>
          <w:tab w:val="left" w:pos="720"/>
        </w:tabs>
        <w:ind w:left="0" w:firstLine="0"/>
        <w:jc w:val="both"/>
        <w:rPr>
          <w:rFonts w:ascii="Arial" w:hAnsi="Arial" w:cs="Arial"/>
        </w:rPr>
      </w:pPr>
      <w:r w:rsidRPr="000D76ED">
        <w:rPr>
          <w:rFonts w:ascii="Arial" w:hAnsi="Arial" w:cs="Arial"/>
        </w:rPr>
        <w:t>The 20</w:t>
      </w:r>
      <w:r w:rsidR="00C5036F">
        <w:rPr>
          <w:rFonts w:ascii="Arial" w:hAnsi="Arial" w:cs="Arial"/>
        </w:rPr>
        <w:t xml:space="preserve">20 </w:t>
      </w:r>
      <w:r w:rsidRPr="000D76ED">
        <w:rPr>
          <w:rFonts w:ascii="Arial" w:hAnsi="Arial" w:cs="Arial"/>
        </w:rPr>
        <w:t>assessed contribution budget ratios</w:t>
      </w:r>
      <w:r w:rsidR="004B35D1">
        <w:rPr>
          <w:rFonts w:ascii="Arial" w:hAnsi="Arial" w:cs="Arial"/>
        </w:rPr>
        <w:t xml:space="preserve"> and related increase of 5% on 2019 assessed contributions, </w:t>
      </w:r>
      <w:r w:rsidRPr="000D76ED">
        <w:rPr>
          <w:rFonts w:ascii="Arial" w:hAnsi="Arial" w:cs="Arial"/>
        </w:rPr>
        <w:t>are shown in below:</w:t>
      </w:r>
    </w:p>
    <w:p w:rsidR="003F6A04" w:rsidRDefault="004B35D1" w:rsidP="004B35D1">
      <w:pPr>
        <w:ind w:left="2160"/>
        <w:rPr>
          <w:lang w:val="en-GB"/>
        </w:rPr>
      </w:pPr>
      <w:r w:rsidRPr="00CD4B31">
        <w:rPr>
          <w:lang w:val="en-GB"/>
        </w:rPr>
        <w:object w:dxaOrig="5140" w:dyaOrig="6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1pt;height:393.95pt" o:ole="">
            <v:imagedata r:id="rId17" o:title=""/>
          </v:shape>
          <o:OLEObject Type="Embed" ProgID="Excel.Sheet.8" ShapeID="_x0000_i1025" DrawAspect="Content" ObjectID="_1632412027" r:id="rId18"/>
        </w:object>
      </w:r>
    </w:p>
    <w:p w:rsidR="003F6A04" w:rsidRDefault="003F6A04" w:rsidP="003F6A04">
      <w:pPr>
        <w:ind w:left="1440"/>
        <w:rPr>
          <w:lang w:val="en-GB"/>
        </w:rPr>
      </w:pPr>
    </w:p>
    <w:p w:rsidR="00C5036F" w:rsidRPr="005D0D89" w:rsidRDefault="00C5036F" w:rsidP="005D0D89">
      <w:pPr>
        <w:ind w:left="2160" w:hanging="1440"/>
        <w:jc w:val="both"/>
        <w:rPr>
          <w:i/>
          <w:sz w:val="20"/>
          <w:szCs w:val="20"/>
          <w:lang w:val="en-GB"/>
        </w:rPr>
      </w:pPr>
      <w:r w:rsidRPr="005D0D89">
        <w:rPr>
          <w:i/>
          <w:sz w:val="20"/>
          <w:szCs w:val="20"/>
          <w:lang w:val="en-GB"/>
        </w:rPr>
        <w:t>Note 1:</w:t>
      </w:r>
      <w:r w:rsidRPr="005D0D89">
        <w:rPr>
          <w:i/>
          <w:sz w:val="20"/>
          <w:szCs w:val="20"/>
          <w:lang w:val="en-GB"/>
        </w:rPr>
        <w:tab/>
        <w:t>For distribution: COMESA Secretariat; Competition Commission; Federation of National Associations of Women in Business in Eastern and Southern Africa; Regional Investment Agency</w:t>
      </w:r>
      <w:r w:rsidR="007310B5">
        <w:rPr>
          <w:i/>
          <w:sz w:val="20"/>
          <w:szCs w:val="20"/>
          <w:lang w:val="en-GB"/>
        </w:rPr>
        <w:t>.</w:t>
      </w:r>
      <w:r w:rsidRPr="005D0D89">
        <w:rPr>
          <w:i/>
          <w:sz w:val="20"/>
          <w:szCs w:val="20"/>
          <w:lang w:val="en-GB"/>
        </w:rPr>
        <w:tab/>
      </w:r>
    </w:p>
    <w:p w:rsidR="00C5036F" w:rsidRPr="005D0D89" w:rsidRDefault="00C5036F" w:rsidP="005D0D89">
      <w:pPr>
        <w:ind w:left="2160" w:hanging="1440"/>
        <w:jc w:val="both"/>
        <w:rPr>
          <w:i/>
          <w:sz w:val="20"/>
          <w:szCs w:val="20"/>
          <w:lang w:val="en-GB"/>
        </w:rPr>
      </w:pPr>
      <w:r w:rsidRPr="005D0D89">
        <w:rPr>
          <w:i/>
          <w:sz w:val="20"/>
          <w:szCs w:val="20"/>
          <w:lang w:val="en-GB"/>
        </w:rPr>
        <w:t>Note 2</w:t>
      </w:r>
      <w:r w:rsidR="005D0D89" w:rsidRPr="005D0D89">
        <w:rPr>
          <w:i/>
          <w:sz w:val="20"/>
          <w:szCs w:val="20"/>
          <w:lang w:val="en-GB"/>
        </w:rPr>
        <w:t>:</w:t>
      </w:r>
      <w:r w:rsidR="005D0D89" w:rsidRPr="005D0D89">
        <w:rPr>
          <w:i/>
          <w:sz w:val="20"/>
          <w:szCs w:val="20"/>
          <w:lang w:val="en-GB"/>
        </w:rPr>
        <w:tab/>
      </w:r>
      <w:r w:rsidRPr="005D0D89">
        <w:rPr>
          <w:i/>
          <w:sz w:val="20"/>
          <w:szCs w:val="20"/>
          <w:lang w:val="en-GB"/>
        </w:rPr>
        <w:t>Tunisia</w:t>
      </w:r>
      <w:r w:rsidR="005D0D89" w:rsidRPr="005D0D89">
        <w:rPr>
          <w:i/>
          <w:sz w:val="20"/>
          <w:szCs w:val="20"/>
          <w:lang w:val="en-GB"/>
        </w:rPr>
        <w:t xml:space="preserve"> (</w:t>
      </w:r>
      <w:r w:rsidRPr="005D0D89">
        <w:rPr>
          <w:i/>
          <w:sz w:val="20"/>
          <w:szCs w:val="20"/>
          <w:lang w:val="en-GB"/>
        </w:rPr>
        <w:t>2019</w:t>
      </w:r>
      <w:r w:rsidR="005D0D89" w:rsidRPr="005D0D89">
        <w:rPr>
          <w:i/>
          <w:sz w:val="20"/>
          <w:szCs w:val="20"/>
          <w:lang w:val="en-GB"/>
        </w:rPr>
        <w:t xml:space="preserve">): </w:t>
      </w:r>
      <w:r w:rsidR="004B35D1">
        <w:rPr>
          <w:i/>
          <w:sz w:val="20"/>
          <w:szCs w:val="20"/>
          <w:lang w:val="en-GB"/>
        </w:rPr>
        <w:t>Amount of US$1,878,029, reduced/ p</w:t>
      </w:r>
      <w:r w:rsidRPr="005D0D89">
        <w:rPr>
          <w:i/>
          <w:sz w:val="20"/>
          <w:szCs w:val="20"/>
          <w:lang w:val="en-GB"/>
        </w:rPr>
        <w:t>ro-rated, based on date of receipt [20 June 2019] of instrument of ratification</w:t>
      </w:r>
      <w:r w:rsidR="007310B5">
        <w:rPr>
          <w:i/>
          <w:sz w:val="20"/>
          <w:szCs w:val="20"/>
          <w:lang w:val="en-GB"/>
        </w:rPr>
        <w:t>.</w:t>
      </w:r>
      <w:r w:rsidRPr="005D0D89">
        <w:rPr>
          <w:i/>
          <w:sz w:val="20"/>
          <w:szCs w:val="20"/>
          <w:lang w:val="en-GB"/>
        </w:rPr>
        <w:tab/>
      </w:r>
      <w:r w:rsidRPr="005D0D89">
        <w:rPr>
          <w:i/>
          <w:sz w:val="20"/>
          <w:szCs w:val="20"/>
          <w:lang w:val="en-GB"/>
        </w:rPr>
        <w:tab/>
      </w:r>
      <w:r w:rsidRPr="005D0D89">
        <w:rPr>
          <w:i/>
          <w:sz w:val="20"/>
          <w:szCs w:val="20"/>
          <w:lang w:val="en-GB"/>
        </w:rPr>
        <w:tab/>
      </w:r>
      <w:r w:rsidRPr="005D0D89">
        <w:rPr>
          <w:i/>
          <w:sz w:val="20"/>
          <w:szCs w:val="20"/>
          <w:lang w:val="en-GB"/>
        </w:rPr>
        <w:tab/>
      </w:r>
      <w:r w:rsidRPr="005D0D89">
        <w:rPr>
          <w:i/>
          <w:sz w:val="20"/>
          <w:szCs w:val="20"/>
          <w:lang w:val="en-GB"/>
        </w:rPr>
        <w:tab/>
      </w:r>
    </w:p>
    <w:p w:rsidR="00C5036F" w:rsidRDefault="00C5036F" w:rsidP="005D0D89">
      <w:pPr>
        <w:ind w:left="2160" w:hanging="1440"/>
        <w:jc w:val="both"/>
        <w:rPr>
          <w:lang w:val="en-GB"/>
        </w:rPr>
      </w:pPr>
      <w:r w:rsidRPr="005D0D89">
        <w:rPr>
          <w:i/>
          <w:sz w:val="20"/>
          <w:szCs w:val="20"/>
          <w:lang w:val="en-GB"/>
        </w:rPr>
        <w:t>Note 3</w:t>
      </w:r>
      <w:r w:rsidR="005D0D89" w:rsidRPr="005D0D89">
        <w:rPr>
          <w:i/>
          <w:sz w:val="20"/>
          <w:szCs w:val="20"/>
          <w:lang w:val="en-GB"/>
        </w:rPr>
        <w:t>:</w:t>
      </w:r>
      <w:r w:rsidR="005D0D89" w:rsidRPr="005D0D89">
        <w:rPr>
          <w:i/>
          <w:sz w:val="20"/>
          <w:szCs w:val="20"/>
          <w:lang w:val="en-GB"/>
        </w:rPr>
        <w:tab/>
      </w:r>
      <w:r w:rsidRPr="005D0D89">
        <w:rPr>
          <w:i/>
          <w:sz w:val="20"/>
          <w:szCs w:val="20"/>
          <w:lang w:val="en-GB"/>
        </w:rPr>
        <w:t>Somali</w:t>
      </w:r>
      <w:r w:rsidR="005D0D89" w:rsidRPr="005D0D89">
        <w:rPr>
          <w:i/>
          <w:sz w:val="20"/>
          <w:szCs w:val="20"/>
          <w:lang w:val="en-GB"/>
        </w:rPr>
        <w:t>(</w:t>
      </w:r>
      <w:r w:rsidRPr="005D0D89">
        <w:rPr>
          <w:i/>
          <w:sz w:val="20"/>
          <w:szCs w:val="20"/>
          <w:lang w:val="en-GB"/>
        </w:rPr>
        <w:t>2019</w:t>
      </w:r>
      <w:r w:rsidR="005D0D89" w:rsidRPr="005D0D89">
        <w:rPr>
          <w:i/>
          <w:sz w:val="20"/>
          <w:szCs w:val="20"/>
          <w:lang w:val="en-GB"/>
        </w:rPr>
        <w:t xml:space="preserve">): </w:t>
      </w:r>
      <w:r w:rsidRPr="005D0D89">
        <w:rPr>
          <w:i/>
          <w:sz w:val="20"/>
          <w:szCs w:val="20"/>
          <w:lang w:val="en-GB"/>
        </w:rPr>
        <w:t>Not yet submitted instrument of ratification</w:t>
      </w:r>
      <w:r w:rsidR="005D0D89" w:rsidRPr="005D0D89">
        <w:rPr>
          <w:i/>
          <w:sz w:val="20"/>
          <w:szCs w:val="20"/>
          <w:lang w:val="en-GB"/>
        </w:rPr>
        <w:t xml:space="preserve">. </w:t>
      </w:r>
      <w:r w:rsidRPr="005D0D89">
        <w:rPr>
          <w:i/>
          <w:sz w:val="20"/>
          <w:szCs w:val="20"/>
          <w:lang w:val="en-GB"/>
        </w:rPr>
        <w:t>2020</w:t>
      </w:r>
      <w:r w:rsidR="005D0D89" w:rsidRPr="005D0D89">
        <w:rPr>
          <w:i/>
          <w:sz w:val="20"/>
          <w:szCs w:val="20"/>
          <w:lang w:val="en-GB"/>
        </w:rPr>
        <w:t xml:space="preserve">: </w:t>
      </w:r>
      <w:r w:rsidRPr="005D0D89">
        <w:rPr>
          <w:i/>
          <w:sz w:val="20"/>
          <w:szCs w:val="20"/>
          <w:lang w:val="en-GB"/>
        </w:rPr>
        <w:t>Provisional estimate</w:t>
      </w:r>
      <w:r w:rsidRPr="00C5036F">
        <w:rPr>
          <w:lang w:val="en-GB"/>
        </w:rPr>
        <w:tab/>
      </w:r>
    </w:p>
    <w:p w:rsidR="005D0D89" w:rsidRPr="00C5036F" w:rsidRDefault="005D0D89" w:rsidP="00C5036F">
      <w:pPr>
        <w:rPr>
          <w:lang w:val="en-GB"/>
        </w:rPr>
      </w:pPr>
    </w:p>
    <w:p w:rsidR="006410AF" w:rsidRDefault="003702F8" w:rsidP="008305A1">
      <w:pPr>
        <w:pStyle w:val="ListParagraph"/>
        <w:numPr>
          <w:ilvl w:val="0"/>
          <w:numId w:val="18"/>
        </w:numPr>
        <w:tabs>
          <w:tab w:val="left" w:pos="720"/>
        </w:tabs>
        <w:ind w:left="0" w:firstLine="0"/>
        <w:jc w:val="both"/>
        <w:rPr>
          <w:rFonts w:ascii="Arial" w:hAnsi="Arial" w:cs="Arial"/>
        </w:rPr>
      </w:pPr>
      <w:r w:rsidRPr="000D76ED">
        <w:rPr>
          <w:rFonts w:ascii="Arial" w:hAnsi="Arial" w:cs="Arial"/>
        </w:rPr>
        <w:t xml:space="preserve">The Sub Committee recommends that the </w:t>
      </w:r>
      <w:r w:rsidR="000D76ED" w:rsidRPr="000D76ED">
        <w:rPr>
          <w:rFonts w:ascii="Arial" w:hAnsi="Arial" w:cs="Arial"/>
        </w:rPr>
        <w:t>20</w:t>
      </w:r>
      <w:r w:rsidR="00C5036F">
        <w:rPr>
          <w:rFonts w:ascii="Arial" w:hAnsi="Arial" w:cs="Arial"/>
        </w:rPr>
        <w:t xml:space="preserve">20 </w:t>
      </w:r>
      <w:r w:rsidRPr="000D76ED">
        <w:rPr>
          <w:rFonts w:ascii="Arial" w:hAnsi="Arial" w:cs="Arial"/>
        </w:rPr>
        <w:t>assessed contribution ratios be considered by the Committee on Administrative and Budg</w:t>
      </w:r>
      <w:r w:rsidR="000D76ED" w:rsidRPr="000D76ED">
        <w:rPr>
          <w:rFonts w:ascii="Arial" w:hAnsi="Arial" w:cs="Arial"/>
        </w:rPr>
        <w:t xml:space="preserve">etary Matters. </w:t>
      </w:r>
    </w:p>
    <w:p w:rsidR="00DF717E" w:rsidRDefault="00DF717E" w:rsidP="00DF717E">
      <w:pPr>
        <w:tabs>
          <w:tab w:val="left" w:pos="720"/>
        </w:tabs>
        <w:jc w:val="both"/>
        <w:rPr>
          <w:rFonts w:ascii="Arial" w:hAnsi="Arial" w:cs="Arial"/>
        </w:rPr>
      </w:pPr>
    </w:p>
    <w:p w:rsidR="004B35D1" w:rsidRDefault="004B35D1" w:rsidP="00DF717E">
      <w:pPr>
        <w:pStyle w:val="Heading1"/>
        <w:numPr>
          <w:ilvl w:val="0"/>
          <w:numId w:val="13"/>
        </w:numPr>
        <w:ind w:hanging="720"/>
        <w:jc w:val="both"/>
        <w:rPr>
          <w:b/>
        </w:rPr>
        <w:sectPr w:rsidR="004B35D1">
          <w:pgSz w:w="12240" w:h="15840"/>
          <w:pgMar w:top="1440" w:right="1440" w:bottom="1440" w:left="1440" w:header="720" w:footer="720" w:gutter="0"/>
          <w:cols w:space="720"/>
          <w:docGrid w:linePitch="360"/>
        </w:sectPr>
      </w:pPr>
    </w:p>
    <w:p w:rsidR="00DF717E" w:rsidRDefault="00DF717E" w:rsidP="00DF717E">
      <w:pPr>
        <w:pStyle w:val="Heading1"/>
        <w:numPr>
          <w:ilvl w:val="0"/>
          <w:numId w:val="13"/>
        </w:numPr>
        <w:ind w:hanging="720"/>
        <w:jc w:val="both"/>
        <w:rPr>
          <w:b/>
        </w:rPr>
      </w:pPr>
      <w:bookmarkStart w:id="5" w:name="_Toc21610356"/>
      <w:r>
        <w:rPr>
          <w:b/>
        </w:rPr>
        <w:lastRenderedPageBreak/>
        <w:t>ASSESSED CONTRIBUTION BUDGET RATIOS’ WORKINGS</w:t>
      </w:r>
      <w:bookmarkEnd w:id="5"/>
    </w:p>
    <w:p w:rsidR="00DF717E" w:rsidRDefault="00DF717E" w:rsidP="00DF717E">
      <w:pPr>
        <w:rPr>
          <w:lang w:val="en-GB"/>
        </w:rPr>
      </w:pPr>
    </w:p>
    <w:p w:rsidR="00DF717E" w:rsidRDefault="00DF717E" w:rsidP="00DF717E">
      <w:pPr>
        <w:pStyle w:val="ListParagraph"/>
        <w:numPr>
          <w:ilvl w:val="0"/>
          <w:numId w:val="18"/>
        </w:numPr>
        <w:tabs>
          <w:tab w:val="left" w:pos="720"/>
        </w:tabs>
        <w:ind w:left="0" w:firstLine="0"/>
        <w:jc w:val="both"/>
        <w:rPr>
          <w:rFonts w:ascii="Arial" w:hAnsi="Arial" w:cs="Arial"/>
        </w:rPr>
      </w:pPr>
      <w:r w:rsidRPr="000D76ED">
        <w:rPr>
          <w:rFonts w:ascii="Arial" w:hAnsi="Arial" w:cs="Arial"/>
        </w:rPr>
        <w:t>Detailed tables and workings</w:t>
      </w:r>
      <w:r>
        <w:rPr>
          <w:rFonts w:ascii="Arial" w:hAnsi="Arial" w:cs="Arial"/>
        </w:rPr>
        <w:t>, are presented as follows: -</w:t>
      </w:r>
    </w:p>
    <w:p w:rsidR="00DF717E" w:rsidRDefault="00DF717E" w:rsidP="00DF717E">
      <w:pPr>
        <w:pStyle w:val="ListParagraph"/>
        <w:tabs>
          <w:tab w:val="left" w:pos="720"/>
        </w:tabs>
        <w:ind w:left="0"/>
        <w:jc w:val="both"/>
        <w:rPr>
          <w:rFonts w:ascii="Arial" w:hAnsi="Arial" w:cs="Arial"/>
        </w:rPr>
      </w:pPr>
    </w:p>
    <w:p w:rsidR="00DF717E" w:rsidRDefault="00DF717E" w:rsidP="00DF717E">
      <w:pPr>
        <w:pStyle w:val="ListParagraph"/>
        <w:numPr>
          <w:ilvl w:val="0"/>
          <w:numId w:val="21"/>
        </w:numPr>
        <w:tabs>
          <w:tab w:val="left" w:pos="720"/>
        </w:tabs>
        <w:jc w:val="both"/>
        <w:rPr>
          <w:rFonts w:ascii="Arial" w:hAnsi="Arial" w:cs="Arial"/>
        </w:rPr>
      </w:pPr>
      <w:r>
        <w:rPr>
          <w:rFonts w:ascii="Arial" w:hAnsi="Arial" w:cs="Arial"/>
        </w:rPr>
        <w:t>Table 1:</w:t>
      </w:r>
      <w:r>
        <w:rPr>
          <w:rFonts w:ascii="Arial" w:hAnsi="Arial" w:cs="Arial"/>
        </w:rPr>
        <w:tab/>
      </w:r>
      <w:r w:rsidRPr="000D76ED">
        <w:rPr>
          <w:rFonts w:ascii="Arial" w:hAnsi="Arial" w:cs="Arial"/>
        </w:rPr>
        <w:t>Parameters, i.e. Statistics</w:t>
      </w:r>
    </w:p>
    <w:p w:rsidR="00DF717E" w:rsidRDefault="00DF717E" w:rsidP="00DF717E">
      <w:pPr>
        <w:pStyle w:val="ListParagraph"/>
        <w:numPr>
          <w:ilvl w:val="0"/>
          <w:numId w:val="21"/>
        </w:numPr>
        <w:tabs>
          <w:tab w:val="left" w:pos="720"/>
        </w:tabs>
        <w:jc w:val="both"/>
        <w:rPr>
          <w:rFonts w:ascii="Arial" w:hAnsi="Arial" w:cs="Arial"/>
        </w:rPr>
      </w:pPr>
      <w:r w:rsidRPr="000D76ED">
        <w:rPr>
          <w:rFonts w:ascii="Arial" w:hAnsi="Arial" w:cs="Arial"/>
        </w:rPr>
        <w:t xml:space="preserve">Table </w:t>
      </w:r>
      <w:r>
        <w:rPr>
          <w:rFonts w:ascii="Arial" w:hAnsi="Arial" w:cs="Arial"/>
        </w:rPr>
        <w:t>2:</w:t>
      </w:r>
      <w:r>
        <w:rPr>
          <w:rFonts w:ascii="Arial" w:hAnsi="Arial" w:cs="Arial"/>
        </w:rPr>
        <w:tab/>
      </w:r>
      <w:r w:rsidRPr="000D76ED">
        <w:rPr>
          <w:rFonts w:ascii="Arial" w:hAnsi="Arial" w:cs="Arial"/>
        </w:rPr>
        <w:t>Proportions of each parameter and application of upper and floor cap</w:t>
      </w:r>
    </w:p>
    <w:p w:rsidR="00DF717E" w:rsidRDefault="00DF717E" w:rsidP="00DF717E">
      <w:pPr>
        <w:pStyle w:val="ListParagraph"/>
        <w:numPr>
          <w:ilvl w:val="0"/>
          <w:numId w:val="21"/>
        </w:numPr>
        <w:tabs>
          <w:tab w:val="left" w:pos="720"/>
        </w:tabs>
        <w:jc w:val="both"/>
        <w:rPr>
          <w:rFonts w:ascii="Arial" w:hAnsi="Arial" w:cs="Arial"/>
        </w:rPr>
      </w:pPr>
      <w:r w:rsidRPr="000D76ED">
        <w:rPr>
          <w:rFonts w:ascii="Arial" w:hAnsi="Arial" w:cs="Arial"/>
        </w:rPr>
        <w:t xml:space="preserve">Table </w:t>
      </w:r>
      <w:r>
        <w:rPr>
          <w:rFonts w:ascii="Arial" w:hAnsi="Arial" w:cs="Arial"/>
        </w:rPr>
        <w:t>3:</w:t>
      </w:r>
      <w:r>
        <w:rPr>
          <w:rFonts w:ascii="Arial" w:hAnsi="Arial" w:cs="Arial"/>
        </w:rPr>
        <w:tab/>
        <w:t>Application of shock absorber</w:t>
      </w:r>
    </w:p>
    <w:p w:rsidR="00DF717E" w:rsidRDefault="00DF717E" w:rsidP="00DF717E">
      <w:pPr>
        <w:pStyle w:val="ListParagraph"/>
        <w:numPr>
          <w:ilvl w:val="0"/>
          <w:numId w:val="21"/>
        </w:numPr>
        <w:tabs>
          <w:tab w:val="left" w:pos="720"/>
        </w:tabs>
        <w:jc w:val="both"/>
        <w:rPr>
          <w:rFonts w:ascii="Arial" w:hAnsi="Arial" w:cs="Arial"/>
        </w:rPr>
      </w:pPr>
      <w:r>
        <w:rPr>
          <w:rFonts w:ascii="Arial" w:hAnsi="Arial" w:cs="Arial"/>
        </w:rPr>
        <w:t>Table 4:</w:t>
      </w:r>
      <w:r>
        <w:rPr>
          <w:rFonts w:ascii="Arial" w:hAnsi="Arial" w:cs="Arial"/>
        </w:rPr>
        <w:tab/>
        <w:t>2014 to 20</w:t>
      </w:r>
      <w:r w:rsidR="00C5036F">
        <w:rPr>
          <w:rFonts w:ascii="Arial" w:hAnsi="Arial" w:cs="Arial"/>
        </w:rPr>
        <w:t xml:space="preserve">20 </w:t>
      </w:r>
      <w:r>
        <w:rPr>
          <w:rFonts w:ascii="Arial" w:hAnsi="Arial" w:cs="Arial"/>
        </w:rPr>
        <w:t>Assessed contribution budget ratios</w:t>
      </w:r>
    </w:p>
    <w:p w:rsidR="00DF717E" w:rsidRDefault="00DF717E" w:rsidP="00DF717E">
      <w:pPr>
        <w:pStyle w:val="ListParagraph"/>
        <w:numPr>
          <w:ilvl w:val="0"/>
          <w:numId w:val="21"/>
        </w:numPr>
        <w:tabs>
          <w:tab w:val="left" w:pos="720"/>
        </w:tabs>
        <w:jc w:val="both"/>
        <w:rPr>
          <w:rFonts w:ascii="Arial" w:hAnsi="Arial" w:cs="Arial"/>
        </w:rPr>
      </w:pPr>
      <w:r>
        <w:rPr>
          <w:rFonts w:ascii="Arial" w:hAnsi="Arial" w:cs="Arial"/>
        </w:rPr>
        <w:t>Table 5:</w:t>
      </w:r>
      <w:r>
        <w:rPr>
          <w:rFonts w:ascii="Arial" w:hAnsi="Arial" w:cs="Arial"/>
        </w:rPr>
        <w:tab/>
        <w:t>20</w:t>
      </w:r>
      <w:r w:rsidR="00C5036F">
        <w:rPr>
          <w:rFonts w:ascii="Arial" w:hAnsi="Arial" w:cs="Arial"/>
        </w:rPr>
        <w:t xml:space="preserve">20 </w:t>
      </w:r>
      <w:r>
        <w:rPr>
          <w:rFonts w:ascii="Arial" w:hAnsi="Arial" w:cs="Arial"/>
        </w:rPr>
        <w:t>Assessed contribution budget ratios</w:t>
      </w:r>
    </w:p>
    <w:p w:rsidR="00DF717E" w:rsidRDefault="00DF717E" w:rsidP="00DF717E">
      <w:pPr>
        <w:tabs>
          <w:tab w:val="left" w:pos="1440"/>
        </w:tabs>
        <w:jc w:val="both"/>
        <w:rPr>
          <w:b/>
        </w:rPr>
      </w:pPr>
    </w:p>
    <w:p w:rsidR="00DF717E" w:rsidRPr="00DF717E" w:rsidRDefault="00DF717E" w:rsidP="00DF717E">
      <w:pPr>
        <w:rPr>
          <w:lang w:val="en-GB"/>
        </w:rPr>
      </w:pPr>
    </w:p>
    <w:p w:rsidR="00DF717E" w:rsidRPr="00DF717E" w:rsidRDefault="00DF717E" w:rsidP="00DF717E">
      <w:pPr>
        <w:rPr>
          <w:lang w:val="en-GB"/>
        </w:rPr>
      </w:pPr>
    </w:p>
    <w:sectPr w:rsidR="00DF717E" w:rsidRPr="00DF717E" w:rsidSect="00CD4B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4D5" w:rsidRDefault="001174D5" w:rsidP="00424BB6">
      <w:r>
        <w:separator/>
      </w:r>
    </w:p>
  </w:endnote>
  <w:endnote w:type="continuationSeparator" w:id="0">
    <w:p w:rsidR="001174D5" w:rsidRDefault="001174D5" w:rsidP="0042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225380"/>
      <w:docPartObj>
        <w:docPartGallery w:val="Page Numbers (Bottom of Page)"/>
        <w:docPartUnique/>
      </w:docPartObj>
    </w:sdtPr>
    <w:sdtEndPr>
      <w:rPr>
        <w:noProof/>
      </w:rPr>
    </w:sdtEndPr>
    <w:sdtContent>
      <w:p w:rsidR="00DF717E" w:rsidRDefault="00CD4B31">
        <w:pPr>
          <w:pStyle w:val="Footer"/>
          <w:jc w:val="center"/>
        </w:pPr>
        <w:r>
          <w:fldChar w:fldCharType="begin"/>
        </w:r>
        <w:r w:rsidR="00DF717E">
          <w:instrText xml:space="preserve"> PAGE   \* MERGEFORMAT </w:instrText>
        </w:r>
        <w:r>
          <w:fldChar w:fldCharType="separate"/>
        </w:r>
        <w:r w:rsidR="000B5033">
          <w:rPr>
            <w:noProof/>
          </w:rPr>
          <w:t>1</w:t>
        </w:r>
        <w:r>
          <w:rPr>
            <w:noProof/>
          </w:rPr>
          <w:fldChar w:fldCharType="end"/>
        </w:r>
      </w:p>
    </w:sdtContent>
  </w:sdt>
  <w:p w:rsidR="00B33E23" w:rsidRDefault="00B3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07610"/>
      <w:docPartObj>
        <w:docPartGallery w:val="Page Numbers (Bottom of Page)"/>
        <w:docPartUnique/>
      </w:docPartObj>
    </w:sdtPr>
    <w:sdtEndPr>
      <w:rPr>
        <w:noProof/>
      </w:rPr>
    </w:sdtEndPr>
    <w:sdtContent>
      <w:p w:rsidR="00B33E23" w:rsidRDefault="00CD4B31">
        <w:pPr>
          <w:pStyle w:val="Footer"/>
          <w:jc w:val="center"/>
        </w:pPr>
        <w:r>
          <w:fldChar w:fldCharType="begin"/>
        </w:r>
        <w:r w:rsidR="00B33E23">
          <w:instrText xml:space="preserve"> PAGE   \* MERGEFORMAT </w:instrText>
        </w:r>
        <w:r>
          <w:fldChar w:fldCharType="separate"/>
        </w:r>
        <w:r w:rsidR="00B33E23">
          <w:rPr>
            <w:noProof/>
          </w:rPr>
          <w:t>2</w:t>
        </w:r>
        <w:r>
          <w:rPr>
            <w:noProof/>
          </w:rPr>
          <w:fldChar w:fldCharType="end"/>
        </w:r>
      </w:p>
    </w:sdtContent>
  </w:sdt>
  <w:p w:rsidR="00B33E23" w:rsidRDefault="00B33E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599352"/>
      <w:docPartObj>
        <w:docPartGallery w:val="Page Numbers (Bottom of Page)"/>
        <w:docPartUnique/>
      </w:docPartObj>
    </w:sdtPr>
    <w:sdtEndPr>
      <w:rPr>
        <w:noProof/>
      </w:rPr>
    </w:sdtEndPr>
    <w:sdtContent>
      <w:p w:rsidR="00DF717E" w:rsidRDefault="00CD4B31">
        <w:pPr>
          <w:pStyle w:val="Footer"/>
          <w:jc w:val="center"/>
        </w:pPr>
        <w:r>
          <w:fldChar w:fldCharType="begin"/>
        </w:r>
        <w:r w:rsidR="00DF717E">
          <w:instrText xml:space="preserve"> PAGE   \* MERGEFORMAT </w:instrText>
        </w:r>
        <w:r>
          <w:fldChar w:fldCharType="separate"/>
        </w:r>
        <w:r w:rsidR="000B5033">
          <w:rPr>
            <w:noProof/>
          </w:rPr>
          <w:t>1</w:t>
        </w:r>
        <w:r>
          <w:rPr>
            <w:noProof/>
          </w:rPr>
          <w:fldChar w:fldCharType="end"/>
        </w:r>
      </w:p>
    </w:sdtContent>
  </w:sdt>
  <w:p w:rsidR="00B33E23" w:rsidRDefault="00B33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4D5" w:rsidRDefault="001174D5" w:rsidP="00424BB6">
      <w:r>
        <w:separator/>
      </w:r>
    </w:p>
  </w:footnote>
  <w:footnote w:type="continuationSeparator" w:id="0">
    <w:p w:rsidR="001174D5" w:rsidRDefault="001174D5" w:rsidP="00424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E23" w:rsidRPr="001E1C6B" w:rsidRDefault="00B33E23" w:rsidP="00146A63">
    <w:pPr>
      <w:pStyle w:val="Header"/>
      <w:jc w:val="right"/>
      <w:rPr>
        <w:rFonts w:ascii="Arial" w:hAnsi="Arial" w:cs="Arial"/>
      </w:rPr>
    </w:pPr>
    <w:r w:rsidRPr="001E1C6B">
      <w:rPr>
        <w:rFonts w:ascii="Arial" w:hAnsi="Arial" w:cs="Arial"/>
      </w:rPr>
      <w:t>CS/</w:t>
    </w:r>
    <w:r>
      <w:rPr>
        <w:rFonts w:ascii="Arial" w:hAnsi="Arial" w:cs="Arial"/>
      </w:rPr>
      <w:t>CM</w:t>
    </w:r>
    <w:r w:rsidRPr="001E1C6B">
      <w:rPr>
        <w:rFonts w:ascii="Arial" w:hAnsi="Arial" w:cs="Arial"/>
      </w:rPr>
      <w:t>/ADM/XXXVI/1</w:t>
    </w:r>
    <w:r>
      <w:rPr>
        <w:rFonts w:ascii="Arial" w:hAnsi="Arial" w:cs="Arial"/>
      </w:rPr>
      <w:t>1</w:t>
    </w:r>
    <w:r w:rsidRPr="001E1C6B">
      <w:rPr>
        <w:rFonts w:ascii="Arial" w:hAnsi="Arial" w:cs="Arial"/>
      </w:rPr>
      <w:t>(a)</w:t>
    </w:r>
  </w:p>
  <w:p w:rsidR="00B33E23" w:rsidRPr="008B0603" w:rsidRDefault="00B33E23" w:rsidP="00146A63">
    <w:pPr>
      <w:pStyle w:val="Header"/>
      <w:jc w:val="right"/>
      <w:rPr>
        <w:rFonts w:ascii="Arial" w:hAnsi="Arial" w:cs="Arial"/>
        <w:lang w:val="fr-FR"/>
      </w:rPr>
    </w:pPr>
    <w:r w:rsidRPr="000945D4">
      <w:rPr>
        <w:rFonts w:ascii="Arial" w:hAnsi="Arial" w:cs="Arial"/>
        <w:lang w:val="fr-FR"/>
      </w:rPr>
      <w:t xml:space="preserve">Page </w:t>
    </w:r>
    <w:sdt>
      <w:sdtPr>
        <w:rPr>
          <w:rFonts w:ascii="Arial" w:hAnsi="Arial" w:cs="Arial"/>
        </w:rPr>
        <w:id w:val="-1432969591"/>
        <w:docPartObj>
          <w:docPartGallery w:val="Page Numbers (Top of Page)"/>
          <w:docPartUnique/>
        </w:docPartObj>
      </w:sdtPr>
      <w:sdtEndPr>
        <w:rPr>
          <w:noProof/>
        </w:rPr>
      </w:sdtEndPr>
      <w:sdtContent>
        <w:r w:rsidR="00CD4B31" w:rsidRPr="005F1F51">
          <w:rPr>
            <w:rFonts w:ascii="Arial" w:hAnsi="Arial" w:cs="Arial"/>
          </w:rPr>
          <w:fldChar w:fldCharType="begin"/>
        </w:r>
        <w:r w:rsidRPr="000945D4">
          <w:rPr>
            <w:rFonts w:ascii="Arial" w:hAnsi="Arial" w:cs="Arial"/>
            <w:lang w:val="fr-FR"/>
          </w:rPr>
          <w:instrText xml:space="preserve"> PAGE   \* MERGEFORMAT </w:instrText>
        </w:r>
        <w:r w:rsidR="00CD4B31" w:rsidRPr="005F1F51">
          <w:rPr>
            <w:rFonts w:ascii="Arial" w:hAnsi="Arial" w:cs="Arial"/>
          </w:rPr>
          <w:fldChar w:fldCharType="separate"/>
        </w:r>
        <w:r>
          <w:rPr>
            <w:rFonts w:ascii="Arial" w:hAnsi="Arial" w:cs="Arial"/>
            <w:noProof/>
            <w:lang w:val="fr-FR"/>
          </w:rPr>
          <w:t>64</w:t>
        </w:r>
        <w:r w:rsidR="00CD4B31" w:rsidRPr="005F1F51">
          <w:rPr>
            <w:rFonts w:ascii="Arial" w:hAnsi="Arial" w:cs="Arial"/>
            <w:noProof/>
          </w:rPr>
          <w:fldChar w:fldCharType="end"/>
        </w:r>
      </w:sdtContent>
    </w:sdt>
  </w:p>
  <w:p w:rsidR="00B33E23" w:rsidRPr="00D21E1B" w:rsidRDefault="00B33E23" w:rsidP="00146A63">
    <w:pPr>
      <w:pStyle w:val="Header"/>
      <w:jc w:val="right"/>
      <w:rPr>
        <w:rFonts w:ascii="Arial" w:hAnsi="Arial" w:cs="Arial"/>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E23" w:rsidRPr="001E1C6B" w:rsidRDefault="00B33E23" w:rsidP="00146A63">
    <w:pPr>
      <w:pStyle w:val="Header"/>
      <w:jc w:val="right"/>
      <w:rPr>
        <w:rFonts w:ascii="Arial" w:hAnsi="Arial" w:cs="Arial"/>
      </w:rPr>
    </w:pPr>
    <w:r w:rsidRPr="001E1C6B">
      <w:rPr>
        <w:rFonts w:ascii="Arial" w:hAnsi="Arial" w:cs="Arial"/>
      </w:rPr>
      <w:t>CS/</w:t>
    </w:r>
    <w:r>
      <w:rPr>
        <w:rFonts w:ascii="Arial" w:hAnsi="Arial" w:cs="Arial"/>
      </w:rPr>
      <w:t>CM</w:t>
    </w:r>
    <w:r w:rsidRPr="001E1C6B">
      <w:rPr>
        <w:rFonts w:ascii="Arial" w:hAnsi="Arial" w:cs="Arial"/>
      </w:rPr>
      <w:t>/ADM/XXXVI/1</w:t>
    </w:r>
    <w:r>
      <w:rPr>
        <w:rFonts w:ascii="Arial" w:hAnsi="Arial" w:cs="Arial"/>
      </w:rPr>
      <w:t>1</w:t>
    </w:r>
    <w:r w:rsidRPr="001E1C6B">
      <w:rPr>
        <w:rFonts w:ascii="Arial" w:hAnsi="Arial" w:cs="Arial"/>
      </w:rPr>
      <w:t>(a)</w:t>
    </w:r>
  </w:p>
  <w:p w:rsidR="00B33E23" w:rsidRPr="008B0603" w:rsidRDefault="00B33E23" w:rsidP="00146A63">
    <w:pPr>
      <w:pStyle w:val="Header"/>
      <w:jc w:val="right"/>
      <w:rPr>
        <w:rFonts w:ascii="Arial" w:hAnsi="Arial" w:cs="Arial"/>
        <w:lang w:val="fr-FR"/>
      </w:rPr>
    </w:pPr>
    <w:r w:rsidRPr="000945D4">
      <w:rPr>
        <w:rFonts w:ascii="Arial" w:hAnsi="Arial" w:cs="Arial"/>
        <w:lang w:val="fr-FR"/>
      </w:rPr>
      <w:t xml:space="preserve">Page </w:t>
    </w:r>
    <w:sdt>
      <w:sdtPr>
        <w:rPr>
          <w:rFonts w:ascii="Arial" w:hAnsi="Arial" w:cs="Arial"/>
        </w:rPr>
        <w:id w:val="-138581782"/>
        <w:docPartObj>
          <w:docPartGallery w:val="Page Numbers (Top of Page)"/>
          <w:docPartUnique/>
        </w:docPartObj>
      </w:sdtPr>
      <w:sdtEndPr>
        <w:rPr>
          <w:noProof/>
        </w:rPr>
      </w:sdtEndPr>
      <w:sdtContent>
        <w:r w:rsidR="00CD4B31" w:rsidRPr="005F1F51">
          <w:rPr>
            <w:rFonts w:ascii="Arial" w:hAnsi="Arial" w:cs="Arial"/>
          </w:rPr>
          <w:fldChar w:fldCharType="begin"/>
        </w:r>
        <w:r w:rsidRPr="000945D4">
          <w:rPr>
            <w:rFonts w:ascii="Arial" w:hAnsi="Arial" w:cs="Arial"/>
            <w:lang w:val="fr-FR"/>
          </w:rPr>
          <w:instrText xml:space="preserve"> PAGE   \* MERGEFORMAT </w:instrText>
        </w:r>
        <w:r w:rsidR="00CD4B31" w:rsidRPr="005F1F51">
          <w:rPr>
            <w:rFonts w:ascii="Arial" w:hAnsi="Arial" w:cs="Arial"/>
          </w:rPr>
          <w:fldChar w:fldCharType="separate"/>
        </w:r>
        <w:r w:rsidR="00DF717E">
          <w:rPr>
            <w:rFonts w:ascii="Arial" w:hAnsi="Arial" w:cs="Arial"/>
            <w:noProof/>
            <w:lang w:val="fr-FR"/>
          </w:rPr>
          <w:t>2</w:t>
        </w:r>
        <w:r w:rsidR="00CD4B31" w:rsidRPr="005F1F51">
          <w:rPr>
            <w:rFonts w:ascii="Arial" w:hAnsi="Arial" w:cs="Arial"/>
            <w:noProof/>
          </w:rPr>
          <w:fldChar w:fldCharType="end"/>
        </w:r>
      </w:sdtContent>
    </w:sdt>
  </w:p>
  <w:p w:rsidR="00B33E23" w:rsidRPr="007F553D" w:rsidRDefault="00B33E23" w:rsidP="00146A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E23" w:rsidRDefault="00B33E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E23" w:rsidRDefault="00B33E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E23" w:rsidRDefault="00B33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C5230"/>
    <w:multiLevelType w:val="hybridMultilevel"/>
    <w:tmpl w:val="8FA2A3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A703C"/>
    <w:multiLevelType w:val="hybridMultilevel"/>
    <w:tmpl w:val="F5927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81CA5"/>
    <w:multiLevelType w:val="hybridMultilevel"/>
    <w:tmpl w:val="D890C09A"/>
    <w:lvl w:ilvl="0" w:tplc="64E061F6">
      <w:start w:val="1"/>
      <w:numFmt w:val="lowerRoman"/>
      <w:lvlText w:val="(%1)"/>
      <w:lvlJc w:val="left"/>
      <w:pPr>
        <w:ind w:left="1440" w:hanging="360"/>
      </w:pPr>
      <w:rPr>
        <w:rFonts w:ascii="Arial" w:eastAsia="Times New Roman" w:hAnsi="Arial"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24883F8B"/>
    <w:multiLevelType w:val="hybridMultilevel"/>
    <w:tmpl w:val="756AFCB6"/>
    <w:lvl w:ilvl="0" w:tplc="E52C8178">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1639A0"/>
    <w:multiLevelType w:val="hybridMultilevel"/>
    <w:tmpl w:val="A8B240BC"/>
    <w:lvl w:ilvl="0" w:tplc="CE9257E6">
      <w:start w:val="1"/>
      <w:numFmt w:val="lowerRoman"/>
      <w:lvlText w:val="(%1)"/>
      <w:lvlJc w:val="left"/>
      <w:pPr>
        <w:ind w:left="1440" w:hanging="720"/>
      </w:pPr>
      <w:rPr>
        <w:rFonts w:ascii="Arial" w:hAnsi="Aria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F19BD"/>
    <w:multiLevelType w:val="hybridMultilevel"/>
    <w:tmpl w:val="16565A5C"/>
    <w:lvl w:ilvl="0" w:tplc="4B1E2B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C857D3"/>
    <w:multiLevelType w:val="hybridMultilevel"/>
    <w:tmpl w:val="D890C09A"/>
    <w:lvl w:ilvl="0" w:tplc="64E061F6">
      <w:start w:val="1"/>
      <w:numFmt w:val="lowerRoman"/>
      <w:lvlText w:val="(%1)"/>
      <w:lvlJc w:val="left"/>
      <w:pPr>
        <w:ind w:left="1440" w:hanging="360"/>
      </w:pPr>
      <w:rPr>
        <w:rFonts w:ascii="Arial" w:eastAsia="Times New Roman" w:hAnsi="Arial"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31CA5DD2"/>
    <w:multiLevelType w:val="hybridMultilevel"/>
    <w:tmpl w:val="0D664B56"/>
    <w:lvl w:ilvl="0" w:tplc="88E091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82D7E"/>
    <w:multiLevelType w:val="hybridMultilevel"/>
    <w:tmpl w:val="17A0980E"/>
    <w:lvl w:ilvl="0" w:tplc="1EA276C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5C42CD8"/>
    <w:multiLevelType w:val="hybridMultilevel"/>
    <w:tmpl w:val="24CC0B7E"/>
    <w:lvl w:ilvl="0" w:tplc="D4926F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7A7343"/>
    <w:multiLevelType w:val="hybridMultilevel"/>
    <w:tmpl w:val="CD50039C"/>
    <w:lvl w:ilvl="0" w:tplc="2C342A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4167F6"/>
    <w:multiLevelType w:val="hybridMultilevel"/>
    <w:tmpl w:val="0888BFCC"/>
    <w:lvl w:ilvl="0" w:tplc="CE30B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E20276"/>
    <w:multiLevelType w:val="hybridMultilevel"/>
    <w:tmpl w:val="35C63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6D060D"/>
    <w:multiLevelType w:val="hybridMultilevel"/>
    <w:tmpl w:val="790EABCC"/>
    <w:lvl w:ilvl="0" w:tplc="B2BA35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4DB03C7"/>
    <w:multiLevelType w:val="hybridMultilevel"/>
    <w:tmpl w:val="A23C8228"/>
    <w:lvl w:ilvl="0" w:tplc="D5D00FCC">
      <w:start w:val="1"/>
      <w:numFmt w:val="lowerLetter"/>
      <w:lvlText w:val="(%1)"/>
      <w:lvlJc w:val="left"/>
      <w:pPr>
        <w:ind w:left="1800" w:hanging="360"/>
      </w:pPr>
      <w:rPr>
        <w:rFonts w:ascii="Arial" w:hAnsi="Arial" w:cs="Arial"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1190BF0"/>
    <w:multiLevelType w:val="multilevel"/>
    <w:tmpl w:val="31EEEA3E"/>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2B902B3"/>
    <w:multiLevelType w:val="hybridMultilevel"/>
    <w:tmpl w:val="A23C8228"/>
    <w:lvl w:ilvl="0" w:tplc="D5D00FCC">
      <w:start w:val="1"/>
      <w:numFmt w:val="lowerLetter"/>
      <w:lvlText w:val="(%1)"/>
      <w:lvlJc w:val="left"/>
      <w:pPr>
        <w:ind w:left="1800" w:hanging="360"/>
      </w:pPr>
      <w:rPr>
        <w:rFonts w:ascii="Arial" w:hAnsi="Arial" w:cs="Arial"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3880B83"/>
    <w:multiLevelType w:val="hybridMultilevel"/>
    <w:tmpl w:val="F48422AA"/>
    <w:lvl w:ilvl="0" w:tplc="EDB60B76">
      <w:start w:val="1"/>
      <w:numFmt w:val="lowerRoman"/>
      <w:lvlText w:val="(%1)"/>
      <w:lvlJc w:val="left"/>
      <w:pPr>
        <w:ind w:left="1440" w:hanging="72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83305B"/>
    <w:multiLevelType w:val="hybridMultilevel"/>
    <w:tmpl w:val="7F68337A"/>
    <w:lvl w:ilvl="0" w:tplc="F27C05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90F0D02"/>
    <w:multiLevelType w:val="hybridMultilevel"/>
    <w:tmpl w:val="52E0DA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37077"/>
    <w:multiLevelType w:val="hybridMultilevel"/>
    <w:tmpl w:val="C89C87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6"/>
  </w:num>
  <w:num w:numId="4">
    <w:abstractNumId w:val="5"/>
  </w:num>
  <w:num w:numId="5">
    <w:abstractNumId w:val="13"/>
  </w:num>
  <w:num w:numId="6">
    <w:abstractNumId w:val="18"/>
  </w:num>
  <w:num w:numId="7">
    <w:abstractNumId w:val="17"/>
  </w:num>
  <w:num w:numId="8">
    <w:abstractNumId w:val="16"/>
  </w:num>
  <w:num w:numId="9">
    <w:abstractNumId w:val="4"/>
  </w:num>
  <w:num w:numId="10">
    <w:abstractNumId w:val="14"/>
  </w:num>
  <w:num w:numId="11">
    <w:abstractNumId w:val="20"/>
  </w:num>
  <w:num w:numId="12">
    <w:abstractNumId w:val="12"/>
  </w:num>
  <w:num w:numId="13">
    <w:abstractNumId w:val="19"/>
  </w:num>
  <w:num w:numId="14">
    <w:abstractNumId w:val="7"/>
  </w:num>
  <w:num w:numId="15">
    <w:abstractNumId w:val="9"/>
  </w:num>
  <w:num w:numId="16">
    <w:abstractNumId w:val="11"/>
  </w:num>
  <w:num w:numId="17">
    <w:abstractNumId w:val="8"/>
  </w:num>
  <w:num w:numId="18">
    <w:abstractNumId w:val="1"/>
  </w:num>
  <w:num w:numId="19">
    <w:abstractNumId w:val="2"/>
  </w:num>
  <w:num w:numId="20">
    <w:abstractNumId w:val="10"/>
  </w:num>
  <w:num w:numId="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3E29"/>
    <w:rsid w:val="00003CDF"/>
    <w:rsid w:val="00030874"/>
    <w:rsid w:val="000327BE"/>
    <w:rsid w:val="00037F01"/>
    <w:rsid w:val="0005039B"/>
    <w:rsid w:val="000570B2"/>
    <w:rsid w:val="00071D5E"/>
    <w:rsid w:val="000B31D6"/>
    <w:rsid w:val="000B3233"/>
    <w:rsid w:val="000B5033"/>
    <w:rsid w:val="000C4E20"/>
    <w:rsid w:val="000D3005"/>
    <w:rsid w:val="000D76ED"/>
    <w:rsid w:val="00100CA1"/>
    <w:rsid w:val="001174D5"/>
    <w:rsid w:val="00127BE4"/>
    <w:rsid w:val="00143E29"/>
    <w:rsid w:val="00146A63"/>
    <w:rsid w:val="00166DE5"/>
    <w:rsid w:val="00187ACD"/>
    <w:rsid w:val="001B4493"/>
    <w:rsid w:val="001C4988"/>
    <w:rsid w:val="001D2B90"/>
    <w:rsid w:val="001E5D21"/>
    <w:rsid w:val="00215E05"/>
    <w:rsid w:val="00233909"/>
    <w:rsid w:val="00244110"/>
    <w:rsid w:val="00265240"/>
    <w:rsid w:val="002822F4"/>
    <w:rsid w:val="002832A0"/>
    <w:rsid w:val="00290912"/>
    <w:rsid w:val="002A025A"/>
    <w:rsid w:val="002A030E"/>
    <w:rsid w:val="002B1C02"/>
    <w:rsid w:val="002B532E"/>
    <w:rsid w:val="002C3902"/>
    <w:rsid w:val="002C7302"/>
    <w:rsid w:val="002E076C"/>
    <w:rsid w:val="003060B3"/>
    <w:rsid w:val="00311221"/>
    <w:rsid w:val="003112CD"/>
    <w:rsid w:val="003357B5"/>
    <w:rsid w:val="00336CCE"/>
    <w:rsid w:val="00353797"/>
    <w:rsid w:val="003702F8"/>
    <w:rsid w:val="00392C43"/>
    <w:rsid w:val="003A0A49"/>
    <w:rsid w:val="003B39E4"/>
    <w:rsid w:val="003C631C"/>
    <w:rsid w:val="003D6298"/>
    <w:rsid w:val="003E319C"/>
    <w:rsid w:val="003E3275"/>
    <w:rsid w:val="003F6A04"/>
    <w:rsid w:val="004221B7"/>
    <w:rsid w:val="00424BB6"/>
    <w:rsid w:val="004275B5"/>
    <w:rsid w:val="00435990"/>
    <w:rsid w:val="00447904"/>
    <w:rsid w:val="00476901"/>
    <w:rsid w:val="004857DC"/>
    <w:rsid w:val="004A3D72"/>
    <w:rsid w:val="004B35D1"/>
    <w:rsid w:val="004B7F00"/>
    <w:rsid w:val="004C469E"/>
    <w:rsid w:val="004F025C"/>
    <w:rsid w:val="005143D4"/>
    <w:rsid w:val="00527A51"/>
    <w:rsid w:val="005401F9"/>
    <w:rsid w:val="00542EA3"/>
    <w:rsid w:val="00573A78"/>
    <w:rsid w:val="005921A1"/>
    <w:rsid w:val="005A021F"/>
    <w:rsid w:val="005C4164"/>
    <w:rsid w:val="005D0D89"/>
    <w:rsid w:val="005D1959"/>
    <w:rsid w:val="005D76A5"/>
    <w:rsid w:val="005E0CA2"/>
    <w:rsid w:val="005E1294"/>
    <w:rsid w:val="005F23A3"/>
    <w:rsid w:val="00604C57"/>
    <w:rsid w:val="006152F1"/>
    <w:rsid w:val="00621075"/>
    <w:rsid w:val="00634B88"/>
    <w:rsid w:val="006376C8"/>
    <w:rsid w:val="006410AF"/>
    <w:rsid w:val="00663317"/>
    <w:rsid w:val="00665FAE"/>
    <w:rsid w:val="00671FF1"/>
    <w:rsid w:val="006C37F4"/>
    <w:rsid w:val="006E608C"/>
    <w:rsid w:val="006F0763"/>
    <w:rsid w:val="006F3E5C"/>
    <w:rsid w:val="00701F3F"/>
    <w:rsid w:val="00703F43"/>
    <w:rsid w:val="007071F2"/>
    <w:rsid w:val="007178EE"/>
    <w:rsid w:val="00717BFD"/>
    <w:rsid w:val="007310B5"/>
    <w:rsid w:val="0074397A"/>
    <w:rsid w:val="007456F7"/>
    <w:rsid w:val="0078435B"/>
    <w:rsid w:val="00784767"/>
    <w:rsid w:val="00784A4C"/>
    <w:rsid w:val="0078618C"/>
    <w:rsid w:val="007A4797"/>
    <w:rsid w:val="007A4CA9"/>
    <w:rsid w:val="007A4FE1"/>
    <w:rsid w:val="007F6B68"/>
    <w:rsid w:val="00810338"/>
    <w:rsid w:val="0082337A"/>
    <w:rsid w:val="0083258C"/>
    <w:rsid w:val="00883877"/>
    <w:rsid w:val="008A465B"/>
    <w:rsid w:val="008C3D20"/>
    <w:rsid w:val="008D3784"/>
    <w:rsid w:val="008E08C3"/>
    <w:rsid w:val="008E7B31"/>
    <w:rsid w:val="008F3002"/>
    <w:rsid w:val="008F5D89"/>
    <w:rsid w:val="00913E3E"/>
    <w:rsid w:val="009216EA"/>
    <w:rsid w:val="00921BA7"/>
    <w:rsid w:val="00934091"/>
    <w:rsid w:val="0095742B"/>
    <w:rsid w:val="00961118"/>
    <w:rsid w:val="00981431"/>
    <w:rsid w:val="009A632D"/>
    <w:rsid w:val="009A781B"/>
    <w:rsid w:val="009B4DE0"/>
    <w:rsid w:val="009B542F"/>
    <w:rsid w:val="009C0015"/>
    <w:rsid w:val="009E12A7"/>
    <w:rsid w:val="009E74F7"/>
    <w:rsid w:val="009E7852"/>
    <w:rsid w:val="009F2DE2"/>
    <w:rsid w:val="00A00A04"/>
    <w:rsid w:val="00A0119F"/>
    <w:rsid w:val="00A202DB"/>
    <w:rsid w:val="00A20A58"/>
    <w:rsid w:val="00A27300"/>
    <w:rsid w:val="00A377D9"/>
    <w:rsid w:val="00A46616"/>
    <w:rsid w:val="00A61D00"/>
    <w:rsid w:val="00AA0F31"/>
    <w:rsid w:val="00AA1069"/>
    <w:rsid w:val="00AA7D71"/>
    <w:rsid w:val="00AD0CBC"/>
    <w:rsid w:val="00B03D5A"/>
    <w:rsid w:val="00B12039"/>
    <w:rsid w:val="00B124BD"/>
    <w:rsid w:val="00B2030F"/>
    <w:rsid w:val="00B33E23"/>
    <w:rsid w:val="00B5003E"/>
    <w:rsid w:val="00B50070"/>
    <w:rsid w:val="00B617D4"/>
    <w:rsid w:val="00B741F0"/>
    <w:rsid w:val="00BA7C2C"/>
    <w:rsid w:val="00BD650A"/>
    <w:rsid w:val="00BE6D17"/>
    <w:rsid w:val="00C0345F"/>
    <w:rsid w:val="00C122E6"/>
    <w:rsid w:val="00C242E2"/>
    <w:rsid w:val="00C244C0"/>
    <w:rsid w:val="00C25ED0"/>
    <w:rsid w:val="00C26070"/>
    <w:rsid w:val="00C2765E"/>
    <w:rsid w:val="00C44A9F"/>
    <w:rsid w:val="00C5036F"/>
    <w:rsid w:val="00C52234"/>
    <w:rsid w:val="00C5261D"/>
    <w:rsid w:val="00C528FA"/>
    <w:rsid w:val="00C61261"/>
    <w:rsid w:val="00C947FA"/>
    <w:rsid w:val="00CB5753"/>
    <w:rsid w:val="00CC4B23"/>
    <w:rsid w:val="00CC587B"/>
    <w:rsid w:val="00CC7E14"/>
    <w:rsid w:val="00CD4B31"/>
    <w:rsid w:val="00CE17C3"/>
    <w:rsid w:val="00CF2AEF"/>
    <w:rsid w:val="00D07575"/>
    <w:rsid w:val="00D12233"/>
    <w:rsid w:val="00D1311A"/>
    <w:rsid w:val="00D24BAF"/>
    <w:rsid w:val="00D31B67"/>
    <w:rsid w:val="00D36125"/>
    <w:rsid w:val="00D61877"/>
    <w:rsid w:val="00D6524F"/>
    <w:rsid w:val="00D90669"/>
    <w:rsid w:val="00D9338C"/>
    <w:rsid w:val="00DB3224"/>
    <w:rsid w:val="00DC52A1"/>
    <w:rsid w:val="00DF41EE"/>
    <w:rsid w:val="00DF5699"/>
    <w:rsid w:val="00DF5F10"/>
    <w:rsid w:val="00DF717E"/>
    <w:rsid w:val="00E20136"/>
    <w:rsid w:val="00E245E4"/>
    <w:rsid w:val="00E35479"/>
    <w:rsid w:val="00E36733"/>
    <w:rsid w:val="00E40204"/>
    <w:rsid w:val="00E4170E"/>
    <w:rsid w:val="00E4413B"/>
    <w:rsid w:val="00E50B5A"/>
    <w:rsid w:val="00E855CA"/>
    <w:rsid w:val="00E931FB"/>
    <w:rsid w:val="00E93C02"/>
    <w:rsid w:val="00EA7C12"/>
    <w:rsid w:val="00EB2C6F"/>
    <w:rsid w:val="00EC7672"/>
    <w:rsid w:val="00EE505F"/>
    <w:rsid w:val="00F0222D"/>
    <w:rsid w:val="00F04C41"/>
    <w:rsid w:val="00F05088"/>
    <w:rsid w:val="00F06C78"/>
    <w:rsid w:val="00F5600A"/>
    <w:rsid w:val="00F5778E"/>
    <w:rsid w:val="00F65A06"/>
    <w:rsid w:val="00F71E21"/>
    <w:rsid w:val="00F73C30"/>
    <w:rsid w:val="00F748E8"/>
    <w:rsid w:val="00F776EC"/>
    <w:rsid w:val="00F92FC1"/>
    <w:rsid w:val="00FD0D5D"/>
    <w:rsid w:val="00FE52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ABA355-C431-479F-AE22-AB6E0946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F3E5C"/>
    <w:pPr>
      <w:keepNext/>
      <w:outlineLvl w:val="0"/>
    </w:pPr>
    <w:rPr>
      <w:rFonts w:ascii="Arial" w:hAnsi="Arial"/>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ontentsHeader"/>
    <w:basedOn w:val="Normal"/>
    <w:link w:val="HeaderChar"/>
    <w:unhideWhenUsed/>
    <w:rsid w:val="00424BB6"/>
    <w:pPr>
      <w:tabs>
        <w:tab w:val="center" w:pos="4680"/>
        <w:tab w:val="right" w:pos="9360"/>
      </w:tabs>
    </w:pPr>
  </w:style>
  <w:style w:type="character" w:customStyle="1" w:styleId="HeaderChar">
    <w:name w:val="Header Char"/>
    <w:aliases w:val="ContentsHeader Char"/>
    <w:basedOn w:val="DefaultParagraphFont"/>
    <w:link w:val="Header"/>
    <w:rsid w:val="00424BB6"/>
  </w:style>
  <w:style w:type="paragraph" w:styleId="Footer">
    <w:name w:val="footer"/>
    <w:basedOn w:val="Normal"/>
    <w:link w:val="FooterChar"/>
    <w:uiPriority w:val="99"/>
    <w:unhideWhenUsed/>
    <w:rsid w:val="00424BB6"/>
    <w:pPr>
      <w:tabs>
        <w:tab w:val="center" w:pos="4680"/>
        <w:tab w:val="right" w:pos="9360"/>
      </w:tabs>
    </w:pPr>
  </w:style>
  <w:style w:type="character" w:customStyle="1" w:styleId="FooterChar">
    <w:name w:val="Footer Char"/>
    <w:basedOn w:val="DefaultParagraphFont"/>
    <w:link w:val="Footer"/>
    <w:uiPriority w:val="99"/>
    <w:rsid w:val="00424BB6"/>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D1311A"/>
    <w:pPr>
      <w:ind w:left="720"/>
      <w:contextualSpacing/>
    </w:pPr>
  </w:style>
  <w:style w:type="table" w:styleId="TableGrid">
    <w:name w:val="Table Grid"/>
    <w:basedOn w:val="TableNormal"/>
    <w:uiPriority w:val="39"/>
    <w:rsid w:val="00D1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A7C1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pPr>
    <w:rPr>
      <w:rFonts w:ascii="Arial" w:hAnsi="Arial" w:cs="Arial"/>
      <w:snapToGrid w:val="0"/>
      <w:lang w:val="en-GB"/>
    </w:rPr>
  </w:style>
  <w:style w:type="character" w:customStyle="1" w:styleId="BodyTextChar">
    <w:name w:val="Body Text Char"/>
    <w:basedOn w:val="DefaultParagraphFont"/>
    <w:link w:val="BodyText"/>
    <w:rsid w:val="00EA7C12"/>
    <w:rPr>
      <w:rFonts w:ascii="Arial" w:eastAsia="Times New Roman" w:hAnsi="Arial" w:cs="Arial"/>
      <w:snapToGrid w:val="0"/>
      <w:sz w:val="24"/>
      <w:szCs w:val="24"/>
      <w:lang w:val="en-GB"/>
    </w:rPr>
  </w:style>
  <w:style w:type="paragraph" w:styleId="BalloonText">
    <w:name w:val="Balloon Text"/>
    <w:basedOn w:val="Normal"/>
    <w:link w:val="BalloonTextChar"/>
    <w:uiPriority w:val="99"/>
    <w:semiHidden/>
    <w:unhideWhenUsed/>
    <w:rsid w:val="003E319C"/>
    <w:rPr>
      <w:rFonts w:ascii="Tahoma" w:hAnsi="Tahoma" w:cs="Tahoma"/>
      <w:sz w:val="16"/>
      <w:szCs w:val="16"/>
    </w:rPr>
  </w:style>
  <w:style w:type="character" w:customStyle="1" w:styleId="BalloonTextChar">
    <w:name w:val="Balloon Text Char"/>
    <w:basedOn w:val="DefaultParagraphFont"/>
    <w:link w:val="BalloonText"/>
    <w:uiPriority w:val="99"/>
    <w:semiHidden/>
    <w:rsid w:val="003E319C"/>
    <w:rPr>
      <w:rFonts w:ascii="Tahoma" w:hAnsi="Tahoma" w:cs="Tahoma"/>
      <w:sz w:val="16"/>
      <w:szCs w:val="16"/>
    </w:rPr>
  </w:style>
  <w:style w:type="character" w:customStyle="1" w:styleId="Heading1Char">
    <w:name w:val="Heading 1 Char"/>
    <w:basedOn w:val="DefaultParagraphFont"/>
    <w:link w:val="Heading1"/>
    <w:rsid w:val="006F3E5C"/>
    <w:rPr>
      <w:rFonts w:ascii="Arial" w:eastAsia="Times New Roman" w:hAnsi="Arial" w:cs="Times New Roman"/>
      <w:sz w:val="24"/>
      <w:szCs w:val="20"/>
      <w:lang w:val="en-GB"/>
    </w:rPr>
  </w:style>
  <w:style w:type="paragraph" w:styleId="NormalWeb">
    <w:name w:val="Normal (Web)"/>
    <w:basedOn w:val="Normal"/>
    <w:uiPriority w:val="99"/>
    <w:semiHidden/>
    <w:unhideWhenUsed/>
    <w:rsid w:val="006F3E5C"/>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6F3E5C"/>
  </w:style>
  <w:style w:type="character" w:customStyle="1" w:styleId="HeadingChar">
    <w:name w:val="Heading Char"/>
    <w:basedOn w:val="Heading1Char"/>
    <w:link w:val="Heading"/>
    <w:locked/>
    <w:rsid w:val="006F3E5C"/>
    <w:rPr>
      <w:rFonts w:ascii="Arial" w:eastAsia="Times New Roman" w:hAnsi="Arial" w:cs="Arial"/>
      <w:b/>
      <w:sz w:val="24"/>
      <w:szCs w:val="20"/>
      <w:lang w:val="en-GB"/>
    </w:rPr>
  </w:style>
  <w:style w:type="paragraph" w:customStyle="1" w:styleId="Heading">
    <w:name w:val="Heading"/>
    <w:basedOn w:val="Heading1"/>
    <w:link w:val="HeadingChar"/>
    <w:qFormat/>
    <w:rsid w:val="006F3E5C"/>
    <w:rPr>
      <w:rFonts w:cs="Arial"/>
      <w:b/>
    </w:rPr>
  </w:style>
  <w:style w:type="paragraph" w:customStyle="1" w:styleId="Default">
    <w:name w:val="Default"/>
    <w:rsid w:val="00C5223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D6298"/>
    <w:pPr>
      <w:spacing w:after="0" w:line="240" w:lineRule="auto"/>
    </w:pPr>
  </w:style>
  <w:style w:type="paragraph" w:styleId="FootnoteText">
    <w:name w:val="footnote text"/>
    <w:basedOn w:val="Normal"/>
    <w:link w:val="FootnoteTextChar"/>
    <w:uiPriority w:val="99"/>
    <w:semiHidden/>
    <w:unhideWhenUsed/>
    <w:rsid w:val="00542EA3"/>
    <w:rPr>
      <w:sz w:val="20"/>
      <w:szCs w:val="20"/>
    </w:rPr>
  </w:style>
  <w:style w:type="character" w:customStyle="1" w:styleId="FootnoteTextChar">
    <w:name w:val="Footnote Text Char"/>
    <w:basedOn w:val="DefaultParagraphFont"/>
    <w:link w:val="FootnoteText"/>
    <w:uiPriority w:val="99"/>
    <w:semiHidden/>
    <w:rsid w:val="00542EA3"/>
    <w:rPr>
      <w:sz w:val="20"/>
      <w:szCs w:val="20"/>
    </w:rPr>
  </w:style>
  <w:style w:type="character" w:styleId="FootnoteReference">
    <w:name w:val="footnote reference"/>
    <w:basedOn w:val="DefaultParagraphFont"/>
    <w:uiPriority w:val="99"/>
    <w:semiHidden/>
    <w:unhideWhenUsed/>
    <w:rsid w:val="00542EA3"/>
    <w:rPr>
      <w:vertAlign w:val="superscript"/>
    </w:rPr>
  </w:style>
  <w:style w:type="paragraph" w:styleId="TOCHeading">
    <w:name w:val="TOC Heading"/>
    <w:basedOn w:val="Heading1"/>
    <w:next w:val="Normal"/>
    <w:uiPriority w:val="39"/>
    <w:unhideWhenUsed/>
    <w:qFormat/>
    <w:rsid w:val="005D76A5"/>
    <w:pPr>
      <w:keepLines/>
      <w:spacing w:before="24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5D76A5"/>
    <w:pPr>
      <w:spacing w:after="100"/>
    </w:pPr>
  </w:style>
  <w:style w:type="character" w:styleId="Hyperlink">
    <w:name w:val="Hyperlink"/>
    <w:basedOn w:val="DefaultParagraphFont"/>
    <w:uiPriority w:val="99"/>
    <w:unhideWhenUsed/>
    <w:rsid w:val="005D76A5"/>
    <w:rPr>
      <w:color w:val="0000FF" w:themeColor="hyperlink"/>
      <w:u w:val="single"/>
    </w:rPr>
  </w:style>
  <w:style w:type="paragraph" w:customStyle="1" w:styleId="DefaultText">
    <w:name w:val="Default Text"/>
    <w:basedOn w:val="Normal"/>
    <w:link w:val="DefaultTextChar"/>
    <w:rsid w:val="00B2030F"/>
    <w:pPr>
      <w:tabs>
        <w:tab w:val="left" w:pos="-709"/>
      </w:tabs>
      <w:spacing w:line="360" w:lineRule="auto"/>
      <w:jc w:val="both"/>
    </w:pPr>
    <w:rPr>
      <w:lang w:val="en-GB" w:eastAsia="fr-FR"/>
    </w:rPr>
  </w:style>
  <w:style w:type="character" w:customStyle="1" w:styleId="DefaultTextChar">
    <w:name w:val="Default Text Char"/>
    <w:link w:val="DefaultText"/>
    <w:locked/>
    <w:rsid w:val="00B2030F"/>
    <w:rPr>
      <w:rFonts w:ascii="Times New Roman" w:eastAsia="Times New Roman" w:hAnsi="Times New Roman" w:cs="Times New Roman"/>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6139">
      <w:bodyDiv w:val="1"/>
      <w:marLeft w:val="0"/>
      <w:marRight w:val="0"/>
      <w:marTop w:val="0"/>
      <w:marBottom w:val="0"/>
      <w:divBdr>
        <w:top w:val="none" w:sz="0" w:space="0" w:color="auto"/>
        <w:left w:val="none" w:sz="0" w:space="0" w:color="auto"/>
        <w:bottom w:val="none" w:sz="0" w:space="0" w:color="auto"/>
        <w:right w:val="none" w:sz="0" w:space="0" w:color="auto"/>
      </w:divBdr>
    </w:div>
    <w:div w:id="209806107">
      <w:bodyDiv w:val="1"/>
      <w:marLeft w:val="0"/>
      <w:marRight w:val="0"/>
      <w:marTop w:val="0"/>
      <w:marBottom w:val="0"/>
      <w:divBdr>
        <w:top w:val="none" w:sz="0" w:space="0" w:color="auto"/>
        <w:left w:val="none" w:sz="0" w:space="0" w:color="auto"/>
        <w:bottom w:val="none" w:sz="0" w:space="0" w:color="auto"/>
        <w:right w:val="none" w:sz="0" w:space="0" w:color="auto"/>
      </w:divBdr>
    </w:div>
    <w:div w:id="295575513">
      <w:bodyDiv w:val="1"/>
      <w:marLeft w:val="0"/>
      <w:marRight w:val="0"/>
      <w:marTop w:val="0"/>
      <w:marBottom w:val="0"/>
      <w:divBdr>
        <w:top w:val="none" w:sz="0" w:space="0" w:color="auto"/>
        <w:left w:val="none" w:sz="0" w:space="0" w:color="auto"/>
        <w:bottom w:val="none" w:sz="0" w:space="0" w:color="auto"/>
        <w:right w:val="none" w:sz="0" w:space="0" w:color="auto"/>
      </w:divBdr>
    </w:div>
    <w:div w:id="368455802">
      <w:bodyDiv w:val="1"/>
      <w:marLeft w:val="0"/>
      <w:marRight w:val="0"/>
      <w:marTop w:val="0"/>
      <w:marBottom w:val="0"/>
      <w:divBdr>
        <w:top w:val="none" w:sz="0" w:space="0" w:color="auto"/>
        <w:left w:val="none" w:sz="0" w:space="0" w:color="auto"/>
        <w:bottom w:val="none" w:sz="0" w:space="0" w:color="auto"/>
        <w:right w:val="none" w:sz="0" w:space="0" w:color="auto"/>
      </w:divBdr>
    </w:div>
    <w:div w:id="456876009">
      <w:bodyDiv w:val="1"/>
      <w:marLeft w:val="0"/>
      <w:marRight w:val="0"/>
      <w:marTop w:val="0"/>
      <w:marBottom w:val="0"/>
      <w:divBdr>
        <w:top w:val="none" w:sz="0" w:space="0" w:color="auto"/>
        <w:left w:val="none" w:sz="0" w:space="0" w:color="auto"/>
        <w:bottom w:val="none" w:sz="0" w:space="0" w:color="auto"/>
        <w:right w:val="none" w:sz="0" w:space="0" w:color="auto"/>
      </w:divBdr>
    </w:div>
    <w:div w:id="569773240">
      <w:bodyDiv w:val="1"/>
      <w:marLeft w:val="0"/>
      <w:marRight w:val="0"/>
      <w:marTop w:val="0"/>
      <w:marBottom w:val="0"/>
      <w:divBdr>
        <w:top w:val="none" w:sz="0" w:space="0" w:color="auto"/>
        <w:left w:val="none" w:sz="0" w:space="0" w:color="auto"/>
        <w:bottom w:val="none" w:sz="0" w:space="0" w:color="auto"/>
        <w:right w:val="none" w:sz="0" w:space="0" w:color="auto"/>
      </w:divBdr>
    </w:div>
    <w:div w:id="1127816653">
      <w:bodyDiv w:val="1"/>
      <w:marLeft w:val="0"/>
      <w:marRight w:val="0"/>
      <w:marTop w:val="0"/>
      <w:marBottom w:val="0"/>
      <w:divBdr>
        <w:top w:val="none" w:sz="0" w:space="0" w:color="auto"/>
        <w:left w:val="none" w:sz="0" w:space="0" w:color="auto"/>
        <w:bottom w:val="none" w:sz="0" w:space="0" w:color="auto"/>
        <w:right w:val="none" w:sz="0" w:space="0" w:color="auto"/>
      </w:divBdr>
    </w:div>
    <w:div w:id="1135638872">
      <w:bodyDiv w:val="1"/>
      <w:marLeft w:val="0"/>
      <w:marRight w:val="0"/>
      <w:marTop w:val="0"/>
      <w:marBottom w:val="0"/>
      <w:divBdr>
        <w:top w:val="none" w:sz="0" w:space="0" w:color="auto"/>
        <w:left w:val="none" w:sz="0" w:space="0" w:color="auto"/>
        <w:bottom w:val="none" w:sz="0" w:space="0" w:color="auto"/>
        <w:right w:val="none" w:sz="0" w:space="0" w:color="auto"/>
      </w:divBdr>
    </w:div>
    <w:div w:id="1495607149">
      <w:bodyDiv w:val="1"/>
      <w:marLeft w:val="0"/>
      <w:marRight w:val="0"/>
      <w:marTop w:val="0"/>
      <w:marBottom w:val="0"/>
      <w:divBdr>
        <w:top w:val="none" w:sz="0" w:space="0" w:color="auto"/>
        <w:left w:val="none" w:sz="0" w:space="0" w:color="auto"/>
        <w:bottom w:val="none" w:sz="0" w:space="0" w:color="auto"/>
        <w:right w:val="none" w:sz="0" w:space="0" w:color="auto"/>
      </w:divBdr>
    </w:div>
    <w:div w:id="1674986592">
      <w:bodyDiv w:val="1"/>
      <w:marLeft w:val="0"/>
      <w:marRight w:val="0"/>
      <w:marTop w:val="0"/>
      <w:marBottom w:val="0"/>
      <w:divBdr>
        <w:top w:val="none" w:sz="0" w:space="0" w:color="auto"/>
        <w:left w:val="none" w:sz="0" w:space="0" w:color="auto"/>
        <w:bottom w:val="none" w:sz="0" w:space="0" w:color="auto"/>
        <w:right w:val="none" w:sz="0" w:space="0" w:color="auto"/>
      </w:divBdr>
    </w:div>
    <w:div w:id="1700933716">
      <w:bodyDiv w:val="1"/>
      <w:marLeft w:val="0"/>
      <w:marRight w:val="0"/>
      <w:marTop w:val="0"/>
      <w:marBottom w:val="0"/>
      <w:divBdr>
        <w:top w:val="none" w:sz="0" w:space="0" w:color="auto"/>
        <w:left w:val="none" w:sz="0" w:space="0" w:color="auto"/>
        <w:bottom w:val="none" w:sz="0" w:space="0" w:color="auto"/>
        <w:right w:val="none" w:sz="0" w:space="0" w:color="auto"/>
      </w:divBdr>
    </w:div>
    <w:div w:id="1987928539">
      <w:bodyDiv w:val="1"/>
      <w:marLeft w:val="0"/>
      <w:marRight w:val="0"/>
      <w:marTop w:val="0"/>
      <w:marBottom w:val="0"/>
      <w:divBdr>
        <w:top w:val="none" w:sz="0" w:space="0" w:color="auto"/>
        <w:left w:val="none" w:sz="0" w:space="0" w:color="auto"/>
        <w:bottom w:val="none" w:sz="0" w:space="0" w:color="auto"/>
        <w:right w:val="none" w:sz="0" w:space="0" w:color="auto"/>
      </w:divBdr>
    </w:div>
    <w:div w:id="209080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oleObject" Target="embeddings/Microsoft_Excel_97-2003_Worksheet.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D8558-14D3-4C75-9659-C86012E0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Kondwani Nantikwa</dc:creator>
  <cp:keywords/>
  <dc:description/>
  <cp:lastModifiedBy>Clement Kanyama</cp:lastModifiedBy>
  <cp:revision>11</cp:revision>
  <cp:lastPrinted>2017-09-30T23:16:00Z</cp:lastPrinted>
  <dcterms:created xsi:type="dcterms:W3CDTF">2019-10-10T12:15:00Z</dcterms:created>
  <dcterms:modified xsi:type="dcterms:W3CDTF">2019-10-12T17:01:00Z</dcterms:modified>
</cp:coreProperties>
</file>