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3CB0" w14:textId="66B6F3A4" w:rsidR="007A2268" w:rsidRPr="00B069BE" w:rsidRDefault="007A2268" w:rsidP="004F2AEA">
      <w:pPr>
        <w:ind w:left="720" w:hanging="720"/>
        <w:contextualSpacing/>
        <w:jc w:val="both"/>
        <w:rPr>
          <w:rFonts w:ascii="Arial" w:hAnsi="Arial" w:cs="Arial"/>
          <w:sz w:val="24"/>
          <w:szCs w:val="24"/>
        </w:rPr>
      </w:pPr>
    </w:p>
    <w:p w14:paraId="4BEEC87F" w14:textId="77777777" w:rsidR="00B069BE" w:rsidRDefault="00B069BE" w:rsidP="007A2268">
      <w:pPr>
        <w:contextualSpacing/>
        <w:jc w:val="both"/>
        <w:rPr>
          <w:rFonts w:ascii="Arial" w:hAnsi="Arial" w:cs="Arial"/>
          <w:sz w:val="24"/>
          <w:szCs w:val="24"/>
        </w:rPr>
      </w:pPr>
    </w:p>
    <w:p w14:paraId="385B168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197B8F0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both"/>
        <w:rPr>
          <w:rFonts w:ascii="Arial" w:hAnsi="Arial" w:cs="Arial"/>
          <w:snapToGrid w:val="0"/>
        </w:rPr>
      </w:pPr>
    </w:p>
    <w:p w14:paraId="342A1D6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noProof/>
        </w:rPr>
        <w:drawing>
          <wp:inline distT="0" distB="0" distL="0" distR="0" wp14:anchorId="0ACA8A0A" wp14:editId="171E484C">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EB63A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Distr.</w:t>
      </w:r>
    </w:p>
    <w:p w14:paraId="3FF8C52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LIMITED</w:t>
      </w:r>
    </w:p>
    <w:p w14:paraId="45AFFDC6"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220"/>
        </w:tabs>
        <w:jc w:val="right"/>
        <w:rPr>
          <w:rFonts w:ascii="Arial" w:hAnsi="Arial" w:cs="Arial"/>
          <w:b/>
          <w:snapToGrid w:val="0"/>
        </w:rPr>
      </w:pPr>
    </w:p>
    <w:p w14:paraId="0BA76CE6" w14:textId="7DCBDBAD"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ind w:firstLine="720"/>
        <w:jc w:val="right"/>
        <w:rPr>
          <w:rFonts w:ascii="Arial" w:hAnsi="Arial" w:cs="Arial"/>
          <w:b/>
          <w:snapToGrid w:val="0"/>
        </w:rPr>
      </w:pPr>
      <w:r>
        <w:rPr>
          <w:rFonts w:ascii="Arial" w:hAnsi="Arial" w:cs="Arial"/>
          <w:b/>
          <w:snapToGrid w:val="0"/>
        </w:rPr>
        <w:t xml:space="preserve">       CS/ADM/SC/XX</w:t>
      </w:r>
      <w:r w:rsidR="00C505EB">
        <w:rPr>
          <w:rFonts w:ascii="Arial" w:hAnsi="Arial" w:cs="Arial"/>
          <w:b/>
          <w:snapToGrid w:val="0"/>
        </w:rPr>
        <w:t>II</w:t>
      </w:r>
      <w:r>
        <w:rPr>
          <w:rFonts w:ascii="Arial" w:hAnsi="Arial" w:cs="Arial"/>
          <w:b/>
          <w:snapToGrid w:val="0"/>
        </w:rPr>
        <w:t>/</w:t>
      </w:r>
      <w:r w:rsidR="0083087B">
        <w:rPr>
          <w:rFonts w:ascii="Arial" w:hAnsi="Arial" w:cs="Arial"/>
          <w:b/>
          <w:snapToGrid w:val="0"/>
        </w:rPr>
        <w:t>3</w:t>
      </w:r>
      <w:r w:rsidR="00C505EB">
        <w:rPr>
          <w:rFonts w:ascii="Arial" w:hAnsi="Arial" w:cs="Arial"/>
          <w:b/>
          <w:snapToGrid w:val="0"/>
        </w:rPr>
        <w:t>.</w:t>
      </w:r>
      <w:r w:rsidR="00E31637">
        <w:rPr>
          <w:rFonts w:ascii="Arial" w:hAnsi="Arial" w:cs="Arial"/>
          <w:b/>
          <w:snapToGrid w:val="0"/>
        </w:rPr>
        <w:t>2</w:t>
      </w:r>
      <w:r w:rsidR="00C505EB">
        <w:rPr>
          <w:rFonts w:ascii="Arial" w:hAnsi="Arial" w:cs="Arial"/>
          <w:b/>
          <w:snapToGrid w:val="0"/>
        </w:rPr>
        <w:t>/1</w:t>
      </w:r>
    </w:p>
    <w:p w14:paraId="3109707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522C9F4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14E7786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p>
    <w:p w14:paraId="0F01F84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snapToGrid w:val="0"/>
        </w:rPr>
        <w:t>Original:</w:t>
      </w:r>
      <w:r w:rsidRPr="00244110">
        <w:rPr>
          <w:rFonts w:ascii="Arial" w:hAnsi="Arial" w:cs="Arial"/>
          <w:b/>
          <w:snapToGrid w:val="0"/>
        </w:rPr>
        <w:t xml:space="preserve">  ENGLISH</w:t>
      </w:r>
    </w:p>
    <w:p w14:paraId="599FA4B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5C7F259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COMMON MARKET FOR EASTERN</w:t>
      </w:r>
    </w:p>
    <w:p w14:paraId="14D32B7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AND SOUTHERN AFRICA</w:t>
      </w:r>
    </w:p>
    <w:p w14:paraId="0438356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7B646AFB"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 xml:space="preserve">Twentieth </w:t>
      </w:r>
      <w:r w:rsidRPr="00244110">
        <w:rPr>
          <w:rFonts w:ascii="Arial" w:hAnsi="Arial" w:cs="Arial"/>
          <w:snapToGrid w:val="0"/>
        </w:rPr>
        <w:t>Meeting of the Sub-Committee on</w:t>
      </w:r>
    </w:p>
    <w:p w14:paraId="566907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Audit and Budgetary Matters</w:t>
      </w:r>
    </w:p>
    <w:p w14:paraId="1650F3E5"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AA955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28 October – 1 November 2019</w:t>
      </w:r>
    </w:p>
    <w:p w14:paraId="1B3B64D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Lusaka, Zambia</w:t>
      </w:r>
    </w:p>
    <w:p w14:paraId="5097588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92B17A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536D30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AB3BC7B" w14:textId="6B3E4389" w:rsidR="00976907" w:rsidRPr="008A35A9" w:rsidRDefault="00635E76"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Pr>
          <w:rFonts w:ascii="Arial" w:hAnsi="Arial" w:cs="Arial"/>
          <w:b/>
          <w:snapToGrid w:val="0"/>
          <w:sz w:val="24"/>
          <w:szCs w:val="24"/>
        </w:rPr>
        <w:t>201</w:t>
      </w:r>
      <w:r w:rsidR="0083087B">
        <w:rPr>
          <w:rFonts w:ascii="Arial" w:hAnsi="Arial" w:cs="Arial"/>
          <w:b/>
          <w:snapToGrid w:val="0"/>
          <w:sz w:val="24"/>
          <w:szCs w:val="24"/>
        </w:rPr>
        <w:t>7</w:t>
      </w:r>
      <w:r>
        <w:rPr>
          <w:rFonts w:ascii="Arial" w:hAnsi="Arial" w:cs="Arial"/>
          <w:b/>
          <w:snapToGrid w:val="0"/>
          <w:sz w:val="24"/>
          <w:szCs w:val="24"/>
        </w:rPr>
        <w:t xml:space="preserve"> COMESA Secretariat financial statements (</w:t>
      </w:r>
      <w:r w:rsidR="00E31637">
        <w:rPr>
          <w:rFonts w:ascii="Arial" w:hAnsi="Arial" w:cs="Arial"/>
          <w:b/>
          <w:snapToGrid w:val="0"/>
          <w:sz w:val="24"/>
          <w:szCs w:val="24"/>
        </w:rPr>
        <w:t xml:space="preserve">Grants </w:t>
      </w:r>
      <w:r>
        <w:rPr>
          <w:rFonts w:ascii="Arial" w:hAnsi="Arial" w:cs="Arial"/>
          <w:b/>
          <w:snapToGrid w:val="0"/>
          <w:sz w:val="24"/>
          <w:szCs w:val="24"/>
        </w:rPr>
        <w:t>funding)</w:t>
      </w:r>
    </w:p>
    <w:p w14:paraId="58F88771" w14:textId="77777777" w:rsidR="008A35A9" w:rsidRPr="008A35A9" w:rsidRDefault="008A35A9"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p>
    <w:p w14:paraId="7C5277BF" w14:textId="15798E2D" w:rsidR="00976907" w:rsidRPr="008A35A9" w:rsidRDefault="008A35A9"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sidRPr="008A35A9">
        <w:rPr>
          <w:rFonts w:ascii="Arial" w:hAnsi="Arial" w:cs="Arial"/>
          <w:b/>
          <w:snapToGrid w:val="0"/>
          <w:sz w:val="24"/>
          <w:szCs w:val="24"/>
        </w:rPr>
        <w:t xml:space="preserve">(AGENDA ITEM </w:t>
      </w:r>
      <w:r w:rsidR="0083087B">
        <w:rPr>
          <w:rFonts w:ascii="Arial" w:hAnsi="Arial" w:cs="Arial"/>
          <w:b/>
          <w:snapToGrid w:val="0"/>
          <w:sz w:val="24"/>
          <w:szCs w:val="24"/>
        </w:rPr>
        <w:t>3</w:t>
      </w:r>
      <w:r w:rsidRPr="008A35A9">
        <w:rPr>
          <w:rFonts w:ascii="Arial" w:hAnsi="Arial" w:cs="Arial"/>
          <w:b/>
          <w:snapToGrid w:val="0"/>
          <w:sz w:val="24"/>
          <w:szCs w:val="24"/>
        </w:rPr>
        <w:t>.</w:t>
      </w:r>
      <w:r w:rsidR="00E31637">
        <w:rPr>
          <w:rFonts w:ascii="Arial" w:hAnsi="Arial" w:cs="Arial"/>
          <w:b/>
          <w:snapToGrid w:val="0"/>
          <w:sz w:val="24"/>
          <w:szCs w:val="24"/>
        </w:rPr>
        <w:t>2</w:t>
      </w:r>
      <w:r w:rsidRPr="008A35A9">
        <w:rPr>
          <w:rFonts w:ascii="Arial" w:hAnsi="Arial" w:cs="Arial"/>
          <w:b/>
          <w:snapToGrid w:val="0"/>
          <w:sz w:val="24"/>
          <w:szCs w:val="24"/>
        </w:rPr>
        <w:t>)</w:t>
      </w:r>
    </w:p>
    <w:p w14:paraId="44C8887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C274D1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AC5ABC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C5B8FC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FA80F87"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0D686B0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DF0C9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CF1D76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4E1D4F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46B3473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6BFFA1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DEB5BBD"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2B51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F234D58" w14:textId="77777777" w:rsidR="00B069BE" w:rsidRDefault="00B069BE" w:rsidP="007A2268">
      <w:pPr>
        <w:contextualSpacing/>
        <w:jc w:val="both"/>
        <w:rPr>
          <w:rFonts w:ascii="Arial" w:hAnsi="Arial" w:cs="Arial"/>
          <w:sz w:val="24"/>
          <w:szCs w:val="24"/>
        </w:rPr>
      </w:pPr>
    </w:p>
    <w:p w14:paraId="59E3D95C" w14:textId="77777777" w:rsidR="00B069BE" w:rsidRDefault="00B069BE" w:rsidP="007A2268">
      <w:pPr>
        <w:contextualSpacing/>
        <w:jc w:val="both"/>
        <w:rPr>
          <w:rFonts w:ascii="Arial" w:hAnsi="Arial" w:cs="Arial"/>
          <w:sz w:val="24"/>
          <w:szCs w:val="24"/>
        </w:rPr>
        <w:sectPr w:rsidR="00B069BE" w:rsidSect="002431B5">
          <w:headerReference w:type="default" r:id="rId11"/>
          <w:pgSz w:w="11906" w:h="16838"/>
          <w:pgMar w:top="1440" w:right="1440" w:bottom="1440" w:left="1440" w:header="708" w:footer="708" w:gutter="0"/>
          <w:cols w:space="708"/>
          <w:titlePg/>
          <w:docGrid w:linePitch="360"/>
        </w:sectPr>
      </w:pPr>
    </w:p>
    <w:p w14:paraId="5C4CCA0F" w14:textId="5F4926D5" w:rsidR="005B3AF8" w:rsidRDefault="007A2268" w:rsidP="00D410D9">
      <w:pPr>
        <w:pStyle w:val="ListParagraph"/>
        <w:numPr>
          <w:ilvl w:val="0"/>
          <w:numId w:val="1"/>
        </w:numPr>
        <w:tabs>
          <w:tab w:val="left" w:pos="720"/>
        </w:tabs>
        <w:ind w:left="0" w:firstLine="0"/>
        <w:contextualSpacing/>
        <w:jc w:val="both"/>
        <w:rPr>
          <w:rFonts w:ascii="Arial" w:hAnsi="Arial" w:cs="Arial"/>
          <w:sz w:val="24"/>
          <w:szCs w:val="24"/>
        </w:rPr>
      </w:pPr>
      <w:r w:rsidRPr="00B069BE">
        <w:rPr>
          <w:rFonts w:ascii="Arial" w:hAnsi="Arial" w:cs="Arial"/>
          <w:sz w:val="24"/>
          <w:szCs w:val="24"/>
        </w:rPr>
        <w:lastRenderedPageBreak/>
        <w:t xml:space="preserve">Secretariat </w:t>
      </w:r>
      <w:r w:rsidR="00B069BE" w:rsidRPr="00B069BE">
        <w:rPr>
          <w:rFonts w:ascii="Arial" w:hAnsi="Arial" w:cs="Arial"/>
          <w:sz w:val="24"/>
          <w:szCs w:val="24"/>
        </w:rPr>
        <w:t xml:space="preserve">is hereby </w:t>
      </w:r>
      <w:r w:rsidR="00A54CF4">
        <w:rPr>
          <w:rFonts w:ascii="Arial" w:hAnsi="Arial" w:cs="Arial"/>
          <w:sz w:val="24"/>
          <w:szCs w:val="24"/>
        </w:rPr>
        <w:t xml:space="preserve">submitting </w:t>
      </w:r>
      <w:r w:rsidR="00554AB3">
        <w:rPr>
          <w:rFonts w:ascii="Arial" w:hAnsi="Arial" w:cs="Arial"/>
          <w:sz w:val="24"/>
          <w:szCs w:val="24"/>
        </w:rPr>
        <w:t>audited 201</w:t>
      </w:r>
      <w:r w:rsidR="0083087B">
        <w:rPr>
          <w:rFonts w:ascii="Arial" w:hAnsi="Arial" w:cs="Arial"/>
          <w:sz w:val="24"/>
          <w:szCs w:val="24"/>
        </w:rPr>
        <w:t>7</w:t>
      </w:r>
      <w:r w:rsidR="00554AB3">
        <w:rPr>
          <w:rFonts w:ascii="Arial" w:hAnsi="Arial" w:cs="Arial"/>
          <w:sz w:val="24"/>
          <w:szCs w:val="24"/>
        </w:rPr>
        <w:t xml:space="preserve"> COMESA Secretariat financial statements (</w:t>
      </w:r>
      <w:r w:rsidR="00E31637">
        <w:rPr>
          <w:rFonts w:ascii="Arial" w:hAnsi="Arial" w:cs="Arial"/>
          <w:sz w:val="24"/>
          <w:szCs w:val="24"/>
        </w:rPr>
        <w:t xml:space="preserve">Grants </w:t>
      </w:r>
      <w:r w:rsidR="00554AB3">
        <w:rPr>
          <w:rFonts w:ascii="Arial" w:hAnsi="Arial" w:cs="Arial"/>
          <w:sz w:val="24"/>
          <w:szCs w:val="24"/>
        </w:rPr>
        <w:t>funding)</w:t>
      </w:r>
      <w:r w:rsidR="005B3AF8">
        <w:rPr>
          <w:rFonts w:ascii="Arial" w:hAnsi="Arial" w:cs="Arial"/>
          <w:sz w:val="24"/>
          <w:szCs w:val="24"/>
        </w:rPr>
        <w:t xml:space="preserve">, </w:t>
      </w:r>
      <w:r w:rsidR="005B3AF8" w:rsidRPr="00554AB3">
        <w:rPr>
          <w:rFonts w:ascii="Arial" w:hAnsi="Arial" w:cs="Arial"/>
          <w:b/>
          <w:sz w:val="24"/>
          <w:szCs w:val="24"/>
        </w:rPr>
        <w:t>annexed at [….]</w:t>
      </w:r>
      <w:r w:rsidR="005B3AF8">
        <w:rPr>
          <w:rFonts w:ascii="Arial" w:hAnsi="Arial" w:cs="Arial"/>
          <w:sz w:val="24"/>
          <w:szCs w:val="24"/>
        </w:rPr>
        <w:t>,</w:t>
      </w:r>
      <w:r w:rsidR="00554AB3">
        <w:rPr>
          <w:rFonts w:ascii="Arial" w:hAnsi="Arial" w:cs="Arial"/>
          <w:sz w:val="24"/>
          <w:szCs w:val="24"/>
        </w:rPr>
        <w:t xml:space="preserve"> which comprise of: -</w:t>
      </w:r>
    </w:p>
    <w:p w14:paraId="7D4F7125" w14:textId="77777777" w:rsidR="00554AB3" w:rsidRDefault="00554AB3" w:rsidP="00D410D9">
      <w:pPr>
        <w:pStyle w:val="ListParagraph"/>
        <w:tabs>
          <w:tab w:val="left" w:pos="720"/>
        </w:tabs>
        <w:ind w:left="0"/>
        <w:contextualSpacing/>
        <w:jc w:val="both"/>
        <w:rPr>
          <w:rFonts w:ascii="Arial" w:hAnsi="Arial" w:cs="Arial"/>
          <w:sz w:val="24"/>
          <w:szCs w:val="24"/>
        </w:rPr>
      </w:pPr>
    </w:p>
    <w:p w14:paraId="1048AE6F" w14:textId="226B9564" w:rsidR="005B3AF8" w:rsidRDefault="00554AB3" w:rsidP="00D410D9">
      <w:pPr>
        <w:pStyle w:val="ListParagraph"/>
        <w:numPr>
          <w:ilvl w:val="0"/>
          <w:numId w:val="2"/>
        </w:numPr>
        <w:tabs>
          <w:tab w:val="left" w:pos="720"/>
        </w:tabs>
        <w:contextualSpacing/>
        <w:jc w:val="both"/>
        <w:rPr>
          <w:rFonts w:ascii="Arial" w:hAnsi="Arial" w:cs="Arial"/>
          <w:sz w:val="24"/>
          <w:szCs w:val="24"/>
        </w:rPr>
      </w:pPr>
      <w:r>
        <w:rPr>
          <w:rFonts w:ascii="Arial" w:hAnsi="Arial" w:cs="Arial"/>
          <w:sz w:val="24"/>
          <w:szCs w:val="24"/>
        </w:rPr>
        <w:t>Auditors Report;</w:t>
      </w:r>
    </w:p>
    <w:p w14:paraId="16669AE6" w14:textId="030BF91D" w:rsidR="005B3AF8" w:rsidRDefault="00554AB3" w:rsidP="00D410D9">
      <w:pPr>
        <w:pStyle w:val="ListParagraph"/>
        <w:numPr>
          <w:ilvl w:val="0"/>
          <w:numId w:val="2"/>
        </w:numPr>
        <w:tabs>
          <w:tab w:val="left" w:pos="720"/>
        </w:tabs>
        <w:contextualSpacing/>
        <w:jc w:val="both"/>
        <w:rPr>
          <w:rFonts w:ascii="Arial" w:hAnsi="Arial" w:cs="Arial"/>
          <w:sz w:val="24"/>
          <w:szCs w:val="24"/>
        </w:rPr>
      </w:pPr>
      <w:r>
        <w:rPr>
          <w:rFonts w:ascii="Arial" w:hAnsi="Arial" w:cs="Arial"/>
          <w:sz w:val="24"/>
          <w:szCs w:val="24"/>
        </w:rPr>
        <w:t>Financial statements; and</w:t>
      </w:r>
    </w:p>
    <w:p w14:paraId="6B1D8B33" w14:textId="338CC862" w:rsidR="005B3AF8" w:rsidRDefault="00554AB3" w:rsidP="00D410D9">
      <w:pPr>
        <w:pStyle w:val="ListParagraph"/>
        <w:numPr>
          <w:ilvl w:val="0"/>
          <w:numId w:val="2"/>
        </w:numPr>
        <w:tabs>
          <w:tab w:val="left" w:pos="720"/>
        </w:tabs>
        <w:contextualSpacing/>
        <w:jc w:val="both"/>
        <w:rPr>
          <w:rFonts w:ascii="Arial" w:hAnsi="Arial" w:cs="Arial"/>
          <w:sz w:val="24"/>
          <w:szCs w:val="24"/>
        </w:rPr>
      </w:pPr>
      <w:r>
        <w:rPr>
          <w:rFonts w:ascii="Arial" w:hAnsi="Arial" w:cs="Arial"/>
          <w:sz w:val="24"/>
          <w:szCs w:val="24"/>
        </w:rPr>
        <w:t>Management letter.</w:t>
      </w:r>
    </w:p>
    <w:p w14:paraId="23DB5979" w14:textId="1C082FB1" w:rsidR="005B3AF8" w:rsidRDefault="005B3AF8" w:rsidP="00D410D9">
      <w:pPr>
        <w:tabs>
          <w:tab w:val="left" w:pos="720"/>
        </w:tabs>
        <w:contextualSpacing/>
        <w:jc w:val="both"/>
        <w:rPr>
          <w:rFonts w:ascii="Arial" w:hAnsi="Arial" w:cs="Arial"/>
          <w:sz w:val="24"/>
          <w:szCs w:val="24"/>
        </w:rPr>
      </w:pPr>
    </w:p>
    <w:p w14:paraId="011A6894" w14:textId="6D2AAFFC" w:rsidR="00012701" w:rsidRDefault="00012701" w:rsidP="00D410D9">
      <w:pPr>
        <w:tabs>
          <w:tab w:val="left" w:pos="720"/>
        </w:tabs>
        <w:contextualSpacing/>
        <w:jc w:val="both"/>
        <w:rPr>
          <w:rFonts w:ascii="Arial" w:hAnsi="Arial" w:cs="Arial"/>
          <w:sz w:val="24"/>
          <w:szCs w:val="24"/>
        </w:rPr>
      </w:pPr>
    </w:p>
    <w:p w14:paraId="5CE3D824" w14:textId="4E3E388C" w:rsidR="00012701" w:rsidRPr="00D410D9" w:rsidRDefault="00012701" w:rsidP="00D410D9">
      <w:pPr>
        <w:tabs>
          <w:tab w:val="left" w:pos="720"/>
        </w:tabs>
        <w:contextualSpacing/>
        <w:jc w:val="both"/>
        <w:rPr>
          <w:rFonts w:ascii="Arial" w:hAnsi="Arial" w:cs="Arial"/>
          <w:b/>
          <w:sz w:val="24"/>
          <w:szCs w:val="24"/>
        </w:rPr>
      </w:pPr>
      <w:r w:rsidRPr="00D410D9">
        <w:rPr>
          <w:rFonts w:ascii="Arial" w:hAnsi="Arial" w:cs="Arial"/>
          <w:b/>
          <w:sz w:val="24"/>
          <w:szCs w:val="24"/>
        </w:rPr>
        <w:t>Framework of preparation of 201</w:t>
      </w:r>
      <w:r w:rsidR="0083087B">
        <w:rPr>
          <w:rFonts w:ascii="Arial" w:hAnsi="Arial" w:cs="Arial"/>
          <w:b/>
          <w:sz w:val="24"/>
          <w:szCs w:val="24"/>
        </w:rPr>
        <w:t>7</w:t>
      </w:r>
      <w:r w:rsidRPr="00D410D9">
        <w:rPr>
          <w:rFonts w:ascii="Arial" w:hAnsi="Arial" w:cs="Arial"/>
          <w:b/>
          <w:sz w:val="24"/>
          <w:szCs w:val="24"/>
        </w:rPr>
        <w:t xml:space="preserve"> financial statements and external audits</w:t>
      </w:r>
      <w:r w:rsidRPr="00D410D9">
        <w:rPr>
          <w:rFonts w:ascii="Arial" w:hAnsi="Arial" w:cs="Arial"/>
          <w:b/>
          <w:sz w:val="24"/>
          <w:szCs w:val="24"/>
        </w:rPr>
        <w:t xml:space="preserve"> on grants</w:t>
      </w:r>
    </w:p>
    <w:p w14:paraId="45AEB034" w14:textId="77777777" w:rsidR="00012701" w:rsidRDefault="00012701" w:rsidP="00D410D9">
      <w:pPr>
        <w:pStyle w:val="ListParagraph"/>
        <w:tabs>
          <w:tab w:val="left" w:pos="720"/>
        </w:tabs>
        <w:ind w:left="0"/>
        <w:contextualSpacing/>
        <w:jc w:val="both"/>
        <w:rPr>
          <w:rFonts w:ascii="Arial" w:hAnsi="Arial" w:cs="Arial"/>
          <w:sz w:val="24"/>
          <w:szCs w:val="24"/>
        </w:rPr>
      </w:pPr>
    </w:p>
    <w:p w14:paraId="56EAB656" w14:textId="4719D935" w:rsidR="00012701" w:rsidRPr="00012701" w:rsidRDefault="00012701" w:rsidP="00D410D9">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 xml:space="preserve">Whilst designating Auditors General as External Auditors of COMESA Organs and Institutions, the Council in October 2016 </w:t>
      </w:r>
      <w:r w:rsidRPr="00012701">
        <w:rPr>
          <w:rFonts w:ascii="Arial" w:hAnsi="Arial" w:cs="Arial"/>
          <w:sz w:val="24"/>
          <w:szCs w:val="24"/>
        </w:rPr>
        <w:t>decided that</w:t>
      </w:r>
      <w:r>
        <w:rPr>
          <w:rFonts w:ascii="Arial" w:hAnsi="Arial" w:cs="Arial"/>
          <w:sz w:val="24"/>
          <w:szCs w:val="24"/>
        </w:rPr>
        <w:t xml:space="preserve"> t</w:t>
      </w:r>
      <w:r w:rsidRPr="00012701">
        <w:rPr>
          <w:rFonts w:ascii="Arial" w:hAnsi="Arial" w:cs="Arial"/>
          <w:sz w:val="24"/>
          <w:szCs w:val="24"/>
        </w:rPr>
        <w:t xml:space="preserve">he audit of projects shall </w:t>
      </w:r>
      <w:r w:rsidRPr="00D410D9">
        <w:rPr>
          <w:rFonts w:ascii="Arial" w:hAnsi="Arial" w:cs="Arial"/>
          <w:b/>
          <w:sz w:val="24"/>
          <w:szCs w:val="24"/>
        </w:rPr>
        <w:t>also</w:t>
      </w:r>
      <w:r w:rsidRPr="00012701">
        <w:rPr>
          <w:rFonts w:ascii="Arial" w:hAnsi="Arial" w:cs="Arial"/>
          <w:sz w:val="24"/>
          <w:szCs w:val="24"/>
        </w:rPr>
        <w:t xml:space="preserve"> be undertaken by independent audit firms.</w:t>
      </w:r>
    </w:p>
    <w:p w14:paraId="7AD31A00" w14:textId="7F2CE635" w:rsidR="00012701" w:rsidRDefault="00012701" w:rsidP="00D410D9">
      <w:pPr>
        <w:pStyle w:val="ListParagraph"/>
        <w:tabs>
          <w:tab w:val="left" w:pos="720"/>
        </w:tabs>
        <w:ind w:left="0"/>
        <w:contextualSpacing/>
        <w:jc w:val="both"/>
        <w:rPr>
          <w:rFonts w:ascii="Arial" w:hAnsi="Arial" w:cs="Arial"/>
          <w:sz w:val="24"/>
          <w:szCs w:val="24"/>
        </w:rPr>
      </w:pPr>
    </w:p>
    <w:p w14:paraId="3A7EDB59" w14:textId="49C81CA6" w:rsidR="00D410D9" w:rsidRDefault="00D410D9" w:rsidP="00D410D9">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The external auditors on grant funded projects are appointed by: -</w:t>
      </w:r>
    </w:p>
    <w:p w14:paraId="704B0350" w14:textId="77777777" w:rsidR="00D410D9" w:rsidRPr="00D410D9" w:rsidRDefault="00D410D9" w:rsidP="00D410D9">
      <w:pPr>
        <w:pStyle w:val="ListParagraph"/>
        <w:rPr>
          <w:rFonts w:ascii="Arial" w:hAnsi="Arial" w:cs="Arial"/>
          <w:sz w:val="24"/>
          <w:szCs w:val="24"/>
        </w:rPr>
      </w:pPr>
    </w:p>
    <w:p w14:paraId="1D8AC8EE" w14:textId="3644DE24" w:rsidR="00D410D9" w:rsidRDefault="00D410D9" w:rsidP="00D410D9">
      <w:pPr>
        <w:pStyle w:val="ListParagraph"/>
        <w:numPr>
          <w:ilvl w:val="0"/>
          <w:numId w:val="6"/>
        </w:numPr>
        <w:tabs>
          <w:tab w:val="left" w:pos="720"/>
        </w:tabs>
        <w:contextualSpacing/>
        <w:jc w:val="both"/>
        <w:rPr>
          <w:rFonts w:ascii="Arial" w:hAnsi="Arial" w:cs="Arial"/>
          <w:sz w:val="24"/>
          <w:szCs w:val="24"/>
        </w:rPr>
      </w:pPr>
      <w:r>
        <w:rPr>
          <w:rFonts w:ascii="Arial" w:hAnsi="Arial" w:cs="Arial"/>
          <w:sz w:val="24"/>
          <w:szCs w:val="24"/>
        </w:rPr>
        <w:t>Council, where the donor has accepted use of COMESA External Audit framework. This is the situation for EU grants under Contribution Agreements (CA) and Pillar Assesses Grant and or Delegated Agreements (PAGODA)</w:t>
      </w:r>
      <w:r w:rsidR="00396C71">
        <w:rPr>
          <w:rFonts w:ascii="Arial" w:hAnsi="Arial" w:cs="Arial"/>
          <w:sz w:val="24"/>
          <w:szCs w:val="24"/>
        </w:rPr>
        <w:t>, as well as funds pooled under Short Term Projects; and</w:t>
      </w:r>
    </w:p>
    <w:p w14:paraId="77389D96" w14:textId="77777777" w:rsidR="00D410D9" w:rsidRDefault="00D410D9" w:rsidP="00D410D9">
      <w:pPr>
        <w:pStyle w:val="ListParagraph"/>
        <w:tabs>
          <w:tab w:val="left" w:pos="720"/>
        </w:tabs>
        <w:ind w:left="1440"/>
        <w:contextualSpacing/>
        <w:jc w:val="both"/>
        <w:rPr>
          <w:rFonts w:ascii="Arial" w:hAnsi="Arial" w:cs="Arial"/>
          <w:sz w:val="24"/>
          <w:szCs w:val="24"/>
        </w:rPr>
      </w:pPr>
    </w:p>
    <w:p w14:paraId="55D29672" w14:textId="4C72A8C4" w:rsidR="00D410D9" w:rsidRDefault="00D410D9" w:rsidP="00D410D9">
      <w:pPr>
        <w:pStyle w:val="ListParagraph"/>
        <w:numPr>
          <w:ilvl w:val="0"/>
          <w:numId w:val="6"/>
        </w:numPr>
        <w:tabs>
          <w:tab w:val="left" w:pos="720"/>
        </w:tabs>
        <w:contextualSpacing/>
        <w:jc w:val="both"/>
        <w:rPr>
          <w:rFonts w:ascii="Arial" w:hAnsi="Arial" w:cs="Arial"/>
          <w:sz w:val="24"/>
          <w:szCs w:val="24"/>
        </w:rPr>
      </w:pPr>
      <w:r>
        <w:rPr>
          <w:rFonts w:ascii="Arial" w:hAnsi="Arial" w:cs="Arial"/>
          <w:sz w:val="24"/>
          <w:szCs w:val="24"/>
        </w:rPr>
        <w:t>Cooperating Partners pursuant to provisions under each grant contract. This is the situation for all other grants.</w:t>
      </w:r>
    </w:p>
    <w:p w14:paraId="2FB1BC2D" w14:textId="2B418E41" w:rsidR="00D410D9" w:rsidRDefault="00D410D9" w:rsidP="00D410D9">
      <w:pPr>
        <w:pStyle w:val="ListParagraph"/>
        <w:rPr>
          <w:rFonts w:ascii="Arial" w:hAnsi="Arial" w:cs="Arial"/>
          <w:sz w:val="24"/>
          <w:szCs w:val="24"/>
        </w:rPr>
      </w:pPr>
    </w:p>
    <w:p w14:paraId="68AAC6EF" w14:textId="66084579" w:rsidR="00396C71" w:rsidRDefault="00396C71" w:rsidP="00396C71">
      <w:pPr>
        <w:pStyle w:val="ListParagraph"/>
        <w:numPr>
          <w:ilvl w:val="0"/>
          <w:numId w:val="1"/>
        </w:numPr>
        <w:tabs>
          <w:tab w:val="left" w:pos="720"/>
        </w:tabs>
        <w:ind w:left="0" w:firstLine="0"/>
        <w:contextualSpacing/>
        <w:jc w:val="both"/>
        <w:rPr>
          <w:rFonts w:ascii="Arial" w:hAnsi="Arial" w:cs="Arial"/>
          <w:sz w:val="24"/>
          <w:szCs w:val="24"/>
        </w:rPr>
      </w:pPr>
      <w:r w:rsidRPr="00396C71">
        <w:rPr>
          <w:rFonts w:ascii="Arial" w:hAnsi="Arial" w:cs="Arial"/>
          <w:sz w:val="24"/>
          <w:szCs w:val="24"/>
        </w:rPr>
        <w:t>Pursuant to the above the Secretariat hereby submits the 201</w:t>
      </w:r>
      <w:r w:rsidR="0083087B">
        <w:rPr>
          <w:rFonts w:ascii="Arial" w:hAnsi="Arial" w:cs="Arial"/>
          <w:sz w:val="24"/>
          <w:szCs w:val="24"/>
        </w:rPr>
        <w:t>7</w:t>
      </w:r>
      <w:r w:rsidRPr="00396C71">
        <w:rPr>
          <w:rFonts w:ascii="Arial" w:hAnsi="Arial" w:cs="Arial"/>
          <w:sz w:val="24"/>
          <w:szCs w:val="24"/>
        </w:rPr>
        <w:t xml:space="preserve"> </w:t>
      </w:r>
      <w:r w:rsidRPr="00396C71">
        <w:rPr>
          <w:rFonts w:ascii="Arial" w:hAnsi="Arial" w:cs="Arial"/>
          <w:sz w:val="24"/>
          <w:szCs w:val="24"/>
        </w:rPr>
        <w:t>financial statements and external audits on grants</w:t>
      </w:r>
      <w:r>
        <w:rPr>
          <w:rFonts w:ascii="Arial" w:hAnsi="Arial" w:cs="Arial"/>
          <w:sz w:val="24"/>
          <w:szCs w:val="24"/>
        </w:rPr>
        <w:t>: -</w:t>
      </w:r>
    </w:p>
    <w:p w14:paraId="665E1376" w14:textId="77777777" w:rsidR="0083087B" w:rsidRPr="00396C71" w:rsidRDefault="0083087B" w:rsidP="0083087B">
      <w:pPr>
        <w:pStyle w:val="ListParagraph"/>
        <w:tabs>
          <w:tab w:val="left" w:pos="720"/>
        </w:tabs>
        <w:ind w:left="0"/>
        <w:contextualSpacing/>
        <w:jc w:val="both"/>
        <w:rPr>
          <w:rFonts w:ascii="Arial" w:hAnsi="Arial" w:cs="Arial"/>
          <w:sz w:val="24"/>
          <w:szCs w:val="2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2520"/>
        <w:gridCol w:w="3588"/>
      </w:tblGrid>
      <w:tr w:rsidR="00562116" w14:paraId="3E2D27E6" w14:textId="77777777" w:rsidTr="000401E0">
        <w:tblPrEx>
          <w:tblCellMar>
            <w:top w:w="0" w:type="dxa"/>
            <w:bottom w:w="0" w:type="dxa"/>
          </w:tblCellMar>
        </w:tblPrEx>
        <w:trPr>
          <w:trHeight w:val="619"/>
        </w:trPr>
        <w:tc>
          <w:tcPr>
            <w:tcW w:w="2873" w:type="dxa"/>
            <w:shd w:val="solid" w:color="C0C0C0" w:fill="auto"/>
          </w:tcPr>
          <w:p w14:paraId="04705BE7"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t>Cooperating Partner/ Grant Contract title</w:t>
            </w:r>
          </w:p>
        </w:tc>
        <w:tc>
          <w:tcPr>
            <w:tcW w:w="2520" w:type="dxa"/>
            <w:shd w:val="solid" w:color="C0C0C0" w:fill="auto"/>
          </w:tcPr>
          <w:p w14:paraId="65826C3B"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t>2017</w:t>
            </w:r>
          </w:p>
        </w:tc>
        <w:tc>
          <w:tcPr>
            <w:tcW w:w="3588" w:type="dxa"/>
            <w:shd w:val="solid" w:color="C0C0C0" w:fill="auto"/>
          </w:tcPr>
          <w:p w14:paraId="577EFFEE"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t>Auditors opinion</w:t>
            </w:r>
          </w:p>
        </w:tc>
      </w:tr>
      <w:tr w:rsidR="00562116" w14:paraId="0B281A84" w14:textId="77777777" w:rsidTr="000401E0">
        <w:tblPrEx>
          <w:tblCellMar>
            <w:top w:w="0" w:type="dxa"/>
            <w:bottom w:w="0" w:type="dxa"/>
          </w:tblCellMar>
        </w:tblPrEx>
        <w:trPr>
          <w:trHeight w:val="312"/>
        </w:trPr>
        <w:tc>
          <w:tcPr>
            <w:tcW w:w="2873" w:type="dxa"/>
            <w:shd w:val="solid" w:color="C0C0C0" w:fill="auto"/>
          </w:tcPr>
          <w:p w14:paraId="6560859C"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t>ACBF</w:t>
            </w:r>
          </w:p>
        </w:tc>
        <w:tc>
          <w:tcPr>
            <w:tcW w:w="2520" w:type="dxa"/>
            <w:shd w:val="solid" w:color="C0C0C0" w:fill="auto"/>
          </w:tcPr>
          <w:p w14:paraId="42F29075" w14:textId="77777777" w:rsidR="00562116" w:rsidRDefault="00562116" w:rsidP="000401E0">
            <w:pPr>
              <w:autoSpaceDE w:val="0"/>
              <w:autoSpaceDN w:val="0"/>
              <w:adjustRightInd w:val="0"/>
              <w:rPr>
                <w:rFonts w:ascii="Arial" w:hAnsi="Arial" w:cs="Arial"/>
                <w:b/>
                <w:bCs/>
                <w:i/>
                <w:iCs/>
                <w:color w:val="000000"/>
                <w:sz w:val="24"/>
                <w:szCs w:val="24"/>
                <w:lang w:val="en-US"/>
              </w:rPr>
            </w:pPr>
          </w:p>
        </w:tc>
        <w:tc>
          <w:tcPr>
            <w:tcW w:w="3588" w:type="dxa"/>
            <w:shd w:val="solid" w:color="C0C0C0" w:fill="auto"/>
          </w:tcPr>
          <w:p w14:paraId="6E9CA9B9" w14:textId="77777777" w:rsidR="00562116" w:rsidRDefault="00562116" w:rsidP="000401E0">
            <w:pPr>
              <w:autoSpaceDE w:val="0"/>
              <w:autoSpaceDN w:val="0"/>
              <w:adjustRightInd w:val="0"/>
              <w:rPr>
                <w:rFonts w:ascii="Arial" w:hAnsi="Arial" w:cs="Arial"/>
                <w:b/>
                <w:bCs/>
                <w:i/>
                <w:iCs/>
                <w:color w:val="000000"/>
                <w:sz w:val="24"/>
                <w:szCs w:val="24"/>
                <w:lang w:val="en-US"/>
              </w:rPr>
            </w:pPr>
          </w:p>
        </w:tc>
      </w:tr>
      <w:tr w:rsidR="00562116" w14:paraId="6491F26F" w14:textId="77777777" w:rsidTr="000401E0">
        <w:tblPrEx>
          <w:tblCellMar>
            <w:top w:w="0" w:type="dxa"/>
            <w:bottom w:w="0" w:type="dxa"/>
          </w:tblCellMar>
        </w:tblPrEx>
        <w:trPr>
          <w:trHeight w:val="312"/>
        </w:trPr>
        <w:tc>
          <w:tcPr>
            <w:tcW w:w="2873" w:type="dxa"/>
          </w:tcPr>
          <w:p w14:paraId="1C8DFA9E"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ACBF</w:t>
            </w:r>
          </w:p>
        </w:tc>
        <w:tc>
          <w:tcPr>
            <w:tcW w:w="2520" w:type="dxa"/>
          </w:tcPr>
          <w:p w14:paraId="0DD44FE0"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KPMG (Zambia)</w:t>
            </w:r>
          </w:p>
        </w:tc>
        <w:tc>
          <w:tcPr>
            <w:tcW w:w="3588" w:type="dxa"/>
          </w:tcPr>
          <w:p w14:paraId="2508FB00"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N/A</w:t>
            </w:r>
          </w:p>
        </w:tc>
      </w:tr>
      <w:tr w:rsidR="00562116" w14:paraId="6702B32C" w14:textId="77777777" w:rsidTr="000401E0">
        <w:tblPrEx>
          <w:tblCellMar>
            <w:top w:w="0" w:type="dxa"/>
            <w:bottom w:w="0" w:type="dxa"/>
          </w:tblCellMar>
        </w:tblPrEx>
        <w:trPr>
          <w:trHeight w:val="634"/>
        </w:trPr>
        <w:tc>
          <w:tcPr>
            <w:tcW w:w="2873" w:type="dxa"/>
          </w:tcPr>
          <w:p w14:paraId="4E0E7872" w14:textId="77777777" w:rsidR="00562116" w:rsidRDefault="00562116" w:rsidP="000401E0">
            <w:pPr>
              <w:autoSpaceDE w:val="0"/>
              <w:autoSpaceDN w:val="0"/>
              <w:adjustRightInd w:val="0"/>
              <w:rPr>
                <w:color w:val="000000"/>
                <w:lang w:val="en-US"/>
              </w:rPr>
            </w:pPr>
          </w:p>
        </w:tc>
        <w:tc>
          <w:tcPr>
            <w:tcW w:w="1" w:type="dxa"/>
            <w:gridSpan w:val="2"/>
          </w:tcPr>
          <w:p w14:paraId="1C2F8B60"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[Grant came to an end in 2017]</w:t>
            </w:r>
          </w:p>
        </w:tc>
      </w:tr>
      <w:tr w:rsidR="00562116" w14:paraId="59D927E7" w14:textId="77777777" w:rsidTr="000401E0">
        <w:tblPrEx>
          <w:tblCellMar>
            <w:top w:w="0" w:type="dxa"/>
            <w:bottom w:w="0" w:type="dxa"/>
          </w:tblCellMar>
        </w:tblPrEx>
        <w:trPr>
          <w:trHeight w:val="312"/>
        </w:trPr>
        <w:tc>
          <w:tcPr>
            <w:tcW w:w="2873" w:type="dxa"/>
            <w:shd w:val="solid" w:color="C0C0C0" w:fill="auto"/>
          </w:tcPr>
          <w:p w14:paraId="6DA07BE5"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t>AfDB</w:t>
            </w:r>
          </w:p>
        </w:tc>
        <w:tc>
          <w:tcPr>
            <w:tcW w:w="2520" w:type="dxa"/>
            <w:shd w:val="solid" w:color="C0C0C0" w:fill="auto"/>
          </w:tcPr>
          <w:p w14:paraId="40BDE306" w14:textId="77777777" w:rsidR="00562116" w:rsidRDefault="00562116" w:rsidP="000401E0">
            <w:pPr>
              <w:autoSpaceDE w:val="0"/>
              <w:autoSpaceDN w:val="0"/>
              <w:adjustRightInd w:val="0"/>
              <w:rPr>
                <w:rFonts w:ascii="Arial" w:hAnsi="Arial" w:cs="Arial"/>
                <w:b/>
                <w:bCs/>
                <w:i/>
                <w:iCs/>
                <w:color w:val="000000"/>
                <w:sz w:val="24"/>
                <w:szCs w:val="24"/>
                <w:lang w:val="en-US"/>
              </w:rPr>
            </w:pPr>
          </w:p>
        </w:tc>
        <w:tc>
          <w:tcPr>
            <w:tcW w:w="3588" w:type="dxa"/>
            <w:shd w:val="solid" w:color="C0C0C0" w:fill="auto"/>
          </w:tcPr>
          <w:p w14:paraId="4FBB2722" w14:textId="77777777" w:rsidR="00562116" w:rsidRDefault="00562116" w:rsidP="000401E0">
            <w:pPr>
              <w:autoSpaceDE w:val="0"/>
              <w:autoSpaceDN w:val="0"/>
              <w:adjustRightInd w:val="0"/>
              <w:rPr>
                <w:rFonts w:ascii="Arial" w:hAnsi="Arial" w:cs="Arial"/>
                <w:b/>
                <w:bCs/>
                <w:i/>
                <w:iCs/>
                <w:color w:val="000000"/>
                <w:sz w:val="24"/>
                <w:szCs w:val="24"/>
                <w:lang w:val="en-US"/>
              </w:rPr>
            </w:pPr>
          </w:p>
        </w:tc>
      </w:tr>
      <w:tr w:rsidR="00562116" w14:paraId="5FCC2878" w14:textId="77777777" w:rsidTr="000401E0">
        <w:tblPrEx>
          <w:tblCellMar>
            <w:top w:w="0" w:type="dxa"/>
            <w:bottom w:w="0" w:type="dxa"/>
          </w:tblCellMar>
        </w:tblPrEx>
        <w:trPr>
          <w:trHeight w:val="319"/>
        </w:trPr>
        <w:tc>
          <w:tcPr>
            <w:tcW w:w="2873" w:type="dxa"/>
          </w:tcPr>
          <w:p w14:paraId="7ADCBFFA"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1: 50 million women</w:t>
            </w:r>
          </w:p>
        </w:tc>
        <w:tc>
          <w:tcPr>
            <w:tcW w:w="2520" w:type="dxa"/>
          </w:tcPr>
          <w:p w14:paraId="01BDCBB7"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Lochan &amp; Co</w:t>
            </w:r>
          </w:p>
        </w:tc>
        <w:tc>
          <w:tcPr>
            <w:tcW w:w="3588" w:type="dxa"/>
          </w:tcPr>
          <w:p w14:paraId="693CE28D"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Unqualified opinion</w:t>
            </w:r>
          </w:p>
        </w:tc>
      </w:tr>
      <w:tr w:rsidR="00562116" w14:paraId="45A90394" w14:textId="77777777" w:rsidTr="000401E0">
        <w:tblPrEx>
          <w:tblCellMar>
            <w:top w:w="0" w:type="dxa"/>
            <w:bottom w:w="0" w:type="dxa"/>
          </w:tblCellMar>
        </w:tblPrEx>
        <w:trPr>
          <w:trHeight w:val="319"/>
        </w:trPr>
        <w:tc>
          <w:tcPr>
            <w:tcW w:w="2873" w:type="dxa"/>
          </w:tcPr>
          <w:p w14:paraId="36396DFE"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2: Trading for Peace</w:t>
            </w:r>
          </w:p>
        </w:tc>
        <w:tc>
          <w:tcPr>
            <w:tcW w:w="2520" w:type="dxa"/>
          </w:tcPr>
          <w:p w14:paraId="543D806A"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KPMG (Zambia)</w:t>
            </w:r>
          </w:p>
        </w:tc>
        <w:tc>
          <w:tcPr>
            <w:tcW w:w="3588" w:type="dxa"/>
          </w:tcPr>
          <w:p w14:paraId="567445DD"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Unqualified opinion</w:t>
            </w:r>
          </w:p>
        </w:tc>
      </w:tr>
      <w:tr w:rsidR="00562116" w14:paraId="4B854063" w14:textId="77777777" w:rsidTr="000401E0">
        <w:tblPrEx>
          <w:tblCellMar>
            <w:top w:w="0" w:type="dxa"/>
            <w:bottom w:w="0" w:type="dxa"/>
          </w:tblCellMar>
        </w:tblPrEx>
        <w:trPr>
          <w:trHeight w:val="319"/>
        </w:trPr>
        <w:tc>
          <w:tcPr>
            <w:tcW w:w="2873" w:type="dxa"/>
          </w:tcPr>
          <w:p w14:paraId="7FFB2BDD"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 xml:space="preserve">3: Statistics: SCB </w:t>
            </w:r>
          </w:p>
        </w:tc>
        <w:tc>
          <w:tcPr>
            <w:tcW w:w="2520" w:type="dxa"/>
          </w:tcPr>
          <w:p w14:paraId="61CEBB17"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KPMG (Zambia)</w:t>
            </w:r>
          </w:p>
        </w:tc>
        <w:tc>
          <w:tcPr>
            <w:tcW w:w="3588" w:type="dxa"/>
          </w:tcPr>
          <w:p w14:paraId="52EC3A4B"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Unqualified opinion</w:t>
            </w:r>
          </w:p>
        </w:tc>
      </w:tr>
      <w:tr w:rsidR="00562116" w14:paraId="26B8577E" w14:textId="77777777" w:rsidTr="000401E0">
        <w:tblPrEx>
          <w:tblCellMar>
            <w:top w:w="0" w:type="dxa"/>
            <w:bottom w:w="0" w:type="dxa"/>
          </w:tblCellMar>
        </w:tblPrEx>
        <w:trPr>
          <w:trHeight w:val="634"/>
        </w:trPr>
        <w:tc>
          <w:tcPr>
            <w:tcW w:w="2873" w:type="dxa"/>
          </w:tcPr>
          <w:p w14:paraId="5203FA71"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4: Statistics: ICP</w:t>
            </w:r>
          </w:p>
        </w:tc>
        <w:tc>
          <w:tcPr>
            <w:tcW w:w="2520" w:type="dxa"/>
          </w:tcPr>
          <w:p w14:paraId="7DABB124"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Period extended to 2018</w:t>
            </w:r>
          </w:p>
        </w:tc>
        <w:tc>
          <w:tcPr>
            <w:tcW w:w="3588" w:type="dxa"/>
          </w:tcPr>
          <w:p w14:paraId="3EB7A817"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n/a</w:t>
            </w:r>
          </w:p>
        </w:tc>
      </w:tr>
      <w:tr w:rsidR="00562116" w14:paraId="59962DC1" w14:textId="77777777" w:rsidTr="000401E0">
        <w:tblPrEx>
          <w:tblCellMar>
            <w:top w:w="0" w:type="dxa"/>
            <w:bottom w:w="0" w:type="dxa"/>
          </w:tblCellMar>
        </w:tblPrEx>
        <w:trPr>
          <w:trHeight w:val="319"/>
        </w:trPr>
        <w:tc>
          <w:tcPr>
            <w:tcW w:w="2873" w:type="dxa"/>
          </w:tcPr>
          <w:p w14:paraId="09014E26"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 xml:space="preserve">5: Upper airspace </w:t>
            </w:r>
          </w:p>
        </w:tc>
        <w:tc>
          <w:tcPr>
            <w:tcW w:w="2520" w:type="dxa"/>
          </w:tcPr>
          <w:p w14:paraId="121FC553"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KPMG (Zambia)</w:t>
            </w:r>
          </w:p>
        </w:tc>
        <w:tc>
          <w:tcPr>
            <w:tcW w:w="3588" w:type="dxa"/>
          </w:tcPr>
          <w:p w14:paraId="67E1B97F"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Unqualified opinion</w:t>
            </w:r>
          </w:p>
        </w:tc>
      </w:tr>
      <w:tr w:rsidR="00562116" w14:paraId="525E46EB" w14:textId="77777777" w:rsidTr="000401E0">
        <w:tblPrEx>
          <w:tblCellMar>
            <w:top w:w="0" w:type="dxa"/>
            <w:bottom w:w="0" w:type="dxa"/>
          </w:tblCellMar>
        </w:tblPrEx>
        <w:trPr>
          <w:trHeight w:val="319"/>
        </w:trPr>
        <w:tc>
          <w:tcPr>
            <w:tcW w:w="2873" w:type="dxa"/>
          </w:tcPr>
          <w:p w14:paraId="71661F2D"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6: TCBP</w:t>
            </w:r>
          </w:p>
        </w:tc>
        <w:tc>
          <w:tcPr>
            <w:tcW w:w="2520" w:type="dxa"/>
          </w:tcPr>
          <w:p w14:paraId="75C6E7EC"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KPMG (Zambia)</w:t>
            </w:r>
          </w:p>
        </w:tc>
        <w:tc>
          <w:tcPr>
            <w:tcW w:w="3588" w:type="dxa"/>
          </w:tcPr>
          <w:p w14:paraId="6ABC3C32"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Unqualified opinion</w:t>
            </w:r>
          </w:p>
        </w:tc>
      </w:tr>
      <w:tr w:rsidR="00562116" w14:paraId="69142477" w14:textId="77777777" w:rsidTr="000401E0">
        <w:tblPrEx>
          <w:tblCellMar>
            <w:top w:w="0" w:type="dxa"/>
            <w:bottom w:w="0" w:type="dxa"/>
          </w:tblCellMar>
        </w:tblPrEx>
        <w:trPr>
          <w:trHeight w:val="312"/>
        </w:trPr>
        <w:tc>
          <w:tcPr>
            <w:tcW w:w="2873" w:type="dxa"/>
            <w:shd w:val="solid" w:color="C0C0C0" w:fill="auto"/>
          </w:tcPr>
          <w:p w14:paraId="05D38FC6"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t>AU</w:t>
            </w:r>
          </w:p>
        </w:tc>
        <w:tc>
          <w:tcPr>
            <w:tcW w:w="2520" w:type="dxa"/>
            <w:shd w:val="solid" w:color="C0C0C0" w:fill="auto"/>
          </w:tcPr>
          <w:p w14:paraId="203F4FB6" w14:textId="77777777" w:rsidR="00562116" w:rsidRDefault="00562116" w:rsidP="000401E0">
            <w:pPr>
              <w:autoSpaceDE w:val="0"/>
              <w:autoSpaceDN w:val="0"/>
              <w:adjustRightInd w:val="0"/>
              <w:rPr>
                <w:rFonts w:ascii="Arial" w:hAnsi="Arial" w:cs="Arial"/>
                <w:b/>
                <w:bCs/>
                <w:i/>
                <w:iCs/>
                <w:color w:val="000000"/>
                <w:sz w:val="24"/>
                <w:szCs w:val="24"/>
                <w:lang w:val="en-US"/>
              </w:rPr>
            </w:pPr>
          </w:p>
        </w:tc>
        <w:tc>
          <w:tcPr>
            <w:tcW w:w="3588" w:type="dxa"/>
            <w:shd w:val="solid" w:color="C0C0C0" w:fill="auto"/>
          </w:tcPr>
          <w:p w14:paraId="37E1B61C" w14:textId="77777777" w:rsidR="00562116" w:rsidRDefault="00562116" w:rsidP="000401E0">
            <w:pPr>
              <w:autoSpaceDE w:val="0"/>
              <w:autoSpaceDN w:val="0"/>
              <w:adjustRightInd w:val="0"/>
              <w:rPr>
                <w:rFonts w:ascii="Arial" w:hAnsi="Arial" w:cs="Arial"/>
                <w:b/>
                <w:bCs/>
                <w:i/>
                <w:iCs/>
                <w:color w:val="000000"/>
                <w:sz w:val="24"/>
                <w:szCs w:val="24"/>
                <w:lang w:val="en-US"/>
              </w:rPr>
            </w:pPr>
          </w:p>
        </w:tc>
      </w:tr>
      <w:tr w:rsidR="00562116" w14:paraId="26138ED8" w14:textId="77777777" w:rsidTr="000401E0">
        <w:tblPrEx>
          <w:tblCellMar>
            <w:top w:w="0" w:type="dxa"/>
            <w:bottom w:w="0" w:type="dxa"/>
          </w:tblCellMar>
        </w:tblPrEx>
        <w:trPr>
          <w:trHeight w:val="634"/>
        </w:trPr>
        <w:tc>
          <w:tcPr>
            <w:tcW w:w="2873" w:type="dxa"/>
          </w:tcPr>
          <w:p w14:paraId="44C7D055"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t>APSA</w:t>
            </w:r>
          </w:p>
        </w:tc>
        <w:tc>
          <w:tcPr>
            <w:tcW w:w="2520" w:type="dxa"/>
          </w:tcPr>
          <w:p w14:paraId="40902452"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Commissioned by AU – but not completed</w:t>
            </w:r>
          </w:p>
        </w:tc>
        <w:tc>
          <w:tcPr>
            <w:tcW w:w="3588" w:type="dxa"/>
          </w:tcPr>
          <w:p w14:paraId="74CE36A7"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t>N/A</w:t>
            </w:r>
          </w:p>
        </w:tc>
      </w:tr>
      <w:tr w:rsidR="00562116" w14:paraId="69CCFA3B" w14:textId="77777777" w:rsidTr="000401E0">
        <w:tblPrEx>
          <w:tblCellMar>
            <w:top w:w="0" w:type="dxa"/>
            <w:bottom w:w="0" w:type="dxa"/>
          </w:tblCellMar>
        </w:tblPrEx>
        <w:trPr>
          <w:trHeight w:val="610"/>
        </w:trPr>
        <w:tc>
          <w:tcPr>
            <w:tcW w:w="1" w:type="dxa"/>
            <w:gridSpan w:val="2"/>
            <w:shd w:val="solid" w:color="C0C0C0" w:fill="auto"/>
          </w:tcPr>
          <w:p w14:paraId="575BB6C7"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lastRenderedPageBreak/>
              <w:t>European Union: CA / PAGODA</w:t>
            </w:r>
          </w:p>
        </w:tc>
        <w:tc>
          <w:tcPr>
            <w:tcW w:w="3588" w:type="dxa"/>
            <w:shd w:val="solid" w:color="C0C0C0" w:fill="auto"/>
          </w:tcPr>
          <w:p w14:paraId="747FE6FA" w14:textId="77777777" w:rsidR="00562116" w:rsidRDefault="00562116" w:rsidP="000401E0">
            <w:pPr>
              <w:autoSpaceDE w:val="0"/>
              <w:autoSpaceDN w:val="0"/>
              <w:adjustRightInd w:val="0"/>
              <w:rPr>
                <w:rFonts w:ascii="Arial" w:hAnsi="Arial" w:cs="Arial"/>
                <w:b/>
                <w:bCs/>
                <w:i/>
                <w:iCs/>
                <w:color w:val="000000"/>
                <w:sz w:val="24"/>
                <w:szCs w:val="24"/>
                <w:lang w:val="en-US"/>
              </w:rPr>
            </w:pPr>
          </w:p>
        </w:tc>
      </w:tr>
      <w:tr w:rsidR="00562116" w14:paraId="7A53BD67" w14:textId="77777777" w:rsidTr="000401E0">
        <w:tblPrEx>
          <w:tblCellMar>
            <w:top w:w="0" w:type="dxa"/>
            <w:bottom w:w="0" w:type="dxa"/>
          </w:tblCellMar>
        </w:tblPrEx>
        <w:trPr>
          <w:trHeight w:val="312"/>
        </w:trPr>
        <w:tc>
          <w:tcPr>
            <w:tcW w:w="2873" w:type="dxa"/>
          </w:tcPr>
          <w:p w14:paraId="77A89B8C"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1: RISP</w:t>
            </w:r>
          </w:p>
        </w:tc>
        <w:tc>
          <w:tcPr>
            <w:tcW w:w="2520" w:type="dxa"/>
          </w:tcPr>
          <w:p w14:paraId="1A643C34"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PwC (Zambia</w:t>
            </w:r>
          </w:p>
        </w:tc>
        <w:tc>
          <w:tcPr>
            <w:tcW w:w="3588" w:type="dxa"/>
          </w:tcPr>
          <w:p w14:paraId="12665190"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Grant came to an end in 2017</w:t>
            </w:r>
          </w:p>
        </w:tc>
      </w:tr>
      <w:tr w:rsidR="00562116" w14:paraId="14D67AD0" w14:textId="77777777" w:rsidTr="000401E0">
        <w:tblPrEx>
          <w:tblCellMar>
            <w:top w:w="0" w:type="dxa"/>
            <w:bottom w:w="0" w:type="dxa"/>
          </w:tblCellMar>
        </w:tblPrEx>
        <w:trPr>
          <w:trHeight w:val="626"/>
        </w:trPr>
        <w:tc>
          <w:tcPr>
            <w:tcW w:w="2873" w:type="dxa"/>
          </w:tcPr>
          <w:p w14:paraId="79960C2E" w14:textId="77777777" w:rsidR="00562116" w:rsidRDefault="00562116" w:rsidP="000401E0">
            <w:pPr>
              <w:autoSpaceDE w:val="0"/>
              <w:autoSpaceDN w:val="0"/>
              <w:adjustRightInd w:val="0"/>
              <w:rPr>
                <w:color w:val="000000"/>
                <w:lang w:val="en-US"/>
              </w:rPr>
            </w:pPr>
          </w:p>
        </w:tc>
        <w:tc>
          <w:tcPr>
            <w:tcW w:w="1" w:type="dxa"/>
            <w:gridSpan w:val="2"/>
          </w:tcPr>
          <w:p w14:paraId="0C5E32FB"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[Grant came to an end in 2017]</w:t>
            </w:r>
          </w:p>
        </w:tc>
      </w:tr>
      <w:tr w:rsidR="00562116" w14:paraId="7DAA3768" w14:textId="77777777" w:rsidTr="000401E0">
        <w:tblPrEx>
          <w:tblCellMar>
            <w:top w:w="0" w:type="dxa"/>
            <w:bottom w:w="0" w:type="dxa"/>
          </w:tblCellMar>
        </w:tblPrEx>
        <w:trPr>
          <w:trHeight w:val="312"/>
        </w:trPr>
        <w:tc>
          <w:tcPr>
            <w:tcW w:w="2873" w:type="dxa"/>
          </w:tcPr>
          <w:p w14:paraId="033236D0"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2: RISM</w:t>
            </w:r>
          </w:p>
        </w:tc>
        <w:tc>
          <w:tcPr>
            <w:tcW w:w="2520" w:type="dxa"/>
          </w:tcPr>
          <w:p w14:paraId="386D7459"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PwC (Zambia</w:t>
            </w:r>
          </w:p>
        </w:tc>
        <w:tc>
          <w:tcPr>
            <w:tcW w:w="3588" w:type="dxa"/>
          </w:tcPr>
          <w:p w14:paraId="5A15494F"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PwC (Zambia)</w:t>
            </w:r>
          </w:p>
        </w:tc>
      </w:tr>
      <w:tr w:rsidR="00562116" w14:paraId="2E0FFC7B" w14:textId="77777777" w:rsidTr="000401E0">
        <w:tblPrEx>
          <w:tblCellMar>
            <w:top w:w="0" w:type="dxa"/>
            <w:bottom w:w="0" w:type="dxa"/>
          </w:tblCellMar>
        </w:tblPrEx>
        <w:trPr>
          <w:trHeight w:val="626"/>
        </w:trPr>
        <w:tc>
          <w:tcPr>
            <w:tcW w:w="2873" w:type="dxa"/>
          </w:tcPr>
          <w:p w14:paraId="061C9D93"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3: Trade Cooperation Facility</w:t>
            </w:r>
          </w:p>
        </w:tc>
        <w:tc>
          <w:tcPr>
            <w:tcW w:w="2520" w:type="dxa"/>
          </w:tcPr>
          <w:p w14:paraId="12D5CF92"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PwC (Zambia)</w:t>
            </w:r>
          </w:p>
        </w:tc>
        <w:tc>
          <w:tcPr>
            <w:tcW w:w="3588" w:type="dxa"/>
          </w:tcPr>
          <w:p w14:paraId="2F88CC3D"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PwC (Zambia)</w:t>
            </w:r>
          </w:p>
        </w:tc>
      </w:tr>
      <w:tr w:rsidR="00562116" w14:paraId="42641150" w14:textId="77777777" w:rsidTr="000401E0">
        <w:tblPrEx>
          <w:tblCellMar>
            <w:top w:w="0" w:type="dxa"/>
            <w:bottom w:w="0" w:type="dxa"/>
          </w:tblCellMar>
        </w:tblPrEx>
        <w:trPr>
          <w:trHeight w:val="312"/>
        </w:trPr>
        <w:tc>
          <w:tcPr>
            <w:tcW w:w="2873" w:type="dxa"/>
          </w:tcPr>
          <w:p w14:paraId="3655B6A1"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4: ESEREM</w:t>
            </w:r>
          </w:p>
        </w:tc>
        <w:tc>
          <w:tcPr>
            <w:tcW w:w="2520" w:type="dxa"/>
          </w:tcPr>
          <w:p w14:paraId="114BFDF5"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PwC (Zambia)</w:t>
            </w:r>
          </w:p>
        </w:tc>
        <w:tc>
          <w:tcPr>
            <w:tcW w:w="3588" w:type="dxa"/>
          </w:tcPr>
          <w:p w14:paraId="2B5A4DB6"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PwC (Zambia)</w:t>
            </w:r>
          </w:p>
        </w:tc>
      </w:tr>
      <w:tr w:rsidR="00562116" w14:paraId="07217215" w14:textId="77777777" w:rsidTr="000401E0">
        <w:tblPrEx>
          <w:tblCellMar>
            <w:top w:w="0" w:type="dxa"/>
            <w:bottom w:w="0" w:type="dxa"/>
          </w:tblCellMar>
        </w:tblPrEx>
        <w:trPr>
          <w:trHeight w:val="312"/>
        </w:trPr>
        <w:tc>
          <w:tcPr>
            <w:tcW w:w="2873" w:type="dxa"/>
          </w:tcPr>
          <w:p w14:paraId="13F90DDF"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5: MASE</w:t>
            </w:r>
          </w:p>
        </w:tc>
        <w:tc>
          <w:tcPr>
            <w:tcW w:w="2520" w:type="dxa"/>
          </w:tcPr>
          <w:p w14:paraId="5495D563"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PwC (Zambia)</w:t>
            </w:r>
          </w:p>
        </w:tc>
        <w:tc>
          <w:tcPr>
            <w:tcW w:w="3588" w:type="dxa"/>
          </w:tcPr>
          <w:p w14:paraId="13282BB5"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PwC (Zambia)</w:t>
            </w:r>
          </w:p>
        </w:tc>
      </w:tr>
      <w:tr w:rsidR="00562116" w14:paraId="47369F21" w14:textId="77777777" w:rsidTr="000401E0">
        <w:tblPrEx>
          <w:tblCellMar>
            <w:top w:w="0" w:type="dxa"/>
            <w:bottom w:w="0" w:type="dxa"/>
          </w:tblCellMar>
        </w:tblPrEx>
        <w:trPr>
          <w:trHeight w:val="305"/>
        </w:trPr>
        <w:tc>
          <w:tcPr>
            <w:tcW w:w="2873" w:type="dxa"/>
            <w:shd w:val="solid" w:color="C0C0C0" w:fill="auto"/>
          </w:tcPr>
          <w:p w14:paraId="2922535E"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t>World Bank</w:t>
            </w:r>
          </w:p>
        </w:tc>
        <w:tc>
          <w:tcPr>
            <w:tcW w:w="2520" w:type="dxa"/>
            <w:shd w:val="solid" w:color="C0C0C0" w:fill="auto"/>
          </w:tcPr>
          <w:p w14:paraId="24E4F86B" w14:textId="77777777" w:rsidR="00562116" w:rsidRDefault="00562116" w:rsidP="000401E0">
            <w:pPr>
              <w:autoSpaceDE w:val="0"/>
              <w:autoSpaceDN w:val="0"/>
              <w:adjustRightInd w:val="0"/>
              <w:rPr>
                <w:rFonts w:ascii="Arial" w:hAnsi="Arial" w:cs="Arial"/>
                <w:b/>
                <w:bCs/>
                <w:i/>
                <w:iCs/>
                <w:color w:val="000000"/>
                <w:sz w:val="24"/>
                <w:szCs w:val="24"/>
                <w:lang w:val="en-US"/>
              </w:rPr>
            </w:pPr>
          </w:p>
        </w:tc>
        <w:tc>
          <w:tcPr>
            <w:tcW w:w="3588" w:type="dxa"/>
            <w:shd w:val="solid" w:color="C0C0C0" w:fill="auto"/>
          </w:tcPr>
          <w:p w14:paraId="7F1AEE58" w14:textId="77777777" w:rsidR="00562116" w:rsidRDefault="00562116" w:rsidP="000401E0">
            <w:pPr>
              <w:autoSpaceDE w:val="0"/>
              <w:autoSpaceDN w:val="0"/>
              <w:adjustRightInd w:val="0"/>
              <w:rPr>
                <w:rFonts w:ascii="Arial" w:hAnsi="Arial" w:cs="Arial"/>
                <w:b/>
                <w:bCs/>
                <w:i/>
                <w:iCs/>
                <w:color w:val="000000"/>
                <w:sz w:val="24"/>
                <w:szCs w:val="24"/>
                <w:lang w:val="en-US"/>
              </w:rPr>
            </w:pPr>
          </w:p>
        </w:tc>
      </w:tr>
      <w:tr w:rsidR="00562116" w14:paraId="508AE836" w14:textId="77777777" w:rsidTr="000401E0">
        <w:tblPrEx>
          <w:tblCellMar>
            <w:top w:w="0" w:type="dxa"/>
            <w:bottom w:w="0" w:type="dxa"/>
          </w:tblCellMar>
        </w:tblPrEx>
        <w:trPr>
          <w:trHeight w:val="626"/>
        </w:trPr>
        <w:tc>
          <w:tcPr>
            <w:tcW w:w="2873" w:type="dxa"/>
          </w:tcPr>
          <w:p w14:paraId="158383E4"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 xml:space="preserve">1: Great Lakes Trading for Peace </w:t>
            </w:r>
          </w:p>
        </w:tc>
        <w:tc>
          <w:tcPr>
            <w:tcW w:w="2520" w:type="dxa"/>
          </w:tcPr>
          <w:p w14:paraId="71677F91"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KPMG (Zambia)</w:t>
            </w:r>
          </w:p>
        </w:tc>
        <w:tc>
          <w:tcPr>
            <w:tcW w:w="3588" w:type="dxa"/>
          </w:tcPr>
          <w:p w14:paraId="2A95D14B"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KPMG (Zambia)</w:t>
            </w:r>
          </w:p>
        </w:tc>
      </w:tr>
      <w:tr w:rsidR="00562116" w14:paraId="4C816956" w14:textId="77777777" w:rsidTr="000401E0">
        <w:tblPrEx>
          <w:tblCellMar>
            <w:top w:w="0" w:type="dxa"/>
            <w:bottom w:w="0" w:type="dxa"/>
          </w:tblCellMar>
        </w:tblPrEx>
        <w:trPr>
          <w:trHeight w:val="305"/>
        </w:trPr>
        <w:tc>
          <w:tcPr>
            <w:tcW w:w="2873" w:type="dxa"/>
            <w:shd w:val="solid" w:color="C0C0C0" w:fill="auto"/>
          </w:tcPr>
          <w:p w14:paraId="7BFB41C5" w14:textId="77777777" w:rsidR="00562116" w:rsidRDefault="00562116" w:rsidP="000401E0">
            <w:pPr>
              <w:autoSpaceDE w:val="0"/>
              <w:autoSpaceDN w:val="0"/>
              <w:adjustRightInd w:val="0"/>
              <w:rPr>
                <w:rFonts w:ascii="Arial" w:hAnsi="Arial" w:cs="Arial"/>
                <w:b/>
                <w:bCs/>
                <w:i/>
                <w:iCs/>
                <w:color w:val="000000"/>
                <w:sz w:val="24"/>
                <w:szCs w:val="24"/>
                <w:lang w:val="en-US"/>
              </w:rPr>
            </w:pPr>
            <w:r>
              <w:rPr>
                <w:rFonts w:ascii="Arial" w:hAnsi="Arial" w:cs="Arial"/>
                <w:b/>
                <w:bCs/>
                <w:i/>
                <w:iCs/>
                <w:color w:val="000000"/>
                <w:sz w:val="24"/>
                <w:szCs w:val="24"/>
                <w:lang w:val="en-US"/>
              </w:rPr>
              <w:t>USAID</w:t>
            </w:r>
          </w:p>
        </w:tc>
        <w:tc>
          <w:tcPr>
            <w:tcW w:w="2520" w:type="dxa"/>
            <w:shd w:val="solid" w:color="C0C0C0" w:fill="auto"/>
          </w:tcPr>
          <w:p w14:paraId="711720D1" w14:textId="77777777" w:rsidR="00562116" w:rsidRDefault="00562116" w:rsidP="000401E0">
            <w:pPr>
              <w:autoSpaceDE w:val="0"/>
              <w:autoSpaceDN w:val="0"/>
              <w:adjustRightInd w:val="0"/>
              <w:rPr>
                <w:rFonts w:ascii="Arial" w:hAnsi="Arial" w:cs="Arial"/>
                <w:b/>
                <w:bCs/>
                <w:i/>
                <w:iCs/>
                <w:color w:val="000000"/>
                <w:sz w:val="24"/>
                <w:szCs w:val="24"/>
                <w:lang w:val="en-US"/>
              </w:rPr>
            </w:pPr>
          </w:p>
        </w:tc>
        <w:tc>
          <w:tcPr>
            <w:tcW w:w="3588" w:type="dxa"/>
            <w:shd w:val="solid" w:color="C0C0C0" w:fill="auto"/>
          </w:tcPr>
          <w:p w14:paraId="1F52F4AE" w14:textId="77777777" w:rsidR="00562116" w:rsidRDefault="00562116" w:rsidP="000401E0">
            <w:pPr>
              <w:autoSpaceDE w:val="0"/>
              <w:autoSpaceDN w:val="0"/>
              <w:adjustRightInd w:val="0"/>
              <w:rPr>
                <w:rFonts w:ascii="Arial" w:hAnsi="Arial" w:cs="Arial"/>
                <w:b/>
                <w:bCs/>
                <w:i/>
                <w:iCs/>
                <w:color w:val="000000"/>
                <w:sz w:val="24"/>
                <w:szCs w:val="24"/>
                <w:lang w:val="en-US"/>
              </w:rPr>
            </w:pPr>
          </w:p>
        </w:tc>
      </w:tr>
      <w:tr w:rsidR="00562116" w14:paraId="5E9A13BE" w14:textId="77777777" w:rsidTr="000401E0">
        <w:tblPrEx>
          <w:tblCellMar>
            <w:top w:w="0" w:type="dxa"/>
            <w:bottom w:w="0" w:type="dxa"/>
          </w:tblCellMar>
        </w:tblPrEx>
        <w:trPr>
          <w:trHeight w:val="634"/>
        </w:trPr>
        <w:tc>
          <w:tcPr>
            <w:tcW w:w="2873" w:type="dxa"/>
          </w:tcPr>
          <w:p w14:paraId="1BB2F5F1"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 xml:space="preserve">1: IPAA </w:t>
            </w:r>
          </w:p>
        </w:tc>
        <w:tc>
          <w:tcPr>
            <w:tcW w:w="2520" w:type="dxa"/>
          </w:tcPr>
          <w:p w14:paraId="3B91CF08"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Period extended to 2018</w:t>
            </w:r>
          </w:p>
        </w:tc>
        <w:tc>
          <w:tcPr>
            <w:tcW w:w="3588" w:type="dxa"/>
          </w:tcPr>
          <w:p w14:paraId="63C02D63" w14:textId="77777777" w:rsidR="00562116" w:rsidRDefault="00562116" w:rsidP="000401E0">
            <w:pPr>
              <w:autoSpaceDE w:val="0"/>
              <w:autoSpaceDN w:val="0"/>
              <w:adjustRightInd w:val="0"/>
              <w:rPr>
                <w:rFonts w:ascii="Arial" w:hAnsi="Arial" w:cs="Arial"/>
                <w:i/>
                <w:iCs/>
                <w:color w:val="000000"/>
                <w:sz w:val="24"/>
                <w:szCs w:val="24"/>
                <w:lang w:val="en-US"/>
              </w:rPr>
            </w:pPr>
            <w:r>
              <w:rPr>
                <w:rFonts w:ascii="Arial" w:hAnsi="Arial" w:cs="Arial"/>
                <w:i/>
                <w:iCs/>
                <w:color w:val="000000"/>
                <w:sz w:val="24"/>
                <w:szCs w:val="24"/>
                <w:lang w:val="en-US"/>
              </w:rPr>
              <w:t>n/a</w:t>
            </w:r>
          </w:p>
        </w:tc>
      </w:tr>
    </w:tbl>
    <w:p w14:paraId="194496FF" w14:textId="776167BC" w:rsidR="0083087B" w:rsidRDefault="0083087B" w:rsidP="00D410D9">
      <w:pPr>
        <w:tabs>
          <w:tab w:val="left" w:pos="720"/>
        </w:tabs>
        <w:contextualSpacing/>
        <w:jc w:val="both"/>
        <w:rPr>
          <w:rFonts w:ascii="Arial" w:hAnsi="Arial" w:cs="Arial"/>
          <w:b/>
          <w:sz w:val="24"/>
          <w:szCs w:val="24"/>
        </w:rPr>
      </w:pPr>
    </w:p>
    <w:p w14:paraId="6ED592DA" w14:textId="77777777" w:rsidR="0083087B" w:rsidRDefault="0083087B" w:rsidP="00D410D9">
      <w:pPr>
        <w:tabs>
          <w:tab w:val="left" w:pos="720"/>
        </w:tabs>
        <w:contextualSpacing/>
        <w:jc w:val="both"/>
        <w:rPr>
          <w:rFonts w:ascii="Arial" w:hAnsi="Arial" w:cs="Arial"/>
          <w:b/>
          <w:sz w:val="24"/>
          <w:szCs w:val="24"/>
        </w:rPr>
      </w:pPr>
    </w:p>
    <w:p w14:paraId="6EF7F117" w14:textId="6554DD6F" w:rsidR="00554AB3" w:rsidRDefault="00554AB3" w:rsidP="00D410D9">
      <w:pPr>
        <w:tabs>
          <w:tab w:val="left" w:pos="720"/>
        </w:tabs>
        <w:contextualSpacing/>
        <w:jc w:val="both"/>
        <w:rPr>
          <w:rFonts w:ascii="Arial" w:hAnsi="Arial" w:cs="Arial"/>
          <w:b/>
          <w:sz w:val="24"/>
          <w:szCs w:val="24"/>
        </w:rPr>
      </w:pPr>
      <w:r>
        <w:rPr>
          <w:rFonts w:ascii="Arial" w:hAnsi="Arial" w:cs="Arial"/>
          <w:b/>
          <w:sz w:val="24"/>
          <w:szCs w:val="24"/>
        </w:rPr>
        <w:t>Auditors Report</w:t>
      </w:r>
    </w:p>
    <w:p w14:paraId="58B6BA84" w14:textId="73B67B5B" w:rsidR="00554AB3" w:rsidRPr="00A642D6" w:rsidRDefault="00D65698" w:rsidP="00D410D9">
      <w:pPr>
        <w:pStyle w:val="ListParagraph"/>
        <w:numPr>
          <w:ilvl w:val="0"/>
          <w:numId w:val="1"/>
        </w:numPr>
        <w:tabs>
          <w:tab w:val="left" w:pos="720"/>
        </w:tabs>
        <w:ind w:left="0" w:firstLine="0"/>
        <w:contextualSpacing/>
        <w:jc w:val="both"/>
        <w:rPr>
          <w:rFonts w:ascii="Arial" w:hAnsi="Arial" w:cs="Arial"/>
          <w:sz w:val="24"/>
          <w:szCs w:val="24"/>
        </w:rPr>
      </w:pPr>
      <w:r w:rsidRPr="00A642D6">
        <w:rPr>
          <w:rFonts w:ascii="Arial" w:hAnsi="Arial" w:cs="Arial"/>
          <w:sz w:val="24"/>
          <w:szCs w:val="24"/>
        </w:rPr>
        <w:t xml:space="preserve">The </w:t>
      </w:r>
      <w:r w:rsidR="00A642D6" w:rsidRPr="00A642D6">
        <w:rPr>
          <w:rFonts w:ascii="Arial" w:hAnsi="Arial" w:cs="Arial"/>
          <w:sz w:val="24"/>
          <w:szCs w:val="24"/>
        </w:rPr>
        <w:t>Sub Committee on Audit and Budgetary matters is invited to</w:t>
      </w:r>
      <w:r w:rsidR="00A642D6">
        <w:rPr>
          <w:rFonts w:ascii="Arial" w:hAnsi="Arial" w:cs="Arial"/>
          <w:sz w:val="24"/>
          <w:szCs w:val="24"/>
        </w:rPr>
        <w:t xml:space="preserve"> note the unqualified audit opinion issued by the auditors on the grant funded projects indicated in the above table.</w:t>
      </w:r>
    </w:p>
    <w:p w14:paraId="198500A9" w14:textId="5D75121C" w:rsidR="00554AB3" w:rsidRDefault="00554AB3" w:rsidP="00D410D9">
      <w:pPr>
        <w:tabs>
          <w:tab w:val="left" w:pos="720"/>
        </w:tabs>
        <w:contextualSpacing/>
        <w:jc w:val="both"/>
        <w:rPr>
          <w:rFonts w:ascii="Arial" w:hAnsi="Arial" w:cs="Arial"/>
          <w:b/>
          <w:sz w:val="24"/>
          <w:szCs w:val="24"/>
        </w:rPr>
      </w:pPr>
    </w:p>
    <w:p w14:paraId="56F088B3" w14:textId="1B4BC45B" w:rsidR="00554AB3" w:rsidRDefault="00554AB3" w:rsidP="00D410D9">
      <w:pPr>
        <w:tabs>
          <w:tab w:val="left" w:pos="720"/>
        </w:tabs>
        <w:contextualSpacing/>
        <w:jc w:val="both"/>
        <w:rPr>
          <w:rFonts w:ascii="Arial" w:hAnsi="Arial" w:cs="Arial"/>
          <w:b/>
          <w:sz w:val="24"/>
          <w:szCs w:val="24"/>
        </w:rPr>
      </w:pPr>
      <w:r>
        <w:rPr>
          <w:rFonts w:ascii="Arial" w:hAnsi="Arial" w:cs="Arial"/>
          <w:b/>
          <w:sz w:val="24"/>
          <w:szCs w:val="24"/>
        </w:rPr>
        <w:t>Financial statements</w:t>
      </w:r>
    </w:p>
    <w:p w14:paraId="5DAF7046" w14:textId="183FE09F" w:rsidR="00A642D6" w:rsidRPr="00A642D6" w:rsidRDefault="00A642D6" w:rsidP="00A642D6">
      <w:pPr>
        <w:pStyle w:val="ListParagraph"/>
        <w:numPr>
          <w:ilvl w:val="0"/>
          <w:numId w:val="1"/>
        </w:numPr>
        <w:tabs>
          <w:tab w:val="left" w:pos="720"/>
        </w:tabs>
        <w:ind w:left="0" w:firstLine="0"/>
        <w:contextualSpacing/>
        <w:jc w:val="both"/>
        <w:rPr>
          <w:rFonts w:ascii="Arial" w:hAnsi="Arial" w:cs="Arial"/>
          <w:sz w:val="24"/>
          <w:szCs w:val="24"/>
        </w:rPr>
      </w:pPr>
      <w:r w:rsidRPr="00A642D6">
        <w:rPr>
          <w:rFonts w:ascii="Arial" w:hAnsi="Arial" w:cs="Arial"/>
          <w:sz w:val="24"/>
          <w:szCs w:val="24"/>
        </w:rPr>
        <w:t xml:space="preserve">The Sub Committee on Audit and Budgetary matters </w:t>
      </w:r>
      <w:r>
        <w:rPr>
          <w:rFonts w:ascii="Arial" w:hAnsi="Arial" w:cs="Arial"/>
          <w:sz w:val="24"/>
          <w:szCs w:val="24"/>
        </w:rPr>
        <w:t xml:space="preserve">received a Report on the results, both narrative and financial, achieved on the </w:t>
      </w:r>
      <w:r>
        <w:rPr>
          <w:rFonts w:ascii="Arial" w:hAnsi="Arial" w:cs="Arial"/>
          <w:sz w:val="24"/>
          <w:szCs w:val="24"/>
        </w:rPr>
        <w:t>grant funded projects</w:t>
      </w:r>
      <w:r>
        <w:rPr>
          <w:rFonts w:ascii="Arial" w:hAnsi="Arial" w:cs="Arial"/>
          <w:sz w:val="24"/>
          <w:szCs w:val="24"/>
        </w:rPr>
        <w:t>.</w:t>
      </w:r>
    </w:p>
    <w:p w14:paraId="123D61F3" w14:textId="77777777" w:rsidR="00A642D6" w:rsidRDefault="00A642D6" w:rsidP="00D410D9">
      <w:pPr>
        <w:tabs>
          <w:tab w:val="left" w:pos="720"/>
        </w:tabs>
        <w:contextualSpacing/>
        <w:jc w:val="both"/>
        <w:rPr>
          <w:rFonts w:ascii="Arial" w:hAnsi="Arial" w:cs="Arial"/>
          <w:b/>
          <w:sz w:val="24"/>
          <w:szCs w:val="24"/>
        </w:rPr>
      </w:pPr>
    </w:p>
    <w:p w14:paraId="5FAC8C0E" w14:textId="41848CED" w:rsidR="00554AB3" w:rsidRDefault="00554AB3" w:rsidP="00D410D9">
      <w:pPr>
        <w:tabs>
          <w:tab w:val="left" w:pos="720"/>
        </w:tabs>
        <w:contextualSpacing/>
        <w:jc w:val="both"/>
        <w:rPr>
          <w:rFonts w:ascii="Arial" w:hAnsi="Arial" w:cs="Arial"/>
          <w:b/>
          <w:sz w:val="24"/>
          <w:szCs w:val="24"/>
        </w:rPr>
      </w:pPr>
      <w:bookmarkStart w:id="0" w:name="_GoBack"/>
      <w:bookmarkEnd w:id="0"/>
      <w:r>
        <w:rPr>
          <w:rFonts w:ascii="Arial" w:hAnsi="Arial" w:cs="Arial"/>
          <w:b/>
          <w:sz w:val="24"/>
          <w:szCs w:val="24"/>
        </w:rPr>
        <w:t>Management letter</w:t>
      </w:r>
    </w:p>
    <w:p w14:paraId="5363995D" w14:textId="03AE5085" w:rsidR="00A642D6" w:rsidRPr="00A642D6" w:rsidRDefault="00A642D6" w:rsidP="00A642D6">
      <w:pPr>
        <w:pStyle w:val="ListParagraph"/>
        <w:numPr>
          <w:ilvl w:val="0"/>
          <w:numId w:val="1"/>
        </w:numPr>
        <w:tabs>
          <w:tab w:val="left" w:pos="720"/>
        </w:tabs>
        <w:ind w:left="0" w:firstLine="0"/>
        <w:contextualSpacing/>
        <w:jc w:val="both"/>
        <w:rPr>
          <w:rFonts w:ascii="Arial" w:hAnsi="Arial" w:cs="Arial"/>
          <w:sz w:val="24"/>
          <w:szCs w:val="24"/>
        </w:rPr>
      </w:pPr>
      <w:r w:rsidRPr="00A642D6">
        <w:rPr>
          <w:rFonts w:ascii="Arial" w:hAnsi="Arial" w:cs="Arial"/>
          <w:sz w:val="24"/>
          <w:szCs w:val="24"/>
        </w:rPr>
        <w:t>The Sub Committee on Audit and Budgetary matters is invited to</w:t>
      </w:r>
      <w:r>
        <w:rPr>
          <w:rFonts w:ascii="Arial" w:hAnsi="Arial" w:cs="Arial"/>
          <w:sz w:val="24"/>
          <w:szCs w:val="24"/>
        </w:rPr>
        <w:t xml:space="preserve"> note </w:t>
      </w:r>
      <w:r>
        <w:rPr>
          <w:rFonts w:ascii="Arial" w:hAnsi="Arial" w:cs="Arial"/>
          <w:sz w:val="24"/>
          <w:szCs w:val="24"/>
        </w:rPr>
        <w:t>the actions that the Secretariat will implement to address the issues raised by the auditors in the management letter.</w:t>
      </w:r>
    </w:p>
    <w:p w14:paraId="4B816854" w14:textId="069C63D0" w:rsidR="00554AB3" w:rsidRPr="00554AB3" w:rsidRDefault="00554AB3" w:rsidP="00396C71">
      <w:pPr>
        <w:pStyle w:val="ListParagraph"/>
        <w:tabs>
          <w:tab w:val="left" w:pos="720"/>
        </w:tabs>
        <w:ind w:left="0"/>
        <w:contextualSpacing/>
        <w:jc w:val="both"/>
        <w:rPr>
          <w:rFonts w:ascii="Arial" w:hAnsi="Arial" w:cs="Arial"/>
          <w:i/>
          <w:sz w:val="24"/>
          <w:szCs w:val="24"/>
        </w:rPr>
      </w:pPr>
    </w:p>
    <w:p w14:paraId="5DF32FB2" w14:textId="4BB3414E" w:rsidR="00554AB3" w:rsidRDefault="00554AB3" w:rsidP="00D410D9">
      <w:pPr>
        <w:tabs>
          <w:tab w:val="left" w:pos="720"/>
        </w:tabs>
        <w:contextualSpacing/>
        <w:jc w:val="both"/>
        <w:rPr>
          <w:rFonts w:ascii="Arial" w:hAnsi="Arial" w:cs="Arial"/>
          <w:b/>
          <w:sz w:val="24"/>
          <w:szCs w:val="24"/>
        </w:rPr>
      </w:pPr>
      <w:r>
        <w:rPr>
          <w:rFonts w:ascii="Arial" w:hAnsi="Arial" w:cs="Arial"/>
          <w:b/>
          <w:sz w:val="24"/>
          <w:szCs w:val="24"/>
        </w:rPr>
        <w:t xml:space="preserve">Discussion </w:t>
      </w:r>
    </w:p>
    <w:p w14:paraId="12ECA984" w14:textId="01E0D3B2" w:rsidR="00A642D6" w:rsidRPr="00A642D6" w:rsidRDefault="00A642D6" w:rsidP="00A642D6">
      <w:pPr>
        <w:pStyle w:val="ListParagraph"/>
        <w:numPr>
          <w:ilvl w:val="0"/>
          <w:numId w:val="1"/>
        </w:numPr>
        <w:tabs>
          <w:tab w:val="left" w:pos="720"/>
        </w:tabs>
        <w:ind w:left="0" w:firstLine="0"/>
        <w:contextualSpacing/>
        <w:jc w:val="both"/>
        <w:rPr>
          <w:rFonts w:ascii="Arial" w:hAnsi="Arial" w:cs="Arial"/>
          <w:sz w:val="24"/>
          <w:szCs w:val="24"/>
        </w:rPr>
      </w:pPr>
      <w:r w:rsidRPr="00A642D6">
        <w:rPr>
          <w:rFonts w:ascii="Arial" w:hAnsi="Arial" w:cs="Arial"/>
          <w:sz w:val="24"/>
          <w:szCs w:val="24"/>
        </w:rPr>
        <w:t xml:space="preserve">The Sub Committee on Audit and Budgetary matters </w:t>
      </w:r>
      <w:r>
        <w:rPr>
          <w:rFonts w:ascii="Arial" w:hAnsi="Arial" w:cs="Arial"/>
          <w:sz w:val="24"/>
          <w:szCs w:val="24"/>
        </w:rPr>
        <w:t xml:space="preserve">noted the </w:t>
      </w:r>
      <w:r>
        <w:rPr>
          <w:rFonts w:ascii="Arial" w:hAnsi="Arial" w:cs="Arial"/>
          <w:sz w:val="24"/>
          <w:szCs w:val="24"/>
        </w:rPr>
        <w:t>unqualified audit opinion issued by the auditors on the grant funded projects</w:t>
      </w:r>
      <w:r>
        <w:rPr>
          <w:rFonts w:ascii="Arial" w:hAnsi="Arial" w:cs="Arial"/>
          <w:sz w:val="24"/>
          <w:szCs w:val="24"/>
        </w:rPr>
        <w:t xml:space="preserve">, as well as actions being implemented by </w:t>
      </w:r>
      <w:r>
        <w:rPr>
          <w:rFonts w:ascii="Arial" w:hAnsi="Arial" w:cs="Arial"/>
          <w:sz w:val="24"/>
          <w:szCs w:val="24"/>
        </w:rPr>
        <w:t>the Secretariat to address the issues raised in the management letter.</w:t>
      </w:r>
    </w:p>
    <w:p w14:paraId="24F173C6" w14:textId="77777777" w:rsidR="00554AB3" w:rsidRPr="00554AB3" w:rsidRDefault="00554AB3" w:rsidP="00D410D9">
      <w:pPr>
        <w:tabs>
          <w:tab w:val="left" w:pos="720"/>
        </w:tabs>
        <w:contextualSpacing/>
        <w:jc w:val="both"/>
        <w:rPr>
          <w:rFonts w:ascii="Arial" w:hAnsi="Arial" w:cs="Arial"/>
          <w:b/>
          <w:sz w:val="24"/>
          <w:szCs w:val="24"/>
        </w:rPr>
      </w:pPr>
    </w:p>
    <w:p w14:paraId="3ACC1A1A" w14:textId="1DCE9248" w:rsidR="008A35A9" w:rsidRPr="00B069BE" w:rsidRDefault="008A35A9" w:rsidP="00D410D9">
      <w:pPr>
        <w:contextualSpacing/>
        <w:jc w:val="both"/>
        <w:rPr>
          <w:rFonts w:ascii="Arial" w:hAnsi="Arial" w:cs="Arial"/>
          <w:b/>
          <w:sz w:val="24"/>
          <w:szCs w:val="24"/>
        </w:rPr>
      </w:pPr>
      <w:r>
        <w:rPr>
          <w:rFonts w:ascii="Arial" w:hAnsi="Arial" w:cs="Arial"/>
          <w:b/>
          <w:sz w:val="24"/>
          <w:szCs w:val="24"/>
        </w:rPr>
        <w:t>Recommendations</w:t>
      </w:r>
    </w:p>
    <w:p w14:paraId="2D052016" w14:textId="5FD73B19" w:rsidR="00A642D6" w:rsidRPr="00A642D6" w:rsidRDefault="00A642D6" w:rsidP="00A642D6">
      <w:pPr>
        <w:pStyle w:val="ListParagraph"/>
        <w:numPr>
          <w:ilvl w:val="0"/>
          <w:numId w:val="1"/>
        </w:numPr>
        <w:tabs>
          <w:tab w:val="left" w:pos="720"/>
        </w:tabs>
        <w:ind w:left="0" w:firstLine="0"/>
        <w:contextualSpacing/>
        <w:jc w:val="both"/>
        <w:rPr>
          <w:rFonts w:ascii="Arial" w:hAnsi="Arial" w:cs="Arial"/>
          <w:b/>
          <w:sz w:val="24"/>
          <w:szCs w:val="24"/>
        </w:rPr>
      </w:pPr>
      <w:r w:rsidRPr="00A642D6">
        <w:rPr>
          <w:rFonts w:ascii="Arial" w:hAnsi="Arial" w:cs="Arial"/>
          <w:b/>
          <w:sz w:val="24"/>
          <w:szCs w:val="24"/>
        </w:rPr>
        <w:t xml:space="preserve">The Sub Committee on Audit and Budgetary matters </w:t>
      </w:r>
      <w:r w:rsidRPr="00A642D6">
        <w:rPr>
          <w:rFonts w:ascii="Arial" w:hAnsi="Arial" w:cs="Arial"/>
          <w:b/>
          <w:sz w:val="24"/>
          <w:szCs w:val="24"/>
        </w:rPr>
        <w:t xml:space="preserve">recommended </w:t>
      </w:r>
      <w:r w:rsidRPr="00A642D6">
        <w:rPr>
          <w:rFonts w:ascii="Arial" w:hAnsi="Arial" w:cs="Arial"/>
          <w:b/>
          <w:sz w:val="24"/>
          <w:szCs w:val="24"/>
        </w:rPr>
        <w:t>the</w:t>
      </w:r>
      <w:r w:rsidRPr="00A642D6">
        <w:rPr>
          <w:rFonts w:ascii="Arial" w:hAnsi="Arial" w:cs="Arial"/>
          <w:b/>
          <w:sz w:val="24"/>
          <w:szCs w:val="24"/>
        </w:rPr>
        <w:t xml:space="preserve"> adoption of the 201</w:t>
      </w:r>
      <w:r w:rsidR="0083087B">
        <w:rPr>
          <w:rFonts w:ascii="Arial" w:hAnsi="Arial" w:cs="Arial"/>
          <w:b/>
          <w:sz w:val="24"/>
          <w:szCs w:val="24"/>
        </w:rPr>
        <w:t>7</w:t>
      </w:r>
      <w:r w:rsidRPr="00A642D6">
        <w:rPr>
          <w:rFonts w:ascii="Arial" w:hAnsi="Arial" w:cs="Arial"/>
          <w:b/>
          <w:sz w:val="24"/>
          <w:szCs w:val="24"/>
        </w:rPr>
        <w:t xml:space="preserve"> audited financial statements on </w:t>
      </w:r>
      <w:r w:rsidRPr="00A642D6">
        <w:rPr>
          <w:rFonts w:ascii="Arial" w:hAnsi="Arial" w:cs="Arial"/>
          <w:b/>
          <w:sz w:val="24"/>
          <w:szCs w:val="24"/>
        </w:rPr>
        <w:t>grant funded projects, as well as actions being implemented by the Secretariat to address the issues raised in the management letter.</w:t>
      </w:r>
    </w:p>
    <w:p w14:paraId="55660CB1" w14:textId="77777777" w:rsidR="008A35A9" w:rsidRPr="005B3AF8" w:rsidRDefault="008A35A9" w:rsidP="00D410D9">
      <w:pPr>
        <w:pStyle w:val="ListParagraph"/>
        <w:tabs>
          <w:tab w:val="left" w:pos="720"/>
        </w:tabs>
        <w:ind w:left="1440"/>
        <w:contextualSpacing/>
        <w:jc w:val="both"/>
        <w:rPr>
          <w:rFonts w:ascii="Arial" w:hAnsi="Arial" w:cs="Arial"/>
          <w:sz w:val="24"/>
          <w:szCs w:val="24"/>
        </w:rPr>
      </w:pPr>
    </w:p>
    <w:sectPr w:rsidR="008A35A9" w:rsidRPr="005B3AF8" w:rsidSect="002431B5">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4E35B" w14:textId="77777777" w:rsidR="003A4AF0" w:rsidRDefault="003A4AF0" w:rsidP="008E7CE9">
      <w:r>
        <w:separator/>
      </w:r>
    </w:p>
  </w:endnote>
  <w:endnote w:type="continuationSeparator" w:id="0">
    <w:p w14:paraId="7D2E3C4F" w14:textId="77777777" w:rsidR="003A4AF0" w:rsidRDefault="003A4AF0" w:rsidP="008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Calibri"/>
    <w:charset w:val="00"/>
    <w:family w:val="auto"/>
    <w:pitch w:val="variable"/>
    <w:sig w:usb0="A00002AF" w:usb1="5000206A" w:usb2="00000000" w:usb3="00000000" w:csb0="0000009F" w:csb1="00000000"/>
  </w:font>
  <w:font w:name="EYInterstate Light 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94E6A" w14:textId="77777777" w:rsidR="003A4AF0" w:rsidRDefault="003A4AF0" w:rsidP="008E7CE9">
      <w:r>
        <w:separator/>
      </w:r>
    </w:p>
  </w:footnote>
  <w:footnote w:type="continuationSeparator" w:id="0">
    <w:p w14:paraId="2A0A03DA" w14:textId="77777777" w:rsidR="003A4AF0" w:rsidRDefault="003A4AF0" w:rsidP="008E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C54B" w14:textId="77777777" w:rsidR="00B9374F" w:rsidRPr="009C03BA" w:rsidRDefault="00B9374F" w:rsidP="002431B5">
    <w:pPr>
      <w:pStyle w:val="Header"/>
      <w:jc w:val="right"/>
    </w:pPr>
    <w:r>
      <w:t>CS/AUDIT/AG/II/5</w:t>
    </w:r>
  </w:p>
  <w:p w14:paraId="020EC144" w14:textId="77777777" w:rsidR="00B9374F" w:rsidRDefault="00B9374F" w:rsidP="002431B5">
    <w:pPr>
      <w:pStyle w:val="Header"/>
      <w:jc w:val="right"/>
      <w:rPr>
        <w:noProof/>
      </w:rPr>
    </w:pPr>
    <w:r w:rsidRPr="00AE6219">
      <w:rPr>
        <w:lang w:val="fr-FR"/>
      </w:rPr>
      <w:t xml:space="preserve">Page </w:t>
    </w:r>
    <w:sdt>
      <w:sdtPr>
        <w:id w:val="1117640523"/>
        <w:docPartObj>
          <w:docPartGallery w:val="Page Numbers (Top of Page)"/>
          <w:docPartUnique/>
        </w:docPartObj>
      </w:sdtPr>
      <w:sdtEndPr>
        <w:rPr>
          <w:noProof/>
        </w:rPr>
      </w:sdtEndPr>
      <w:sdtContent>
        <w:r>
          <w:fldChar w:fldCharType="begin"/>
        </w:r>
        <w:r w:rsidRPr="00883A5A">
          <w:rPr>
            <w:lang w:val="fr-FR"/>
          </w:rPr>
          <w:instrText xml:space="preserve"> PAGE   \* MERGEFORMAT </w:instrText>
        </w:r>
        <w:r>
          <w:fldChar w:fldCharType="separate"/>
        </w:r>
        <w:r w:rsidR="00C274AA" w:rsidRPr="00C274AA">
          <w:rPr>
            <w:noProof/>
          </w:rPr>
          <w:t>7</w:t>
        </w:r>
        <w:r>
          <w:rPr>
            <w:noProof/>
          </w:rPr>
          <w:fldChar w:fldCharType="end"/>
        </w:r>
      </w:sdtContent>
    </w:sdt>
  </w:p>
  <w:p w14:paraId="0B18FA37" w14:textId="77777777" w:rsidR="00B9374F" w:rsidRPr="00DF4D21" w:rsidRDefault="00B9374F" w:rsidP="00DF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1B68" w14:textId="77777777" w:rsidR="00B069BE" w:rsidRDefault="00B06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1D74"/>
    <w:multiLevelType w:val="hybridMultilevel"/>
    <w:tmpl w:val="FEBC3530"/>
    <w:lvl w:ilvl="0" w:tplc="0F72EE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E7E76"/>
    <w:multiLevelType w:val="hybridMultilevel"/>
    <w:tmpl w:val="AB98510E"/>
    <w:lvl w:ilvl="0" w:tplc="08E485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FC7572"/>
    <w:multiLevelType w:val="hybridMultilevel"/>
    <w:tmpl w:val="731C8906"/>
    <w:lvl w:ilvl="0" w:tplc="3FFE65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5D12EE"/>
    <w:multiLevelType w:val="hybridMultilevel"/>
    <w:tmpl w:val="ACFE1C5A"/>
    <w:lvl w:ilvl="0" w:tplc="3C90E4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3910EC"/>
    <w:multiLevelType w:val="hybridMultilevel"/>
    <w:tmpl w:val="A89C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70A4F"/>
    <w:multiLevelType w:val="hybridMultilevel"/>
    <w:tmpl w:val="3A52A884"/>
    <w:lvl w:ilvl="0" w:tplc="DFF42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E"/>
    <w:rsid w:val="00002145"/>
    <w:rsid w:val="000032A5"/>
    <w:rsid w:val="00010F6D"/>
    <w:rsid w:val="00012701"/>
    <w:rsid w:val="00021397"/>
    <w:rsid w:val="00030584"/>
    <w:rsid w:val="000317C9"/>
    <w:rsid w:val="00031AF5"/>
    <w:rsid w:val="00031C44"/>
    <w:rsid w:val="00034478"/>
    <w:rsid w:val="0003747F"/>
    <w:rsid w:val="00047EC6"/>
    <w:rsid w:val="00051487"/>
    <w:rsid w:val="00051FC7"/>
    <w:rsid w:val="000560C6"/>
    <w:rsid w:val="00056750"/>
    <w:rsid w:val="000618ED"/>
    <w:rsid w:val="00062F73"/>
    <w:rsid w:val="00067746"/>
    <w:rsid w:val="00070DF0"/>
    <w:rsid w:val="00074871"/>
    <w:rsid w:val="00076E71"/>
    <w:rsid w:val="000813FB"/>
    <w:rsid w:val="00082BCA"/>
    <w:rsid w:val="00085501"/>
    <w:rsid w:val="00087BB8"/>
    <w:rsid w:val="00090D47"/>
    <w:rsid w:val="00092045"/>
    <w:rsid w:val="00092E72"/>
    <w:rsid w:val="000932C8"/>
    <w:rsid w:val="000946D7"/>
    <w:rsid w:val="00097C14"/>
    <w:rsid w:val="000A0980"/>
    <w:rsid w:val="000A155C"/>
    <w:rsid w:val="000A1989"/>
    <w:rsid w:val="000A5503"/>
    <w:rsid w:val="000A55DA"/>
    <w:rsid w:val="000A6258"/>
    <w:rsid w:val="000A76D6"/>
    <w:rsid w:val="000B2273"/>
    <w:rsid w:val="000B4205"/>
    <w:rsid w:val="000B4AFC"/>
    <w:rsid w:val="000C03E0"/>
    <w:rsid w:val="000C11F6"/>
    <w:rsid w:val="000C1712"/>
    <w:rsid w:val="000C41AD"/>
    <w:rsid w:val="000C51F6"/>
    <w:rsid w:val="000C6734"/>
    <w:rsid w:val="000C7CE8"/>
    <w:rsid w:val="000D487B"/>
    <w:rsid w:val="000D5D1A"/>
    <w:rsid w:val="000D6D3D"/>
    <w:rsid w:val="000D77FB"/>
    <w:rsid w:val="000D7D2F"/>
    <w:rsid w:val="000D7E7F"/>
    <w:rsid w:val="000D7ED8"/>
    <w:rsid w:val="000E0BF4"/>
    <w:rsid w:val="000E1BCF"/>
    <w:rsid w:val="000E21DF"/>
    <w:rsid w:val="000E2E32"/>
    <w:rsid w:val="000E59DD"/>
    <w:rsid w:val="000F13EE"/>
    <w:rsid w:val="000F4950"/>
    <w:rsid w:val="000F4CE4"/>
    <w:rsid w:val="000F655C"/>
    <w:rsid w:val="00112CCD"/>
    <w:rsid w:val="00113362"/>
    <w:rsid w:val="00113A34"/>
    <w:rsid w:val="00114651"/>
    <w:rsid w:val="00114D51"/>
    <w:rsid w:val="001205F5"/>
    <w:rsid w:val="00123373"/>
    <w:rsid w:val="00123438"/>
    <w:rsid w:val="00125B1D"/>
    <w:rsid w:val="00125BA5"/>
    <w:rsid w:val="0012662B"/>
    <w:rsid w:val="00126889"/>
    <w:rsid w:val="0013189F"/>
    <w:rsid w:val="0013448B"/>
    <w:rsid w:val="00135A7D"/>
    <w:rsid w:val="001361BB"/>
    <w:rsid w:val="00137C7E"/>
    <w:rsid w:val="0014411E"/>
    <w:rsid w:val="00144912"/>
    <w:rsid w:val="001460A8"/>
    <w:rsid w:val="00152832"/>
    <w:rsid w:val="00156162"/>
    <w:rsid w:val="00161140"/>
    <w:rsid w:val="00162211"/>
    <w:rsid w:val="00166F78"/>
    <w:rsid w:val="0016714E"/>
    <w:rsid w:val="0016730E"/>
    <w:rsid w:val="00172A1C"/>
    <w:rsid w:val="00174A8B"/>
    <w:rsid w:val="001825CE"/>
    <w:rsid w:val="001837DC"/>
    <w:rsid w:val="00191B1C"/>
    <w:rsid w:val="0019260A"/>
    <w:rsid w:val="00192D02"/>
    <w:rsid w:val="00194AF4"/>
    <w:rsid w:val="001A0605"/>
    <w:rsid w:val="001B11A3"/>
    <w:rsid w:val="001B1643"/>
    <w:rsid w:val="001B3669"/>
    <w:rsid w:val="001B46B1"/>
    <w:rsid w:val="001B693B"/>
    <w:rsid w:val="001C667C"/>
    <w:rsid w:val="001C7A78"/>
    <w:rsid w:val="001D1B7D"/>
    <w:rsid w:val="001D4EC2"/>
    <w:rsid w:val="001E178E"/>
    <w:rsid w:val="001E35ED"/>
    <w:rsid w:val="001E3652"/>
    <w:rsid w:val="001E4388"/>
    <w:rsid w:val="001E639F"/>
    <w:rsid w:val="001E6DA5"/>
    <w:rsid w:val="001E78B1"/>
    <w:rsid w:val="001F16F5"/>
    <w:rsid w:val="001F730D"/>
    <w:rsid w:val="0020002A"/>
    <w:rsid w:val="00200A2A"/>
    <w:rsid w:val="00204506"/>
    <w:rsid w:val="00204BF6"/>
    <w:rsid w:val="0020791B"/>
    <w:rsid w:val="00216040"/>
    <w:rsid w:val="00216CCF"/>
    <w:rsid w:val="0022072F"/>
    <w:rsid w:val="0022078F"/>
    <w:rsid w:val="00227172"/>
    <w:rsid w:val="00227D08"/>
    <w:rsid w:val="00232239"/>
    <w:rsid w:val="00233AC1"/>
    <w:rsid w:val="002409DA"/>
    <w:rsid w:val="002421E7"/>
    <w:rsid w:val="002431B5"/>
    <w:rsid w:val="00246B52"/>
    <w:rsid w:val="002509F2"/>
    <w:rsid w:val="002561CF"/>
    <w:rsid w:val="002565EA"/>
    <w:rsid w:val="00257A8D"/>
    <w:rsid w:val="002620EF"/>
    <w:rsid w:val="0026259A"/>
    <w:rsid w:val="00273966"/>
    <w:rsid w:val="00274775"/>
    <w:rsid w:val="00281946"/>
    <w:rsid w:val="00281C86"/>
    <w:rsid w:val="0028347E"/>
    <w:rsid w:val="0028373C"/>
    <w:rsid w:val="002854FC"/>
    <w:rsid w:val="00287311"/>
    <w:rsid w:val="00287E90"/>
    <w:rsid w:val="00292966"/>
    <w:rsid w:val="00292F4F"/>
    <w:rsid w:val="00293C21"/>
    <w:rsid w:val="00294739"/>
    <w:rsid w:val="00294C31"/>
    <w:rsid w:val="002A16FB"/>
    <w:rsid w:val="002A1C78"/>
    <w:rsid w:val="002A433D"/>
    <w:rsid w:val="002A4C8E"/>
    <w:rsid w:val="002A508E"/>
    <w:rsid w:val="002A648E"/>
    <w:rsid w:val="002B011F"/>
    <w:rsid w:val="002B1917"/>
    <w:rsid w:val="002C050F"/>
    <w:rsid w:val="002C2E08"/>
    <w:rsid w:val="002C5176"/>
    <w:rsid w:val="002C7881"/>
    <w:rsid w:val="002C7AC0"/>
    <w:rsid w:val="002D1019"/>
    <w:rsid w:val="002E2F1E"/>
    <w:rsid w:val="002E4EC3"/>
    <w:rsid w:val="002E7D66"/>
    <w:rsid w:val="002F15B0"/>
    <w:rsid w:val="002F2138"/>
    <w:rsid w:val="002F67F3"/>
    <w:rsid w:val="003033EC"/>
    <w:rsid w:val="003034B7"/>
    <w:rsid w:val="00303B53"/>
    <w:rsid w:val="00307A2F"/>
    <w:rsid w:val="003109ED"/>
    <w:rsid w:val="00311875"/>
    <w:rsid w:val="00312670"/>
    <w:rsid w:val="00315D45"/>
    <w:rsid w:val="00316214"/>
    <w:rsid w:val="00316FEC"/>
    <w:rsid w:val="00317B75"/>
    <w:rsid w:val="00323550"/>
    <w:rsid w:val="003257D2"/>
    <w:rsid w:val="00336DF9"/>
    <w:rsid w:val="00342070"/>
    <w:rsid w:val="00355859"/>
    <w:rsid w:val="003620AB"/>
    <w:rsid w:val="0036238B"/>
    <w:rsid w:val="00363EAB"/>
    <w:rsid w:val="00365B47"/>
    <w:rsid w:val="003669E1"/>
    <w:rsid w:val="00366DB1"/>
    <w:rsid w:val="00370E4F"/>
    <w:rsid w:val="00374BFA"/>
    <w:rsid w:val="00376CFB"/>
    <w:rsid w:val="00382879"/>
    <w:rsid w:val="00386FE7"/>
    <w:rsid w:val="00387710"/>
    <w:rsid w:val="00396C71"/>
    <w:rsid w:val="003A0FC4"/>
    <w:rsid w:val="003A317F"/>
    <w:rsid w:val="003A3EE4"/>
    <w:rsid w:val="003A4AF0"/>
    <w:rsid w:val="003A4C09"/>
    <w:rsid w:val="003B3384"/>
    <w:rsid w:val="003B47BE"/>
    <w:rsid w:val="003B602B"/>
    <w:rsid w:val="003C0D75"/>
    <w:rsid w:val="003C1766"/>
    <w:rsid w:val="003C180B"/>
    <w:rsid w:val="003C2CA8"/>
    <w:rsid w:val="003C2F43"/>
    <w:rsid w:val="003C30B5"/>
    <w:rsid w:val="003C7D4C"/>
    <w:rsid w:val="003D367C"/>
    <w:rsid w:val="003E0905"/>
    <w:rsid w:val="003E0B04"/>
    <w:rsid w:val="003E23B1"/>
    <w:rsid w:val="003F0C38"/>
    <w:rsid w:val="003F225C"/>
    <w:rsid w:val="0040136E"/>
    <w:rsid w:val="00402B05"/>
    <w:rsid w:val="004042AE"/>
    <w:rsid w:val="00410A58"/>
    <w:rsid w:val="00413E1D"/>
    <w:rsid w:val="00415CE5"/>
    <w:rsid w:val="0042021D"/>
    <w:rsid w:val="00421DD8"/>
    <w:rsid w:val="004263A4"/>
    <w:rsid w:val="00430F2B"/>
    <w:rsid w:val="00434E4A"/>
    <w:rsid w:val="00436E8A"/>
    <w:rsid w:val="00441FCF"/>
    <w:rsid w:val="0044564F"/>
    <w:rsid w:val="004472B7"/>
    <w:rsid w:val="00450373"/>
    <w:rsid w:val="00450C9F"/>
    <w:rsid w:val="004511CB"/>
    <w:rsid w:val="00452FC5"/>
    <w:rsid w:val="00461635"/>
    <w:rsid w:val="0046198E"/>
    <w:rsid w:val="00461FF1"/>
    <w:rsid w:val="00462286"/>
    <w:rsid w:val="00462DE3"/>
    <w:rsid w:val="004669A2"/>
    <w:rsid w:val="0047060F"/>
    <w:rsid w:val="004716A0"/>
    <w:rsid w:val="004773AC"/>
    <w:rsid w:val="0047768A"/>
    <w:rsid w:val="00477B0E"/>
    <w:rsid w:val="00482773"/>
    <w:rsid w:val="0048295B"/>
    <w:rsid w:val="0048556D"/>
    <w:rsid w:val="00490DAE"/>
    <w:rsid w:val="004929F6"/>
    <w:rsid w:val="00493238"/>
    <w:rsid w:val="00493849"/>
    <w:rsid w:val="00494D01"/>
    <w:rsid w:val="0049633F"/>
    <w:rsid w:val="00497FFC"/>
    <w:rsid w:val="004A23E9"/>
    <w:rsid w:val="004A3910"/>
    <w:rsid w:val="004A5C78"/>
    <w:rsid w:val="004A6822"/>
    <w:rsid w:val="004B04B8"/>
    <w:rsid w:val="004B37CD"/>
    <w:rsid w:val="004B38D3"/>
    <w:rsid w:val="004B5A67"/>
    <w:rsid w:val="004B6E7B"/>
    <w:rsid w:val="004B7CF8"/>
    <w:rsid w:val="004B7F3F"/>
    <w:rsid w:val="004C03B1"/>
    <w:rsid w:val="004C1696"/>
    <w:rsid w:val="004C24E2"/>
    <w:rsid w:val="004C5618"/>
    <w:rsid w:val="004C5C8B"/>
    <w:rsid w:val="004C646F"/>
    <w:rsid w:val="004C6AD0"/>
    <w:rsid w:val="004C7A77"/>
    <w:rsid w:val="004D2E2E"/>
    <w:rsid w:val="004D304C"/>
    <w:rsid w:val="004D610B"/>
    <w:rsid w:val="004E0127"/>
    <w:rsid w:val="004E2BDE"/>
    <w:rsid w:val="004E7578"/>
    <w:rsid w:val="004F0AFB"/>
    <w:rsid w:val="004F19C6"/>
    <w:rsid w:val="004F2AEA"/>
    <w:rsid w:val="004F46CB"/>
    <w:rsid w:val="004F5C76"/>
    <w:rsid w:val="00501448"/>
    <w:rsid w:val="00506FF7"/>
    <w:rsid w:val="00507575"/>
    <w:rsid w:val="00510C4B"/>
    <w:rsid w:val="00521C77"/>
    <w:rsid w:val="00523ED3"/>
    <w:rsid w:val="00524C64"/>
    <w:rsid w:val="0052524B"/>
    <w:rsid w:val="0053154C"/>
    <w:rsid w:val="0053228E"/>
    <w:rsid w:val="00532947"/>
    <w:rsid w:val="005379B2"/>
    <w:rsid w:val="00541085"/>
    <w:rsid w:val="00546549"/>
    <w:rsid w:val="0055021A"/>
    <w:rsid w:val="0055167C"/>
    <w:rsid w:val="0055178A"/>
    <w:rsid w:val="0055269B"/>
    <w:rsid w:val="00552F5A"/>
    <w:rsid w:val="00554AB3"/>
    <w:rsid w:val="00562116"/>
    <w:rsid w:val="00562C83"/>
    <w:rsid w:val="005640C9"/>
    <w:rsid w:val="00564E18"/>
    <w:rsid w:val="00571B70"/>
    <w:rsid w:val="005739EE"/>
    <w:rsid w:val="005764EC"/>
    <w:rsid w:val="005844B9"/>
    <w:rsid w:val="00584D24"/>
    <w:rsid w:val="00585D04"/>
    <w:rsid w:val="00587EC8"/>
    <w:rsid w:val="005A2745"/>
    <w:rsid w:val="005A3F0F"/>
    <w:rsid w:val="005A4B84"/>
    <w:rsid w:val="005A7826"/>
    <w:rsid w:val="005B20A7"/>
    <w:rsid w:val="005B308F"/>
    <w:rsid w:val="005B3AF8"/>
    <w:rsid w:val="005B4213"/>
    <w:rsid w:val="005B618E"/>
    <w:rsid w:val="005B640E"/>
    <w:rsid w:val="005B65AA"/>
    <w:rsid w:val="005B672A"/>
    <w:rsid w:val="005B7F09"/>
    <w:rsid w:val="005C11A2"/>
    <w:rsid w:val="005C1339"/>
    <w:rsid w:val="005C4BC6"/>
    <w:rsid w:val="005C5C00"/>
    <w:rsid w:val="005C6A47"/>
    <w:rsid w:val="005C7EED"/>
    <w:rsid w:val="005D30EC"/>
    <w:rsid w:val="005D55B8"/>
    <w:rsid w:val="005E4B3D"/>
    <w:rsid w:val="005E4EDF"/>
    <w:rsid w:val="005F20F0"/>
    <w:rsid w:val="005F7467"/>
    <w:rsid w:val="005F7572"/>
    <w:rsid w:val="00601A78"/>
    <w:rsid w:val="00606944"/>
    <w:rsid w:val="00611B67"/>
    <w:rsid w:val="00611E40"/>
    <w:rsid w:val="0061562F"/>
    <w:rsid w:val="00621CF1"/>
    <w:rsid w:val="0062791A"/>
    <w:rsid w:val="0063010E"/>
    <w:rsid w:val="00633DAD"/>
    <w:rsid w:val="00635E76"/>
    <w:rsid w:val="00635F6C"/>
    <w:rsid w:val="00636C6D"/>
    <w:rsid w:val="0063711F"/>
    <w:rsid w:val="006372EC"/>
    <w:rsid w:val="00637FE1"/>
    <w:rsid w:val="0064014D"/>
    <w:rsid w:val="00640643"/>
    <w:rsid w:val="00640F62"/>
    <w:rsid w:val="006472F5"/>
    <w:rsid w:val="00647FAA"/>
    <w:rsid w:val="00652302"/>
    <w:rsid w:val="0065304C"/>
    <w:rsid w:val="00653A60"/>
    <w:rsid w:val="00654531"/>
    <w:rsid w:val="00662BB0"/>
    <w:rsid w:val="0066698F"/>
    <w:rsid w:val="00677919"/>
    <w:rsid w:val="0068027C"/>
    <w:rsid w:val="00685F93"/>
    <w:rsid w:val="00687DAF"/>
    <w:rsid w:val="006A3DFE"/>
    <w:rsid w:val="006A5E8F"/>
    <w:rsid w:val="006B3EEC"/>
    <w:rsid w:val="006C0E36"/>
    <w:rsid w:val="006C6661"/>
    <w:rsid w:val="006D0942"/>
    <w:rsid w:val="006D1095"/>
    <w:rsid w:val="006D3860"/>
    <w:rsid w:val="006D3D26"/>
    <w:rsid w:val="006D66D4"/>
    <w:rsid w:val="006D6B09"/>
    <w:rsid w:val="006D7EFF"/>
    <w:rsid w:val="006E3069"/>
    <w:rsid w:val="006E3077"/>
    <w:rsid w:val="006E39F6"/>
    <w:rsid w:val="006E7EEB"/>
    <w:rsid w:val="006F6092"/>
    <w:rsid w:val="006F7A64"/>
    <w:rsid w:val="00704E92"/>
    <w:rsid w:val="00705EE6"/>
    <w:rsid w:val="007060AD"/>
    <w:rsid w:val="00706D93"/>
    <w:rsid w:val="007146AB"/>
    <w:rsid w:val="00717630"/>
    <w:rsid w:val="00717A1A"/>
    <w:rsid w:val="007204BE"/>
    <w:rsid w:val="00726F21"/>
    <w:rsid w:val="00727AA6"/>
    <w:rsid w:val="00733823"/>
    <w:rsid w:val="00734560"/>
    <w:rsid w:val="00736013"/>
    <w:rsid w:val="007363D3"/>
    <w:rsid w:val="007364DA"/>
    <w:rsid w:val="007366D9"/>
    <w:rsid w:val="007426D2"/>
    <w:rsid w:val="00746153"/>
    <w:rsid w:val="00751E36"/>
    <w:rsid w:val="007608DB"/>
    <w:rsid w:val="007612F7"/>
    <w:rsid w:val="007637F6"/>
    <w:rsid w:val="0076614F"/>
    <w:rsid w:val="0077272E"/>
    <w:rsid w:val="007749B2"/>
    <w:rsid w:val="00775779"/>
    <w:rsid w:val="0078307B"/>
    <w:rsid w:val="00783357"/>
    <w:rsid w:val="00786361"/>
    <w:rsid w:val="00792DA5"/>
    <w:rsid w:val="007960F1"/>
    <w:rsid w:val="007A14D5"/>
    <w:rsid w:val="007A2268"/>
    <w:rsid w:val="007A33F8"/>
    <w:rsid w:val="007A4A82"/>
    <w:rsid w:val="007A695E"/>
    <w:rsid w:val="007B25DA"/>
    <w:rsid w:val="007B7EB1"/>
    <w:rsid w:val="007C01DA"/>
    <w:rsid w:val="007C1083"/>
    <w:rsid w:val="007C1D2E"/>
    <w:rsid w:val="007C2B06"/>
    <w:rsid w:val="007C5E8C"/>
    <w:rsid w:val="007D0115"/>
    <w:rsid w:val="007D3C14"/>
    <w:rsid w:val="007E36A4"/>
    <w:rsid w:val="007E55AD"/>
    <w:rsid w:val="007F118A"/>
    <w:rsid w:val="007F1DA8"/>
    <w:rsid w:val="007F51A2"/>
    <w:rsid w:val="007F62F8"/>
    <w:rsid w:val="007F68FE"/>
    <w:rsid w:val="007F6C3E"/>
    <w:rsid w:val="0080430A"/>
    <w:rsid w:val="00806C87"/>
    <w:rsid w:val="00810B25"/>
    <w:rsid w:val="008142DD"/>
    <w:rsid w:val="00814394"/>
    <w:rsid w:val="00816782"/>
    <w:rsid w:val="008171CD"/>
    <w:rsid w:val="00820307"/>
    <w:rsid w:val="008212A3"/>
    <w:rsid w:val="00826E54"/>
    <w:rsid w:val="00826F8A"/>
    <w:rsid w:val="0083087B"/>
    <w:rsid w:val="00830E88"/>
    <w:rsid w:val="008329BB"/>
    <w:rsid w:val="00835CD2"/>
    <w:rsid w:val="008459B1"/>
    <w:rsid w:val="0085249C"/>
    <w:rsid w:val="008571FF"/>
    <w:rsid w:val="00860CC1"/>
    <w:rsid w:val="008615C1"/>
    <w:rsid w:val="00861DB7"/>
    <w:rsid w:val="008714E0"/>
    <w:rsid w:val="00872477"/>
    <w:rsid w:val="0087392C"/>
    <w:rsid w:val="0087411A"/>
    <w:rsid w:val="00875778"/>
    <w:rsid w:val="00882957"/>
    <w:rsid w:val="008832EB"/>
    <w:rsid w:val="00884CAB"/>
    <w:rsid w:val="00886130"/>
    <w:rsid w:val="008867D0"/>
    <w:rsid w:val="00886AD7"/>
    <w:rsid w:val="00890E94"/>
    <w:rsid w:val="00892F24"/>
    <w:rsid w:val="0089318E"/>
    <w:rsid w:val="008939DC"/>
    <w:rsid w:val="00894E5E"/>
    <w:rsid w:val="008A10AA"/>
    <w:rsid w:val="008A1F44"/>
    <w:rsid w:val="008A35A9"/>
    <w:rsid w:val="008A3CB2"/>
    <w:rsid w:val="008B0735"/>
    <w:rsid w:val="008B0F52"/>
    <w:rsid w:val="008B7791"/>
    <w:rsid w:val="008B7DC9"/>
    <w:rsid w:val="008C170C"/>
    <w:rsid w:val="008C47FE"/>
    <w:rsid w:val="008C5CAC"/>
    <w:rsid w:val="008C77C4"/>
    <w:rsid w:val="008D0408"/>
    <w:rsid w:val="008D1551"/>
    <w:rsid w:val="008E223F"/>
    <w:rsid w:val="008E342A"/>
    <w:rsid w:val="008E447E"/>
    <w:rsid w:val="008E448A"/>
    <w:rsid w:val="008E5A9E"/>
    <w:rsid w:val="008E7CE9"/>
    <w:rsid w:val="008F351E"/>
    <w:rsid w:val="008F40D3"/>
    <w:rsid w:val="008F640F"/>
    <w:rsid w:val="009021F6"/>
    <w:rsid w:val="0090395A"/>
    <w:rsid w:val="00903A80"/>
    <w:rsid w:val="00904CF5"/>
    <w:rsid w:val="00907223"/>
    <w:rsid w:val="009075A3"/>
    <w:rsid w:val="00911B2F"/>
    <w:rsid w:val="00915A4B"/>
    <w:rsid w:val="00917C15"/>
    <w:rsid w:val="00917C48"/>
    <w:rsid w:val="00917D4B"/>
    <w:rsid w:val="00923071"/>
    <w:rsid w:val="00924211"/>
    <w:rsid w:val="00930142"/>
    <w:rsid w:val="00930511"/>
    <w:rsid w:val="0093084D"/>
    <w:rsid w:val="0093484D"/>
    <w:rsid w:val="0093499E"/>
    <w:rsid w:val="00936684"/>
    <w:rsid w:val="00936938"/>
    <w:rsid w:val="0093741F"/>
    <w:rsid w:val="00943EF4"/>
    <w:rsid w:val="009441E0"/>
    <w:rsid w:val="00944E59"/>
    <w:rsid w:val="009500CC"/>
    <w:rsid w:val="00951662"/>
    <w:rsid w:val="009566AB"/>
    <w:rsid w:val="00970D91"/>
    <w:rsid w:val="009764FE"/>
    <w:rsid w:val="00976907"/>
    <w:rsid w:val="00986B28"/>
    <w:rsid w:val="0099061D"/>
    <w:rsid w:val="009923A2"/>
    <w:rsid w:val="00994691"/>
    <w:rsid w:val="009A6D8F"/>
    <w:rsid w:val="009A7C94"/>
    <w:rsid w:val="009B0FAF"/>
    <w:rsid w:val="009B40C8"/>
    <w:rsid w:val="009C719A"/>
    <w:rsid w:val="009D1034"/>
    <w:rsid w:val="009D2C2C"/>
    <w:rsid w:val="009D4A64"/>
    <w:rsid w:val="009D6FF4"/>
    <w:rsid w:val="009E41C9"/>
    <w:rsid w:val="009E41CC"/>
    <w:rsid w:val="009E5898"/>
    <w:rsid w:val="009E60F2"/>
    <w:rsid w:val="009E7396"/>
    <w:rsid w:val="009E7E33"/>
    <w:rsid w:val="009F2B3F"/>
    <w:rsid w:val="009F477E"/>
    <w:rsid w:val="00A0022E"/>
    <w:rsid w:val="00A0220D"/>
    <w:rsid w:val="00A0465C"/>
    <w:rsid w:val="00A07F89"/>
    <w:rsid w:val="00A13FDE"/>
    <w:rsid w:val="00A17BD5"/>
    <w:rsid w:val="00A21F5F"/>
    <w:rsid w:val="00A22780"/>
    <w:rsid w:val="00A238F7"/>
    <w:rsid w:val="00A24F67"/>
    <w:rsid w:val="00A26869"/>
    <w:rsid w:val="00A276BB"/>
    <w:rsid w:val="00A3033A"/>
    <w:rsid w:val="00A3252E"/>
    <w:rsid w:val="00A32BBD"/>
    <w:rsid w:val="00A3496B"/>
    <w:rsid w:val="00A35B72"/>
    <w:rsid w:val="00A36033"/>
    <w:rsid w:val="00A367E6"/>
    <w:rsid w:val="00A3729E"/>
    <w:rsid w:val="00A379EE"/>
    <w:rsid w:val="00A41AA3"/>
    <w:rsid w:val="00A41D3E"/>
    <w:rsid w:val="00A43652"/>
    <w:rsid w:val="00A47781"/>
    <w:rsid w:val="00A54CF4"/>
    <w:rsid w:val="00A6403E"/>
    <w:rsid w:val="00A642D6"/>
    <w:rsid w:val="00A6454D"/>
    <w:rsid w:val="00A6469D"/>
    <w:rsid w:val="00A664E8"/>
    <w:rsid w:val="00A67FE9"/>
    <w:rsid w:val="00A70E46"/>
    <w:rsid w:val="00A76D73"/>
    <w:rsid w:val="00A81909"/>
    <w:rsid w:val="00A91E20"/>
    <w:rsid w:val="00AA02BE"/>
    <w:rsid w:val="00AA0CB7"/>
    <w:rsid w:val="00AA1C48"/>
    <w:rsid w:val="00AA49A0"/>
    <w:rsid w:val="00AA53F4"/>
    <w:rsid w:val="00AB04B3"/>
    <w:rsid w:val="00AB0937"/>
    <w:rsid w:val="00AB2DE2"/>
    <w:rsid w:val="00AB469C"/>
    <w:rsid w:val="00AB5076"/>
    <w:rsid w:val="00AB6A69"/>
    <w:rsid w:val="00AC3F87"/>
    <w:rsid w:val="00AD14AD"/>
    <w:rsid w:val="00AD2396"/>
    <w:rsid w:val="00AD3C30"/>
    <w:rsid w:val="00AE0EE6"/>
    <w:rsid w:val="00AE7141"/>
    <w:rsid w:val="00B02566"/>
    <w:rsid w:val="00B053EF"/>
    <w:rsid w:val="00B05F9B"/>
    <w:rsid w:val="00B069BE"/>
    <w:rsid w:val="00B07D8F"/>
    <w:rsid w:val="00B1066C"/>
    <w:rsid w:val="00B1159B"/>
    <w:rsid w:val="00B1406C"/>
    <w:rsid w:val="00B20A72"/>
    <w:rsid w:val="00B214F8"/>
    <w:rsid w:val="00B25DD0"/>
    <w:rsid w:val="00B26020"/>
    <w:rsid w:val="00B34E46"/>
    <w:rsid w:val="00B45812"/>
    <w:rsid w:val="00B50306"/>
    <w:rsid w:val="00B55665"/>
    <w:rsid w:val="00B6257E"/>
    <w:rsid w:val="00B63DA3"/>
    <w:rsid w:val="00B63E15"/>
    <w:rsid w:val="00B66641"/>
    <w:rsid w:val="00B714DF"/>
    <w:rsid w:val="00B742C1"/>
    <w:rsid w:val="00B749AD"/>
    <w:rsid w:val="00B77C86"/>
    <w:rsid w:val="00B81738"/>
    <w:rsid w:val="00B826E0"/>
    <w:rsid w:val="00B86A32"/>
    <w:rsid w:val="00B8745C"/>
    <w:rsid w:val="00B9374F"/>
    <w:rsid w:val="00B93B65"/>
    <w:rsid w:val="00B94B9C"/>
    <w:rsid w:val="00B95915"/>
    <w:rsid w:val="00B9791B"/>
    <w:rsid w:val="00BA0196"/>
    <w:rsid w:val="00BA14C2"/>
    <w:rsid w:val="00BA2610"/>
    <w:rsid w:val="00BA6853"/>
    <w:rsid w:val="00BA7C4A"/>
    <w:rsid w:val="00BB0C26"/>
    <w:rsid w:val="00BB0EB5"/>
    <w:rsid w:val="00BB309A"/>
    <w:rsid w:val="00BB37C1"/>
    <w:rsid w:val="00BB5A94"/>
    <w:rsid w:val="00BC08A5"/>
    <w:rsid w:val="00BC31C4"/>
    <w:rsid w:val="00BD46F5"/>
    <w:rsid w:val="00BD6617"/>
    <w:rsid w:val="00BE2246"/>
    <w:rsid w:val="00BE2D89"/>
    <w:rsid w:val="00BE3CE4"/>
    <w:rsid w:val="00BE4864"/>
    <w:rsid w:val="00BE6725"/>
    <w:rsid w:val="00BE69B9"/>
    <w:rsid w:val="00BF61CD"/>
    <w:rsid w:val="00C01A1F"/>
    <w:rsid w:val="00C027CB"/>
    <w:rsid w:val="00C050B5"/>
    <w:rsid w:val="00C06532"/>
    <w:rsid w:val="00C12469"/>
    <w:rsid w:val="00C12C8F"/>
    <w:rsid w:val="00C15066"/>
    <w:rsid w:val="00C157F8"/>
    <w:rsid w:val="00C15E4C"/>
    <w:rsid w:val="00C17FA2"/>
    <w:rsid w:val="00C229BC"/>
    <w:rsid w:val="00C2464C"/>
    <w:rsid w:val="00C274AA"/>
    <w:rsid w:val="00C3296A"/>
    <w:rsid w:val="00C33D89"/>
    <w:rsid w:val="00C33FF6"/>
    <w:rsid w:val="00C36D20"/>
    <w:rsid w:val="00C400F2"/>
    <w:rsid w:val="00C41952"/>
    <w:rsid w:val="00C4214C"/>
    <w:rsid w:val="00C462A7"/>
    <w:rsid w:val="00C46AF7"/>
    <w:rsid w:val="00C47BB2"/>
    <w:rsid w:val="00C505EB"/>
    <w:rsid w:val="00C5086D"/>
    <w:rsid w:val="00C50FB6"/>
    <w:rsid w:val="00C517EE"/>
    <w:rsid w:val="00C525A4"/>
    <w:rsid w:val="00C64939"/>
    <w:rsid w:val="00C65826"/>
    <w:rsid w:val="00C65946"/>
    <w:rsid w:val="00C75180"/>
    <w:rsid w:val="00C757B2"/>
    <w:rsid w:val="00C76217"/>
    <w:rsid w:val="00C814E6"/>
    <w:rsid w:val="00C91BDF"/>
    <w:rsid w:val="00C93170"/>
    <w:rsid w:val="00CA0935"/>
    <w:rsid w:val="00CA27F4"/>
    <w:rsid w:val="00CA30D3"/>
    <w:rsid w:val="00CA5524"/>
    <w:rsid w:val="00CA6DAC"/>
    <w:rsid w:val="00CA79E3"/>
    <w:rsid w:val="00CB0FB9"/>
    <w:rsid w:val="00CB282A"/>
    <w:rsid w:val="00CB3704"/>
    <w:rsid w:val="00CB4D63"/>
    <w:rsid w:val="00CB4FFB"/>
    <w:rsid w:val="00CB55CB"/>
    <w:rsid w:val="00CB6FA9"/>
    <w:rsid w:val="00CB71D6"/>
    <w:rsid w:val="00CB7882"/>
    <w:rsid w:val="00CC15E9"/>
    <w:rsid w:val="00CC2742"/>
    <w:rsid w:val="00CD56FC"/>
    <w:rsid w:val="00CD6278"/>
    <w:rsid w:val="00CD7A0C"/>
    <w:rsid w:val="00CE0323"/>
    <w:rsid w:val="00CE0930"/>
    <w:rsid w:val="00CE1B31"/>
    <w:rsid w:val="00CE2714"/>
    <w:rsid w:val="00CE7EF6"/>
    <w:rsid w:val="00CF2568"/>
    <w:rsid w:val="00CF2884"/>
    <w:rsid w:val="00CF3F66"/>
    <w:rsid w:val="00CF664D"/>
    <w:rsid w:val="00CF6705"/>
    <w:rsid w:val="00D01F54"/>
    <w:rsid w:val="00D02582"/>
    <w:rsid w:val="00D04351"/>
    <w:rsid w:val="00D05325"/>
    <w:rsid w:val="00D06966"/>
    <w:rsid w:val="00D06DCD"/>
    <w:rsid w:val="00D20D06"/>
    <w:rsid w:val="00D21333"/>
    <w:rsid w:val="00D30EE6"/>
    <w:rsid w:val="00D36AF9"/>
    <w:rsid w:val="00D410D9"/>
    <w:rsid w:val="00D43EBB"/>
    <w:rsid w:val="00D5005D"/>
    <w:rsid w:val="00D53655"/>
    <w:rsid w:val="00D65698"/>
    <w:rsid w:val="00D65EDB"/>
    <w:rsid w:val="00D71AF5"/>
    <w:rsid w:val="00D753B8"/>
    <w:rsid w:val="00D7639D"/>
    <w:rsid w:val="00D7662B"/>
    <w:rsid w:val="00D82369"/>
    <w:rsid w:val="00D84D85"/>
    <w:rsid w:val="00D86684"/>
    <w:rsid w:val="00D87D41"/>
    <w:rsid w:val="00D9628B"/>
    <w:rsid w:val="00D965D6"/>
    <w:rsid w:val="00DA29B2"/>
    <w:rsid w:val="00DA2E47"/>
    <w:rsid w:val="00DB0F9E"/>
    <w:rsid w:val="00DB1B41"/>
    <w:rsid w:val="00DB1F7E"/>
    <w:rsid w:val="00DB6E4C"/>
    <w:rsid w:val="00DC1D54"/>
    <w:rsid w:val="00DC2BB8"/>
    <w:rsid w:val="00DC3EA1"/>
    <w:rsid w:val="00DC43E8"/>
    <w:rsid w:val="00DC73F6"/>
    <w:rsid w:val="00DD0C57"/>
    <w:rsid w:val="00DD1704"/>
    <w:rsid w:val="00DD1C85"/>
    <w:rsid w:val="00DD26F2"/>
    <w:rsid w:val="00DD58A8"/>
    <w:rsid w:val="00DD5D44"/>
    <w:rsid w:val="00DD7BB1"/>
    <w:rsid w:val="00DE2B19"/>
    <w:rsid w:val="00DE2D5A"/>
    <w:rsid w:val="00DE32B6"/>
    <w:rsid w:val="00DE66D5"/>
    <w:rsid w:val="00DF2758"/>
    <w:rsid w:val="00DF44FE"/>
    <w:rsid w:val="00DF4D21"/>
    <w:rsid w:val="00DF5276"/>
    <w:rsid w:val="00DF6485"/>
    <w:rsid w:val="00E00E42"/>
    <w:rsid w:val="00E0129E"/>
    <w:rsid w:val="00E0421B"/>
    <w:rsid w:val="00E06A48"/>
    <w:rsid w:val="00E120A3"/>
    <w:rsid w:val="00E14867"/>
    <w:rsid w:val="00E1529E"/>
    <w:rsid w:val="00E15432"/>
    <w:rsid w:val="00E166F1"/>
    <w:rsid w:val="00E22FF4"/>
    <w:rsid w:val="00E25E70"/>
    <w:rsid w:val="00E3056B"/>
    <w:rsid w:val="00E30B48"/>
    <w:rsid w:val="00E30BF7"/>
    <w:rsid w:val="00E31637"/>
    <w:rsid w:val="00E32962"/>
    <w:rsid w:val="00E36230"/>
    <w:rsid w:val="00E37B27"/>
    <w:rsid w:val="00E44819"/>
    <w:rsid w:val="00E448F9"/>
    <w:rsid w:val="00E46E83"/>
    <w:rsid w:val="00E47C18"/>
    <w:rsid w:val="00E5288F"/>
    <w:rsid w:val="00E52A0F"/>
    <w:rsid w:val="00E5380C"/>
    <w:rsid w:val="00E54AD0"/>
    <w:rsid w:val="00E5638C"/>
    <w:rsid w:val="00E57A94"/>
    <w:rsid w:val="00E6137E"/>
    <w:rsid w:val="00E6243B"/>
    <w:rsid w:val="00E70BEB"/>
    <w:rsid w:val="00E70CA6"/>
    <w:rsid w:val="00E73029"/>
    <w:rsid w:val="00E74DA8"/>
    <w:rsid w:val="00E76AD9"/>
    <w:rsid w:val="00E77365"/>
    <w:rsid w:val="00E77A73"/>
    <w:rsid w:val="00E81877"/>
    <w:rsid w:val="00E84E0A"/>
    <w:rsid w:val="00E87125"/>
    <w:rsid w:val="00E87F78"/>
    <w:rsid w:val="00E90193"/>
    <w:rsid w:val="00E92BE0"/>
    <w:rsid w:val="00E9586A"/>
    <w:rsid w:val="00EA47AF"/>
    <w:rsid w:val="00EA6131"/>
    <w:rsid w:val="00EA7462"/>
    <w:rsid w:val="00EB0F28"/>
    <w:rsid w:val="00EB2B6F"/>
    <w:rsid w:val="00EB47CE"/>
    <w:rsid w:val="00EB6D7D"/>
    <w:rsid w:val="00EC1372"/>
    <w:rsid w:val="00EC1C77"/>
    <w:rsid w:val="00ED4254"/>
    <w:rsid w:val="00EE5731"/>
    <w:rsid w:val="00EF0DC4"/>
    <w:rsid w:val="00EF2A9E"/>
    <w:rsid w:val="00EF3CEF"/>
    <w:rsid w:val="00EF7C41"/>
    <w:rsid w:val="00F0013C"/>
    <w:rsid w:val="00F016EC"/>
    <w:rsid w:val="00F01793"/>
    <w:rsid w:val="00F026E3"/>
    <w:rsid w:val="00F03BCA"/>
    <w:rsid w:val="00F0559B"/>
    <w:rsid w:val="00F156B3"/>
    <w:rsid w:val="00F16F95"/>
    <w:rsid w:val="00F17546"/>
    <w:rsid w:val="00F24685"/>
    <w:rsid w:val="00F30FA2"/>
    <w:rsid w:val="00F31D45"/>
    <w:rsid w:val="00F34390"/>
    <w:rsid w:val="00F35466"/>
    <w:rsid w:val="00F40785"/>
    <w:rsid w:val="00F42677"/>
    <w:rsid w:val="00F42AFB"/>
    <w:rsid w:val="00F43B76"/>
    <w:rsid w:val="00F46373"/>
    <w:rsid w:val="00F53778"/>
    <w:rsid w:val="00F54569"/>
    <w:rsid w:val="00F54E29"/>
    <w:rsid w:val="00F557C3"/>
    <w:rsid w:val="00F55C4D"/>
    <w:rsid w:val="00F566CA"/>
    <w:rsid w:val="00F615C8"/>
    <w:rsid w:val="00F61F97"/>
    <w:rsid w:val="00F62F4E"/>
    <w:rsid w:val="00F63A11"/>
    <w:rsid w:val="00F63E3E"/>
    <w:rsid w:val="00F70B49"/>
    <w:rsid w:val="00F71E76"/>
    <w:rsid w:val="00F758DA"/>
    <w:rsid w:val="00F76F6F"/>
    <w:rsid w:val="00F7764D"/>
    <w:rsid w:val="00F77D40"/>
    <w:rsid w:val="00F81C5C"/>
    <w:rsid w:val="00F8258C"/>
    <w:rsid w:val="00F8341D"/>
    <w:rsid w:val="00F85A34"/>
    <w:rsid w:val="00F87E6A"/>
    <w:rsid w:val="00F93779"/>
    <w:rsid w:val="00F97C74"/>
    <w:rsid w:val="00FA05D4"/>
    <w:rsid w:val="00FA1205"/>
    <w:rsid w:val="00FA250D"/>
    <w:rsid w:val="00FA59C6"/>
    <w:rsid w:val="00FA6027"/>
    <w:rsid w:val="00FA6214"/>
    <w:rsid w:val="00FA63BC"/>
    <w:rsid w:val="00FA63F4"/>
    <w:rsid w:val="00FA652E"/>
    <w:rsid w:val="00FB08F7"/>
    <w:rsid w:val="00FB24AD"/>
    <w:rsid w:val="00FB3C08"/>
    <w:rsid w:val="00FB5A5A"/>
    <w:rsid w:val="00FB6A4C"/>
    <w:rsid w:val="00FC1272"/>
    <w:rsid w:val="00FC32EF"/>
    <w:rsid w:val="00FC36F6"/>
    <w:rsid w:val="00FC6222"/>
    <w:rsid w:val="00FD49E9"/>
    <w:rsid w:val="00FD7A03"/>
    <w:rsid w:val="00FE1A0F"/>
    <w:rsid w:val="00FE4420"/>
    <w:rsid w:val="00FE5F55"/>
    <w:rsid w:val="00FE7197"/>
    <w:rsid w:val="00FF0E43"/>
    <w:rsid w:val="00FF254C"/>
    <w:rsid w:val="00FF509D"/>
    <w:rsid w:val="00FF563B"/>
    <w:rsid w:val="00FF572C"/>
    <w:rsid w:val="00FF7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563C"/>
  <w15:docId w15:val="{10FBB6BF-3137-4E25-9FE8-FCE41AFC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42"/>
    <w:pPr>
      <w:spacing w:after="0" w:line="240" w:lineRule="auto"/>
    </w:pPr>
    <w:rPr>
      <w:rFonts w:ascii="Calibri" w:hAnsi="Calibri" w:cs="Calibri"/>
      <w:lang w:val="en-GB"/>
    </w:rPr>
  </w:style>
  <w:style w:type="paragraph" w:styleId="Heading1">
    <w:name w:val="heading 1"/>
    <w:basedOn w:val="Normal"/>
    <w:next w:val="Normal"/>
    <w:link w:val="Heading1Char"/>
    <w:uiPriority w:val="9"/>
    <w:qFormat/>
    <w:rsid w:val="00B06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57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qFormat/>
    <w:rsid w:val="005A7826"/>
    <w:pPr>
      <w:keepNext/>
      <w:pBdr>
        <w:top w:val="nil"/>
        <w:left w:val="nil"/>
        <w:bottom w:val="nil"/>
        <w:right w:val="nil"/>
        <w:between w:val="nil"/>
        <w:bar w:val="nil"/>
      </w:pBdr>
      <w:spacing w:after="0" w:line="240" w:lineRule="auto"/>
      <w:outlineLvl w:val="3"/>
    </w:pPr>
    <w:rPr>
      <w:rFonts w:ascii="Arial" w:eastAsia="Arial" w:hAnsi="Arial" w:cs="Arial"/>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825CE"/>
    <w:pPr>
      <w:ind w:left="720"/>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8E7CE9"/>
    <w:rPr>
      <w:rFonts w:ascii="Calibri" w:hAnsi="Calibri" w:cs="Calibri"/>
    </w:rPr>
  </w:style>
  <w:style w:type="paragraph" w:styleId="Header">
    <w:name w:val="header"/>
    <w:aliases w:val="ContentsHeader"/>
    <w:basedOn w:val="Normal"/>
    <w:link w:val="HeaderChar"/>
    <w:uiPriority w:val="99"/>
    <w:unhideWhenUsed/>
    <w:rsid w:val="008E7CE9"/>
    <w:pPr>
      <w:tabs>
        <w:tab w:val="center" w:pos="4680"/>
        <w:tab w:val="right" w:pos="9360"/>
      </w:tabs>
    </w:pPr>
    <w:rPr>
      <w:rFonts w:asciiTheme="minorHAnsi" w:hAnsiTheme="minorHAnsi" w:cstheme="minorBidi"/>
    </w:rPr>
  </w:style>
  <w:style w:type="character" w:customStyle="1" w:styleId="HeaderChar">
    <w:name w:val="Header Char"/>
    <w:aliases w:val="ContentsHeader Char"/>
    <w:basedOn w:val="DefaultParagraphFont"/>
    <w:link w:val="Header"/>
    <w:uiPriority w:val="99"/>
    <w:rsid w:val="008E7CE9"/>
    <w:rPr>
      <w:lang w:val="en-US"/>
    </w:rPr>
  </w:style>
  <w:style w:type="paragraph" w:styleId="NoSpacing">
    <w:name w:val="No Spacing"/>
    <w:qFormat/>
    <w:rsid w:val="008E7CE9"/>
    <w:pPr>
      <w:spacing w:after="0" w:line="240" w:lineRule="auto"/>
    </w:pPr>
  </w:style>
  <w:style w:type="table" w:styleId="TableGrid">
    <w:name w:val="Table Grid"/>
    <w:basedOn w:val="TableNormal"/>
    <w:uiPriority w:val="39"/>
    <w:rsid w:val="008E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ft"/>
    <w:basedOn w:val="Normal"/>
    <w:link w:val="FooterChar"/>
    <w:uiPriority w:val="99"/>
    <w:unhideWhenUsed/>
    <w:rsid w:val="008E7CE9"/>
    <w:pPr>
      <w:tabs>
        <w:tab w:val="center" w:pos="4513"/>
        <w:tab w:val="right" w:pos="9026"/>
      </w:tabs>
    </w:pPr>
  </w:style>
  <w:style w:type="character" w:customStyle="1" w:styleId="FooterChar">
    <w:name w:val="Footer Char"/>
    <w:aliases w:val="EOI Header Char,ft Char"/>
    <w:basedOn w:val="DefaultParagraphFont"/>
    <w:link w:val="Footer"/>
    <w:uiPriority w:val="99"/>
    <w:rsid w:val="008E7CE9"/>
    <w:rPr>
      <w:rFonts w:ascii="Calibri" w:hAnsi="Calibri" w:cs="Calibri"/>
    </w:rPr>
  </w:style>
  <w:style w:type="paragraph" w:styleId="BalloonText">
    <w:name w:val="Balloon Text"/>
    <w:basedOn w:val="Normal"/>
    <w:link w:val="BalloonTextChar"/>
    <w:uiPriority w:val="99"/>
    <w:semiHidden/>
    <w:unhideWhenUsed/>
    <w:rsid w:val="0081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94"/>
    <w:rPr>
      <w:rFonts w:ascii="Segoe UI" w:hAnsi="Segoe UI" w:cs="Segoe UI"/>
      <w:sz w:val="18"/>
      <w:szCs w:val="18"/>
    </w:rPr>
  </w:style>
  <w:style w:type="paragraph" w:styleId="FootnoteText">
    <w:name w:val="footnote text"/>
    <w:basedOn w:val="Normal"/>
    <w:link w:val="FootnoteTextChar"/>
    <w:uiPriority w:val="99"/>
    <w:semiHidden/>
    <w:unhideWhenUsed/>
    <w:rsid w:val="009923A2"/>
    <w:rPr>
      <w:rFonts w:cs="Times New Roman"/>
      <w:sz w:val="20"/>
      <w:szCs w:val="20"/>
    </w:rPr>
  </w:style>
  <w:style w:type="character" w:customStyle="1" w:styleId="FootnoteTextChar">
    <w:name w:val="Footnote Text Char"/>
    <w:basedOn w:val="DefaultParagraphFont"/>
    <w:link w:val="FootnoteText"/>
    <w:uiPriority w:val="99"/>
    <w:semiHidden/>
    <w:rsid w:val="009923A2"/>
    <w:rPr>
      <w:rFonts w:ascii="Calibri" w:hAnsi="Calibri" w:cs="Times New Roman"/>
      <w:sz w:val="20"/>
      <w:szCs w:val="20"/>
    </w:rPr>
  </w:style>
  <w:style w:type="character" w:styleId="FootnoteReference">
    <w:name w:val="footnote reference"/>
    <w:basedOn w:val="DefaultParagraphFont"/>
    <w:uiPriority w:val="99"/>
    <w:semiHidden/>
    <w:unhideWhenUsed/>
    <w:rsid w:val="009923A2"/>
    <w:rPr>
      <w:vertAlign w:val="superscript"/>
    </w:rPr>
  </w:style>
  <w:style w:type="paragraph" w:customStyle="1" w:styleId="Default">
    <w:name w:val="Default"/>
    <w:rsid w:val="00652302"/>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5A7826"/>
    <w:rPr>
      <w:rFonts w:ascii="Arial" w:eastAsia="Arial" w:hAnsi="Arial" w:cs="Arial"/>
      <w:b/>
      <w:bCs/>
      <w:color w:val="000000"/>
      <w:u w:color="000000"/>
      <w:bdr w:val="nil"/>
    </w:rPr>
  </w:style>
  <w:style w:type="paragraph" w:customStyle="1" w:styleId="ColorfulList-Accent11">
    <w:name w:val="Colorful List - Accent 11"/>
    <w:basedOn w:val="Normal"/>
    <w:uiPriority w:val="34"/>
    <w:qFormat/>
    <w:rsid w:val="0066698F"/>
    <w:pPr>
      <w:spacing w:after="200" w:line="276" w:lineRule="auto"/>
      <w:ind w:left="720"/>
      <w:contextualSpacing/>
    </w:pPr>
    <w:rPr>
      <w:rFonts w:eastAsia="Times New Roman" w:cs="Times New Roman"/>
      <w:lang w:eastAsia="en-GB"/>
    </w:rPr>
  </w:style>
  <w:style w:type="character" w:customStyle="1" w:styleId="Heading1Char">
    <w:name w:val="Heading 1 Char"/>
    <w:basedOn w:val="DefaultParagraphFont"/>
    <w:link w:val="Heading1"/>
    <w:uiPriority w:val="9"/>
    <w:rsid w:val="00B069BE"/>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069BE"/>
    <w:pPr>
      <w:spacing w:line="259" w:lineRule="auto"/>
      <w:outlineLvl w:val="9"/>
    </w:pPr>
    <w:rPr>
      <w:lang w:val="en-US"/>
    </w:rPr>
  </w:style>
  <w:style w:type="paragraph" w:styleId="TOC1">
    <w:name w:val="toc 1"/>
    <w:basedOn w:val="Normal"/>
    <w:next w:val="Normal"/>
    <w:autoRedefine/>
    <w:uiPriority w:val="39"/>
    <w:unhideWhenUsed/>
    <w:rsid w:val="00B069BE"/>
    <w:pPr>
      <w:spacing w:after="10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69BE"/>
    <w:rPr>
      <w:color w:val="0563C1" w:themeColor="hyperlink"/>
      <w:u w:val="single"/>
    </w:rPr>
  </w:style>
  <w:style w:type="paragraph" w:customStyle="1" w:styleId="Bodycopy">
    <w:name w:val="Body copy"/>
    <w:uiPriority w:val="99"/>
    <w:rsid w:val="00EE5731"/>
    <w:pPr>
      <w:spacing w:after="240" w:line="260" w:lineRule="exact"/>
    </w:pPr>
    <w:rPr>
      <w:rFonts w:ascii="EYInterstate Light" w:eastAsia="Times New Roman" w:hAnsi="EYInterstate Light" w:cs="Times New Roman"/>
      <w:color w:val="000000"/>
      <w:sz w:val="20"/>
      <w:szCs w:val="18"/>
    </w:rPr>
  </w:style>
  <w:style w:type="paragraph" w:customStyle="1" w:styleId="NumberedHeading2">
    <w:name w:val="Numbered Heading 2"/>
    <w:basedOn w:val="Heading2"/>
    <w:uiPriority w:val="99"/>
    <w:rsid w:val="00EE5731"/>
    <w:pPr>
      <w:keepNext w:val="0"/>
      <w:keepLines w:val="0"/>
      <w:spacing w:before="0" w:after="240" w:line="470" w:lineRule="exact"/>
    </w:pPr>
    <w:rPr>
      <w:rFonts w:ascii="EYInterstate Light Bold" w:eastAsia="Times New Roman" w:hAnsi="EYInterstate Light Bold" w:cs="Arial"/>
      <w:b/>
      <w:bCs/>
      <w:color w:val="auto"/>
      <w:spacing w:val="-6"/>
      <w:kern w:val="32"/>
      <w:sz w:val="28"/>
      <w:szCs w:val="48"/>
    </w:rPr>
  </w:style>
  <w:style w:type="character" w:customStyle="1" w:styleId="Heading2Char">
    <w:name w:val="Heading 2 Char"/>
    <w:basedOn w:val="DefaultParagraphFont"/>
    <w:link w:val="Heading2"/>
    <w:uiPriority w:val="9"/>
    <w:semiHidden/>
    <w:rsid w:val="00EE5731"/>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548758">
      <w:bodyDiv w:val="1"/>
      <w:marLeft w:val="0"/>
      <w:marRight w:val="0"/>
      <w:marTop w:val="0"/>
      <w:marBottom w:val="0"/>
      <w:divBdr>
        <w:top w:val="none" w:sz="0" w:space="0" w:color="auto"/>
        <w:left w:val="none" w:sz="0" w:space="0" w:color="auto"/>
        <w:bottom w:val="none" w:sz="0" w:space="0" w:color="auto"/>
        <w:right w:val="none" w:sz="0" w:space="0" w:color="auto"/>
      </w:divBdr>
    </w:div>
    <w:div w:id="1128547728">
      <w:bodyDiv w:val="1"/>
      <w:marLeft w:val="0"/>
      <w:marRight w:val="0"/>
      <w:marTop w:val="0"/>
      <w:marBottom w:val="0"/>
      <w:divBdr>
        <w:top w:val="none" w:sz="0" w:space="0" w:color="auto"/>
        <w:left w:val="none" w:sz="0" w:space="0" w:color="auto"/>
        <w:bottom w:val="none" w:sz="0" w:space="0" w:color="auto"/>
        <w:right w:val="none" w:sz="0" w:space="0" w:color="auto"/>
      </w:divBdr>
    </w:div>
    <w:div w:id="1932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A8698339FF24FAE3F9546E80573A4" ma:contentTypeVersion="9" ma:contentTypeDescription="Create a new document." ma:contentTypeScope="" ma:versionID="939c4130c84091626a6ee5b98bd4847b">
  <xsd:schema xmlns:xsd="http://www.w3.org/2001/XMLSchema" xmlns:xs="http://www.w3.org/2001/XMLSchema" xmlns:p="http://schemas.microsoft.com/office/2006/metadata/properties" xmlns:ns3="b2cf299d-b019-4f4e-8d37-cd798ba5b4f4" xmlns:ns4="1409bde5-0268-43c3-b9d4-3586f2d9f36e" targetNamespace="http://schemas.microsoft.com/office/2006/metadata/properties" ma:root="true" ma:fieldsID="e1d635728bc6c527f108e18f9fc7226d" ns3:_="" ns4:_="">
    <xsd:import namespace="b2cf299d-b019-4f4e-8d37-cd798ba5b4f4"/>
    <xsd:import namespace="1409bde5-0268-43c3-b9d4-3586f2d9f3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299d-b019-4f4e-8d37-cd798ba5b4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bde5-0268-43c3-b9d4-3586f2d9f36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23550-8B6E-4385-A977-2DD6FCFCB2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7E5549-F13C-4B79-B3C1-B4D803429A27}">
  <ds:schemaRefs>
    <ds:schemaRef ds:uri="http://schemas.microsoft.com/sharepoint/v3/contenttype/forms"/>
  </ds:schemaRefs>
</ds:datastoreItem>
</file>

<file path=customXml/itemProps3.xml><?xml version="1.0" encoding="utf-8"?>
<ds:datastoreItem xmlns:ds="http://schemas.openxmlformats.org/officeDocument/2006/customXml" ds:itemID="{49338A7E-F173-4015-88E4-CC65357A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299d-b019-4f4e-8d37-cd798ba5b4f4"/>
    <ds:schemaRef ds:uri="1409bde5-0268-43c3-b9d4-3586f2d9f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Nengela Nalumino</dc:creator>
  <cp:lastModifiedBy>Clement Kanyama</cp:lastModifiedBy>
  <cp:revision>4</cp:revision>
  <cp:lastPrinted>2019-10-24T14:53:00Z</cp:lastPrinted>
  <dcterms:created xsi:type="dcterms:W3CDTF">2019-10-24T14:54:00Z</dcterms:created>
  <dcterms:modified xsi:type="dcterms:W3CDTF">2019-10-24T15:01:00Z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0x010100009A8698339FF24FAE3F9546E80573A4</vt:lpwstr>
  </property>
</Properties>
</file>