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4451" w14:textId="77777777" w:rsidR="00415EE6" w:rsidRDefault="00415EE6" w:rsidP="00176648">
      <w:pPr>
        <w:jc w:val="both"/>
      </w:pPr>
    </w:p>
    <w:p w14:paraId="1D2AD3F6" w14:textId="77777777" w:rsidR="00176648" w:rsidRDefault="00176648" w:rsidP="00176648">
      <w:pPr>
        <w:pStyle w:val="Title"/>
        <w:rPr>
          <w:rFonts w:ascii="Arial" w:hAnsi="Arial" w:cs="Arial"/>
        </w:rPr>
      </w:pPr>
      <w:r>
        <w:rPr>
          <w:rFonts w:ascii="Arial" w:hAnsi="Arial" w:cs="Arial"/>
        </w:rPr>
        <w:t>COMMON MARKET FOR EASTERN AND</w:t>
      </w:r>
    </w:p>
    <w:p w14:paraId="0F1233A6" w14:textId="77777777" w:rsidR="00176648" w:rsidRDefault="00176648" w:rsidP="00176648">
      <w:pPr>
        <w:jc w:val="center"/>
        <w:rPr>
          <w:b/>
          <w:sz w:val="28"/>
        </w:rPr>
      </w:pPr>
      <w:r>
        <w:rPr>
          <w:rFonts w:ascii="Arial" w:hAnsi="Arial" w:cs="Arial"/>
          <w:b/>
          <w:sz w:val="28"/>
        </w:rPr>
        <w:t>SOUTHERN AFRICA</w:t>
      </w:r>
    </w:p>
    <w:p w14:paraId="48543262" w14:textId="77777777" w:rsidR="00176648" w:rsidRDefault="00176648" w:rsidP="00176648">
      <w:pPr>
        <w:jc w:val="center"/>
      </w:pPr>
    </w:p>
    <w:p w14:paraId="611DB397" w14:textId="77777777" w:rsidR="00176648" w:rsidRDefault="00176648" w:rsidP="00176648">
      <w:pPr>
        <w:jc w:val="center"/>
      </w:pPr>
      <w:r>
        <w:rPr>
          <w:rFonts w:ascii="Arial" w:hAnsi="Arial" w:cs="Arial"/>
          <w:noProof/>
        </w:rPr>
        <w:drawing>
          <wp:inline distT="0" distB="0" distL="0" distR="0" wp14:anchorId="268F6563" wp14:editId="663146BA">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B7F8777" w14:textId="77777777" w:rsidR="00176648" w:rsidRDefault="00176648" w:rsidP="00176648">
      <w:pPr>
        <w:jc w:val="both"/>
        <w:rPr>
          <w:rFonts w:ascii="Arial" w:hAnsi="Arial" w:cs="Arial"/>
          <w:sz w:val="24"/>
          <w:szCs w:val="24"/>
        </w:rPr>
      </w:pPr>
    </w:p>
    <w:p w14:paraId="767CB160" w14:textId="030722A3" w:rsidR="00F76019" w:rsidRPr="00202D91" w:rsidRDefault="00202D91" w:rsidP="00537326">
      <w:pPr>
        <w:jc w:val="both"/>
        <w:rPr>
          <w:rFonts w:ascii="Arial" w:eastAsia="Times New Roman" w:hAnsi="Arial" w:cs="Arial"/>
          <w:b/>
          <w:iCs/>
          <w:color w:val="000000"/>
          <w:sz w:val="28"/>
          <w:szCs w:val="28"/>
          <w:u w:val="single"/>
        </w:rPr>
      </w:pPr>
      <w:r w:rsidRPr="00202D91">
        <w:rPr>
          <w:rFonts w:ascii="Arial" w:eastAsia="Times New Roman" w:hAnsi="Arial" w:cs="Arial"/>
          <w:b/>
          <w:iCs/>
          <w:color w:val="000000"/>
          <w:sz w:val="28"/>
          <w:szCs w:val="28"/>
        </w:rPr>
        <w:t xml:space="preserve">                           </w:t>
      </w:r>
      <w:r>
        <w:rPr>
          <w:rFonts w:ascii="Arial" w:eastAsia="Times New Roman" w:hAnsi="Arial" w:cs="Arial"/>
          <w:b/>
          <w:iCs/>
          <w:color w:val="000000"/>
          <w:sz w:val="28"/>
          <w:szCs w:val="28"/>
        </w:rPr>
        <w:t xml:space="preserve">        </w:t>
      </w:r>
      <w:r w:rsidRPr="00202D91">
        <w:rPr>
          <w:rFonts w:ascii="Arial" w:eastAsia="Times New Roman" w:hAnsi="Arial" w:cs="Arial"/>
          <w:b/>
          <w:iCs/>
          <w:color w:val="000000"/>
          <w:sz w:val="28"/>
          <w:szCs w:val="28"/>
        </w:rPr>
        <w:t xml:space="preserve"> </w:t>
      </w:r>
      <w:proofErr w:type="gramStart"/>
      <w:r w:rsidR="009726D9" w:rsidRPr="00202D91">
        <w:rPr>
          <w:rFonts w:ascii="Arial" w:eastAsia="Times New Roman" w:hAnsi="Arial" w:cs="Arial"/>
          <w:b/>
          <w:iCs/>
          <w:color w:val="000000"/>
          <w:sz w:val="28"/>
          <w:szCs w:val="28"/>
          <w:u w:val="single"/>
        </w:rPr>
        <w:t>DRAFT</w:t>
      </w:r>
      <w:r w:rsidRPr="00202D91">
        <w:rPr>
          <w:rFonts w:ascii="Arial" w:eastAsia="Times New Roman" w:hAnsi="Arial" w:cs="Arial"/>
          <w:b/>
          <w:iCs/>
          <w:color w:val="000000"/>
          <w:sz w:val="28"/>
          <w:szCs w:val="28"/>
          <w:u w:val="single"/>
        </w:rPr>
        <w:t xml:space="preserve"> </w:t>
      </w:r>
      <w:r w:rsidR="00091BF3" w:rsidRPr="00202D91">
        <w:rPr>
          <w:rFonts w:ascii="Arial" w:eastAsia="Times New Roman" w:hAnsi="Arial" w:cs="Arial"/>
          <w:b/>
          <w:iCs/>
          <w:color w:val="000000"/>
          <w:sz w:val="28"/>
          <w:szCs w:val="28"/>
          <w:u w:val="single"/>
        </w:rPr>
        <w:t xml:space="preserve"> DUMMY</w:t>
      </w:r>
      <w:proofErr w:type="gramEnd"/>
      <w:r w:rsidRPr="00202D91">
        <w:rPr>
          <w:rFonts w:ascii="Arial" w:eastAsia="Times New Roman" w:hAnsi="Arial" w:cs="Arial"/>
          <w:b/>
          <w:iCs/>
          <w:color w:val="000000"/>
          <w:sz w:val="28"/>
          <w:szCs w:val="28"/>
          <w:u w:val="single"/>
        </w:rPr>
        <w:t xml:space="preserve"> REPORT</w:t>
      </w:r>
    </w:p>
    <w:p w14:paraId="520471E3" w14:textId="06398BCB" w:rsidR="00202D91" w:rsidRDefault="00202D91" w:rsidP="00202D91">
      <w:pPr>
        <w:jc w:val="both"/>
        <w:rPr>
          <w:rFonts w:ascii="Arial" w:eastAsia="Times New Roman" w:hAnsi="Arial" w:cs="Arial"/>
          <w:i/>
          <w:color w:val="000000"/>
          <w:sz w:val="20"/>
          <w:szCs w:val="20"/>
        </w:rPr>
      </w:pPr>
    </w:p>
    <w:p w14:paraId="4E42562C" w14:textId="7332C9AB" w:rsidR="00F76019" w:rsidRDefault="00856361" w:rsidP="00202D91">
      <w:pPr>
        <w:jc w:val="both"/>
        <w:rPr>
          <w:rFonts w:ascii="Arial" w:hAnsi="Arial" w:cs="Arial"/>
          <w:b/>
          <w:sz w:val="24"/>
          <w:szCs w:val="24"/>
        </w:rPr>
      </w:pPr>
      <w:r>
        <w:rPr>
          <w:rFonts w:ascii="Arial" w:hAnsi="Arial" w:cs="Arial"/>
          <w:b/>
          <w:sz w:val="24"/>
          <w:szCs w:val="24"/>
        </w:rPr>
        <w:t xml:space="preserve">                                       </w:t>
      </w:r>
      <w:r w:rsidR="00F76019" w:rsidRPr="00F76019">
        <w:rPr>
          <w:rFonts w:ascii="Arial" w:hAnsi="Arial" w:cs="Arial"/>
          <w:b/>
          <w:sz w:val="24"/>
          <w:szCs w:val="24"/>
        </w:rPr>
        <w:t>2017 Audited Financial Statements</w:t>
      </w:r>
    </w:p>
    <w:p w14:paraId="409BFF02" w14:textId="3B92B868" w:rsidR="00856361" w:rsidRDefault="00856361" w:rsidP="00202D91">
      <w:pPr>
        <w:jc w:val="both"/>
        <w:rPr>
          <w:rFonts w:ascii="Arial" w:hAnsi="Arial" w:cs="Arial"/>
          <w:b/>
          <w:sz w:val="24"/>
          <w:szCs w:val="24"/>
        </w:rPr>
      </w:pPr>
    </w:p>
    <w:p w14:paraId="06B94EF8" w14:textId="1DEB4140" w:rsidR="00856361" w:rsidRDefault="00856361" w:rsidP="00202D91">
      <w:pPr>
        <w:jc w:val="both"/>
        <w:rPr>
          <w:rFonts w:ascii="Arial" w:hAnsi="Arial" w:cs="Arial"/>
          <w:b/>
          <w:sz w:val="24"/>
          <w:szCs w:val="24"/>
        </w:rPr>
      </w:pPr>
      <w:r>
        <w:rPr>
          <w:rFonts w:ascii="Arial" w:hAnsi="Arial" w:cs="Arial"/>
          <w:b/>
          <w:sz w:val="24"/>
          <w:szCs w:val="24"/>
        </w:rPr>
        <w:t>Project Name:</w:t>
      </w:r>
      <w:r w:rsidR="00BA0A92">
        <w:rPr>
          <w:rFonts w:ascii="Arial" w:hAnsi="Arial" w:cs="Arial"/>
          <w:b/>
          <w:sz w:val="24"/>
          <w:szCs w:val="24"/>
        </w:rPr>
        <w:t xml:space="preserve"> Statistical Capacity Building </w:t>
      </w:r>
      <w:r w:rsidR="0007720F">
        <w:rPr>
          <w:rFonts w:ascii="Arial" w:hAnsi="Arial" w:cs="Arial"/>
          <w:b/>
          <w:sz w:val="24"/>
          <w:szCs w:val="24"/>
        </w:rPr>
        <w:t>(SCB 4.2)</w:t>
      </w:r>
    </w:p>
    <w:p w14:paraId="215A1070" w14:textId="77777777" w:rsidR="00856361" w:rsidRDefault="00856361" w:rsidP="00202D91">
      <w:pPr>
        <w:jc w:val="both"/>
        <w:rPr>
          <w:rFonts w:ascii="Arial" w:hAnsi="Arial" w:cs="Arial"/>
          <w:b/>
          <w:sz w:val="24"/>
          <w:szCs w:val="24"/>
        </w:rPr>
      </w:pPr>
    </w:p>
    <w:p w14:paraId="0D01B9D2" w14:textId="207E8C24" w:rsidR="00856361" w:rsidRDefault="00856361" w:rsidP="00202D91">
      <w:pPr>
        <w:jc w:val="both"/>
        <w:rPr>
          <w:rFonts w:ascii="Arial" w:hAnsi="Arial" w:cs="Arial"/>
          <w:b/>
          <w:sz w:val="24"/>
          <w:szCs w:val="24"/>
        </w:rPr>
      </w:pPr>
      <w:r>
        <w:rPr>
          <w:rFonts w:ascii="Arial" w:hAnsi="Arial" w:cs="Arial"/>
          <w:b/>
          <w:sz w:val="24"/>
          <w:szCs w:val="24"/>
        </w:rPr>
        <w:t>Source of Funding:</w:t>
      </w:r>
      <w:r w:rsidR="003B3250">
        <w:rPr>
          <w:rFonts w:ascii="Arial" w:hAnsi="Arial" w:cs="Arial"/>
          <w:b/>
          <w:sz w:val="24"/>
          <w:szCs w:val="24"/>
        </w:rPr>
        <w:t xml:space="preserve"> A</w:t>
      </w:r>
      <w:r w:rsidR="0007720F">
        <w:rPr>
          <w:rFonts w:ascii="Arial" w:hAnsi="Arial" w:cs="Arial"/>
          <w:b/>
          <w:sz w:val="24"/>
          <w:szCs w:val="24"/>
        </w:rPr>
        <w:t>frican Development Bank (AfDB)</w:t>
      </w:r>
    </w:p>
    <w:p w14:paraId="74AA3F29" w14:textId="4246027A" w:rsidR="00D05E81" w:rsidRDefault="00D05E81" w:rsidP="00202D91">
      <w:pPr>
        <w:jc w:val="both"/>
        <w:rPr>
          <w:rFonts w:ascii="Arial" w:hAnsi="Arial" w:cs="Arial"/>
          <w:b/>
          <w:sz w:val="24"/>
          <w:szCs w:val="24"/>
        </w:rPr>
      </w:pPr>
    </w:p>
    <w:tbl>
      <w:tblPr>
        <w:tblStyle w:val="TableGrid"/>
        <w:tblW w:w="0" w:type="auto"/>
        <w:tblInd w:w="1075" w:type="dxa"/>
        <w:tblLook w:val="04A0" w:firstRow="1" w:lastRow="0" w:firstColumn="1" w:lastColumn="0" w:noHBand="0" w:noVBand="1"/>
      </w:tblPr>
      <w:tblGrid>
        <w:gridCol w:w="4344"/>
        <w:gridCol w:w="3528"/>
      </w:tblGrid>
      <w:tr w:rsidR="00F3351F" w14:paraId="03CAF7E3" w14:textId="77777777" w:rsidTr="00F3351F">
        <w:tc>
          <w:tcPr>
            <w:tcW w:w="4590" w:type="dxa"/>
          </w:tcPr>
          <w:p w14:paraId="27C368CD" w14:textId="5B4789F1" w:rsidR="00F3351F" w:rsidRDefault="00F3351F" w:rsidP="00202D91">
            <w:pPr>
              <w:jc w:val="both"/>
              <w:rPr>
                <w:rFonts w:ascii="Arial" w:hAnsi="Arial" w:cs="Arial"/>
                <w:b/>
                <w:sz w:val="24"/>
                <w:szCs w:val="24"/>
              </w:rPr>
            </w:pPr>
            <w:r>
              <w:rPr>
                <w:rFonts w:ascii="Arial" w:hAnsi="Arial" w:cs="Arial"/>
                <w:b/>
                <w:sz w:val="24"/>
                <w:szCs w:val="24"/>
              </w:rPr>
              <w:t>Grant Utilization Summary</w:t>
            </w:r>
          </w:p>
        </w:tc>
        <w:tc>
          <w:tcPr>
            <w:tcW w:w="3685" w:type="dxa"/>
          </w:tcPr>
          <w:p w14:paraId="0E984CE7" w14:textId="7E9EB6D6" w:rsidR="00F3351F" w:rsidRDefault="003B3250" w:rsidP="00F3351F">
            <w:pPr>
              <w:jc w:val="right"/>
              <w:rPr>
                <w:rFonts w:ascii="Arial" w:hAnsi="Arial" w:cs="Arial"/>
                <w:b/>
                <w:sz w:val="24"/>
                <w:szCs w:val="24"/>
              </w:rPr>
            </w:pPr>
            <w:r>
              <w:rPr>
                <w:rFonts w:ascii="Arial" w:hAnsi="Arial" w:cs="Arial"/>
                <w:b/>
                <w:sz w:val="24"/>
                <w:szCs w:val="24"/>
              </w:rPr>
              <w:t>USD</w:t>
            </w:r>
          </w:p>
        </w:tc>
      </w:tr>
      <w:tr w:rsidR="00F3351F" w14:paraId="07DE071B" w14:textId="77777777" w:rsidTr="00F3351F">
        <w:tc>
          <w:tcPr>
            <w:tcW w:w="4590" w:type="dxa"/>
          </w:tcPr>
          <w:p w14:paraId="28FCEEFE" w14:textId="6543FE76"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Amount</w:t>
            </w:r>
          </w:p>
        </w:tc>
        <w:tc>
          <w:tcPr>
            <w:tcW w:w="3685" w:type="dxa"/>
          </w:tcPr>
          <w:p w14:paraId="0A6961EA" w14:textId="20338087" w:rsidR="00F3351F" w:rsidRPr="00F3351F" w:rsidRDefault="003B3250" w:rsidP="00F3351F">
            <w:pPr>
              <w:jc w:val="right"/>
              <w:rPr>
                <w:rFonts w:ascii="Arial" w:hAnsi="Arial" w:cs="Arial"/>
                <w:bCs/>
                <w:sz w:val="24"/>
                <w:szCs w:val="24"/>
              </w:rPr>
            </w:pPr>
            <w:r>
              <w:rPr>
                <w:rFonts w:ascii="Arial" w:hAnsi="Arial" w:cs="Arial"/>
                <w:bCs/>
                <w:sz w:val="24"/>
                <w:szCs w:val="24"/>
              </w:rPr>
              <w:t>2,080,805.00</w:t>
            </w:r>
          </w:p>
        </w:tc>
      </w:tr>
      <w:tr w:rsidR="00F3351F" w14:paraId="6F3BA23A" w14:textId="77777777" w:rsidTr="00F3351F">
        <w:tc>
          <w:tcPr>
            <w:tcW w:w="4590" w:type="dxa"/>
          </w:tcPr>
          <w:p w14:paraId="6BC35A04" w14:textId="410CA9DB"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utilized before current year</w:t>
            </w:r>
          </w:p>
        </w:tc>
        <w:tc>
          <w:tcPr>
            <w:tcW w:w="3685" w:type="dxa"/>
          </w:tcPr>
          <w:p w14:paraId="40614909" w14:textId="54E16E27" w:rsidR="00F3351F" w:rsidRPr="00F3351F" w:rsidRDefault="00DD31A4" w:rsidP="00F3351F">
            <w:pPr>
              <w:jc w:val="right"/>
              <w:rPr>
                <w:rFonts w:ascii="Arial" w:hAnsi="Arial" w:cs="Arial"/>
                <w:bCs/>
                <w:sz w:val="24"/>
                <w:szCs w:val="24"/>
              </w:rPr>
            </w:pPr>
            <w:r>
              <w:rPr>
                <w:rFonts w:ascii="Arial" w:hAnsi="Arial" w:cs="Arial"/>
                <w:bCs/>
                <w:sz w:val="24"/>
                <w:szCs w:val="24"/>
              </w:rPr>
              <w:t>(</w:t>
            </w:r>
            <w:r w:rsidR="005E19AD">
              <w:rPr>
                <w:rFonts w:ascii="Arial" w:hAnsi="Arial" w:cs="Arial"/>
                <w:bCs/>
                <w:sz w:val="24"/>
                <w:szCs w:val="24"/>
              </w:rPr>
              <w:t>544,647</w:t>
            </w:r>
            <w:r w:rsidR="001C4DDB">
              <w:rPr>
                <w:rFonts w:ascii="Arial" w:hAnsi="Arial" w:cs="Arial"/>
                <w:bCs/>
                <w:sz w:val="24"/>
                <w:szCs w:val="24"/>
              </w:rPr>
              <w:t>.00</w:t>
            </w:r>
            <w:r>
              <w:rPr>
                <w:rFonts w:ascii="Arial" w:hAnsi="Arial" w:cs="Arial"/>
                <w:bCs/>
                <w:sz w:val="24"/>
                <w:szCs w:val="24"/>
              </w:rPr>
              <w:t>)</w:t>
            </w:r>
          </w:p>
        </w:tc>
      </w:tr>
      <w:tr w:rsidR="00F3351F" w14:paraId="763BF8AD" w14:textId="77777777" w:rsidTr="00F3351F">
        <w:tc>
          <w:tcPr>
            <w:tcW w:w="4590" w:type="dxa"/>
          </w:tcPr>
          <w:p w14:paraId="5DCB819B" w14:textId="6756B486" w:rsidR="00F3351F" w:rsidRPr="00F3351F" w:rsidRDefault="00F3351F" w:rsidP="00202D91">
            <w:pPr>
              <w:jc w:val="both"/>
              <w:rPr>
                <w:rFonts w:ascii="Arial" w:hAnsi="Arial" w:cs="Arial"/>
                <w:bCs/>
                <w:sz w:val="24"/>
                <w:szCs w:val="24"/>
              </w:rPr>
            </w:pPr>
            <w:r>
              <w:rPr>
                <w:rFonts w:ascii="Arial" w:hAnsi="Arial" w:cs="Arial"/>
                <w:bCs/>
                <w:sz w:val="24"/>
                <w:szCs w:val="24"/>
              </w:rPr>
              <w:t>Grant utilized in 2017</w:t>
            </w:r>
          </w:p>
        </w:tc>
        <w:tc>
          <w:tcPr>
            <w:tcW w:w="3685" w:type="dxa"/>
          </w:tcPr>
          <w:p w14:paraId="6337FEEF" w14:textId="5C39E93E" w:rsidR="00F3351F" w:rsidRPr="00F3351F" w:rsidRDefault="00DD31A4" w:rsidP="00F3351F">
            <w:pPr>
              <w:jc w:val="right"/>
              <w:rPr>
                <w:rFonts w:ascii="Arial" w:hAnsi="Arial" w:cs="Arial"/>
                <w:bCs/>
                <w:sz w:val="24"/>
                <w:szCs w:val="24"/>
              </w:rPr>
            </w:pPr>
            <w:r>
              <w:rPr>
                <w:rFonts w:ascii="Arial" w:hAnsi="Arial" w:cs="Arial"/>
                <w:bCs/>
                <w:sz w:val="24"/>
                <w:szCs w:val="24"/>
              </w:rPr>
              <w:t>(</w:t>
            </w:r>
            <w:r w:rsidR="005E19AD">
              <w:rPr>
                <w:rFonts w:ascii="Arial" w:hAnsi="Arial" w:cs="Arial"/>
                <w:bCs/>
                <w:sz w:val="24"/>
                <w:szCs w:val="24"/>
              </w:rPr>
              <w:t>842,215.00</w:t>
            </w:r>
            <w:r>
              <w:rPr>
                <w:rFonts w:ascii="Arial" w:hAnsi="Arial" w:cs="Arial"/>
                <w:bCs/>
                <w:sz w:val="24"/>
                <w:szCs w:val="24"/>
              </w:rPr>
              <w:t>)</w:t>
            </w:r>
          </w:p>
        </w:tc>
      </w:tr>
      <w:tr w:rsidR="00F3351F" w14:paraId="2E642490" w14:textId="77777777" w:rsidTr="00F3351F">
        <w:tc>
          <w:tcPr>
            <w:tcW w:w="4590" w:type="dxa"/>
          </w:tcPr>
          <w:p w14:paraId="75C00D97" w14:textId="2692830F" w:rsidR="00F3351F" w:rsidRPr="00F3351F" w:rsidRDefault="00F3351F" w:rsidP="00202D91">
            <w:pPr>
              <w:jc w:val="both"/>
              <w:rPr>
                <w:rFonts w:ascii="Arial" w:hAnsi="Arial" w:cs="Arial"/>
                <w:b/>
                <w:sz w:val="24"/>
                <w:szCs w:val="24"/>
              </w:rPr>
            </w:pPr>
            <w:r w:rsidRPr="00F3351F">
              <w:rPr>
                <w:rFonts w:ascii="Arial" w:hAnsi="Arial" w:cs="Arial"/>
                <w:b/>
                <w:sz w:val="24"/>
                <w:szCs w:val="24"/>
              </w:rPr>
              <w:t xml:space="preserve">Balance </w:t>
            </w:r>
            <w:r>
              <w:rPr>
                <w:rFonts w:ascii="Arial" w:hAnsi="Arial" w:cs="Arial"/>
                <w:b/>
                <w:sz w:val="24"/>
                <w:szCs w:val="24"/>
              </w:rPr>
              <w:t xml:space="preserve">-2017 </w:t>
            </w:r>
          </w:p>
        </w:tc>
        <w:tc>
          <w:tcPr>
            <w:tcW w:w="3685" w:type="dxa"/>
          </w:tcPr>
          <w:p w14:paraId="63D646B9" w14:textId="10FCFD58" w:rsidR="00F3351F" w:rsidRPr="00F3351F" w:rsidRDefault="00565F7A" w:rsidP="00F3351F">
            <w:pPr>
              <w:jc w:val="right"/>
              <w:rPr>
                <w:rFonts w:ascii="Arial" w:hAnsi="Arial" w:cs="Arial"/>
                <w:b/>
                <w:sz w:val="24"/>
                <w:szCs w:val="24"/>
              </w:rPr>
            </w:pPr>
            <w:r>
              <w:rPr>
                <w:rFonts w:ascii="Arial" w:hAnsi="Arial" w:cs="Arial"/>
                <w:b/>
                <w:sz w:val="24"/>
                <w:szCs w:val="24"/>
              </w:rPr>
              <w:t>6</w:t>
            </w:r>
            <w:r w:rsidR="00E36099">
              <w:rPr>
                <w:rFonts w:ascii="Arial" w:hAnsi="Arial" w:cs="Arial"/>
                <w:b/>
                <w:sz w:val="24"/>
                <w:szCs w:val="24"/>
              </w:rPr>
              <w:t>93,943.00</w:t>
            </w:r>
          </w:p>
        </w:tc>
      </w:tr>
    </w:tbl>
    <w:p w14:paraId="28761B39" w14:textId="55FF3365" w:rsidR="00F3351F" w:rsidRDefault="00F3351F" w:rsidP="00202D91">
      <w:pPr>
        <w:jc w:val="both"/>
        <w:rPr>
          <w:rFonts w:ascii="Arial" w:hAnsi="Arial" w:cs="Arial"/>
          <w:b/>
          <w:sz w:val="24"/>
          <w:szCs w:val="24"/>
        </w:rPr>
      </w:pPr>
    </w:p>
    <w:p w14:paraId="3A6393CA" w14:textId="31CE06A7" w:rsidR="00F3351F" w:rsidRDefault="00224AFF" w:rsidP="00202D91">
      <w:pPr>
        <w:jc w:val="both"/>
        <w:rPr>
          <w:rFonts w:ascii="Arial" w:hAnsi="Arial" w:cs="Arial"/>
          <w:b/>
          <w:sz w:val="24"/>
          <w:szCs w:val="24"/>
        </w:rPr>
      </w:pPr>
      <w:r>
        <w:rPr>
          <w:rFonts w:ascii="Arial" w:hAnsi="Arial" w:cs="Arial"/>
          <w:b/>
          <w:sz w:val="24"/>
          <w:szCs w:val="24"/>
        </w:rPr>
        <w:t>––––––––––––––––––––––––––––––––––––––––––––––––––––––––––––––––––––––</w:t>
      </w:r>
    </w:p>
    <w:p w14:paraId="47E20DAF" w14:textId="77777777" w:rsidR="00224AFF" w:rsidRDefault="00224AFF" w:rsidP="00202D91">
      <w:pPr>
        <w:jc w:val="both"/>
        <w:rPr>
          <w:rFonts w:ascii="Arial" w:hAnsi="Arial" w:cs="Arial"/>
          <w:b/>
          <w:sz w:val="24"/>
          <w:szCs w:val="24"/>
        </w:rPr>
      </w:pPr>
    </w:p>
    <w:p w14:paraId="6A39FCED" w14:textId="08FF9DBE" w:rsidR="00F3351F" w:rsidRDefault="00224AFF" w:rsidP="00224AFF">
      <w:pPr>
        <w:pStyle w:val="ListParagraph"/>
        <w:numPr>
          <w:ilvl w:val="0"/>
          <w:numId w:val="21"/>
        </w:numPr>
        <w:jc w:val="both"/>
        <w:rPr>
          <w:rFonts w:ascii="Arial" w:hAnsi="Arial" w:cs="Arial"/>
          <w:bCs/>
          <w:sz w:val="24"/>
          <w:szCs w:val="24"/>
        </w:rPr>
      </w:pPr>
      <w:r w:rsidRPr="00224AFF">
        <w:rPr>
          <w:rFonts w:ascii="Arial" w:hAnsi="Arial" w:cs="Arial"/>
          <w:bCs/>
          <w:sz w:val="24"/>
          <w:szCs w:val="24"/>
        </w:rPr>
        <w:t xml:space="preserve">The </w:t>
      </w:r>
      <w:bookmarkStart w:id="0" w:name="_Hlk20050551"/>
      <w:r w:rsidRPr="00224AFF">
        <w:rPr>
          <w:rFonts w:ascii="Arial" w:hAnsi="Arial" w:cs="Arial"/>
          <w:bCs/>
          <w:sz w:val="24"/>
          <w:szCs w:val="24"/>
        </w:rPr>
        <w:t xml:space="preserve">Sub Committee </w:t>
      </w:r>
      <w:bookmarkEnd w:id="0"/>
      <w:r w:rsidRPr="00224AFF">
        <w:rPr>
          <w:rFonts w:ascii="Arial" w:hAnsi="Arial" w:cs="Arial"/>
          <w:bCs/>
          <w:sz w:val="24"/>
          <w:szCs w:val="24"/>
        </w:rPr>
        <w:t xml:space="preserve">is </w:t>
      </w:r>
      <w:r>
        <w:rPr>
          <w:rFonts w:ascii="Arial" w:hAnsi="Arial" w:cs="Arial"/>
          <w:bCs/>
          <w:sz w:val="24"/>
          <w:szCs w:val="24"/>
        </w:rPr>
        <w:t>invited to consider the 201</w:t>
      </w:r>
      <w:r w:rsidR="00C35990">
        <w:rPr>
          <w:rFonts w:ascii="Arial" w:hAnsi="Arial" w:cs="Arial"/>
          <w:bCs/>
          <w:sz w:val="24"/>
          <w:szCs w:val="24"/>
        </w:rPr>
        <w:t>7</w:t>
      </w:r>
      <w:r>
        <w:rPr>
          <w:rFonts w:ascii="Arial" w:hAnsi="Arial" w:cs="Arial"/>
          <w:bCs/>
          <w:sz w:val="24"/>
          <w:szCs w:val="24"/>
        </w:rPr>
        <w:t xml:space="preserve"> </w:t>
      </w:r>
      <w:r w:rsidRPr="00224AFF">
        <w:rPr>
          <w:rFonts w:ascii="Arial" w:hAnsi="Arial" w:cs="Arial"/>
          <w:bCs/>
          <w:sz w:val="24"/>
          <w:szCs w:val="24"/>
        </w:rPr>
        <w:t>Audited Financial Statements</w:t>
      </w:r>
      <w:r>
        <w:rPr>
          <w:rFonts w:ascii="Arial" w:hAnsi="Arial" w:cs="Arial"/>
          <w:bCs/>
          <w:sz w:val="24"/>
          <w:szCs w:val="24"/>
        </w:rPr>
        <w:t xml:space="preserve"> and accompanying Management Letter issued by the external auditors </w:t>
      </w:r>
      <w:r w:rsidR="00FD39E1">
        <w:rPr>
          <w:rFonts w:ascii="Arial" w:hAnsi="Arial" w:cs="Arial"/>
          <w:bCs/>
          <w:sz w:val="24"/>
          <w:szCs w:val="24"/>
        </w:rPr>
        <w:t>KPMG</w:t>
      </w:r>
      <w:r>
        <w:rPr>
          <w:rFonts w:ascii="Arial" w:hAnsi="Arial" w:cs="Arial"/>
          <w:bCs/>
          <w:sz w:val="24"/>
          <w:szCs w:val="24"/>
        </w:rPr>
        <w:t>. The period covered is from</w:t>
      </w:r>
      <w:r w:rsidR="00FD39E1">
        <w:rPr>
          <w:rFonts w:ascii="Arial" w:hAnsi="Arial" w:cs="Arial"/>
          <w:bCs/>
          <w:sz w:val="24"/>
          <w:szCs w:val="24"/>
        </w:rPr>
        <w:t xml:space="preserve"> January</w:t>
      </w:r>
      <w:r>
        <w:rPr>
          <w:rFonts w:ascii="Arial" w:hAnsi="Arial" w:cs="Arial"/>
          <w:bCs/>
          <w:sz w:val="24"/>
          <w:szCs w:val="24"/>
        </w:rPr>
        <w:t xml:space="preserve"> </w:t>
      </w:r>
      <w:r w:rsidR="00FD39E1">
        <w:rPr>
          <w:rFonts w:ascii="Arial" w:hAnsi="Arial" w:cs="Arial"/>
          <w:bCs/>
          <w:sz w:val="24"/>
          <w:szCs w:val="24"/>
        </w:rPr>
        <w:t>2017</w:t>
      </w:r>
      <w:r>
        <w:rPr>
          <w:rFonts w:ascii="Arial" w:hAnsi="Arial" w:cs="Arial"/>
          <w:bCs/>
          <w:sz w:val="24"/>
          <w:szCs w:val="24"/>
        </w:rPr>
        <w:t xml:space="preserve"> to </w:t>
      </w:r>
      <w:r w:rsidR="00FD39E1">
        <w:rPr>
          <w:rFonts w:ascii="Arial" w:hAnsi="Arial" w:cs="Arial"/>
          <w:bCs/>
          <w:sz w:val="24"/>
          <w:szCs w:val="24"/>
        </w:rPr>
        <w:t>December 2017</w:t>
      </w:r>
    </w:p>
    <w:p w14:paraId="12E34FD8" w14:textId="5450BAF4" w:rsidR="00224AFF" w:rsidRDefault="00224AFF" w:rsidP="00224AFF">
      <w:pPr>
        <w:jc w:val="both"/>
        <w:rPr>
          <w:rFonts w:ascii="Arial" w:hAnsi="Arial" w:cs="Arial"/>
          <w:bCs/>
          <w:sz w:val="24"/>
          <w:szCs w:val="24"/>
        </w:rPr>
      </w:pPr>
    </w:p>
    <w:p w14:paraId="382115F5" w14:textId="3964152C" w:rsidR="00224AFF" w:rsidRDefault="00A17996" w:rsidP="00224AFF">
      <w:pPr>
        <w:pStyle w:val="ListParagraph"/>
        <w:numPr>
          <w:ilvl w:val="0"/>
          <w:numId w:val="21"/>
        </w:numPr>
        <w:jc w:val="both"/>
        <w:rPr>
          <w:rFonts w:ascii="Arial" w:hAnsi="Arial" w:cs="Arial"/>
          <w:bCs/>
          <w:sz w:val="24"/>
          <w:szCs w:val="24"/>
        </w:rPr>
      </w:pPr>
      <w:r>
        <w:rPr>
          <w:rFonts w:ascii="Arial" w:hAnsi="Arial" w:cs="Arial"/>
          <w:bCs/>
          <w:sz w:val="24"/>
          <w:szCs w:val="24"/>
        </w:rPr>
        <w:t xml:space="preserve">The </w:t>
      </w:r>
      <w:r w:rsidRPr="00224AFF">
        <w:rPr>
          <w:rFonts w:ascii="Arial" w:hAnsi="Arial" w:cs="Arial"/>
          <w:bCs/>
          <w:sz w:val="24"/>
          <w:szCs w:val="24"/>
        </w:rPr>
        <w:t>Sub Committee</w:t>
      </w:r>
      <w:r>
        <w:rPr>
          <w:rFonts w:ascii="Arial" w:hAnsi="Arial" w:cs="Arial"/>
          <w:bCs/>
          <w:sz w:val="24"/>
          <w:szCs w:val="24"/>
        </w:rPr>
        <w:t xml:space="preserve"> is also invited to consider the following:</w:t>
      </w:r>
    </w:p>
    <w:p w14:paraId="2AD205CD" w14:textId="4F8CFED1" w:rsidR="00A17996" w:rsidRDefault="00A17996" w:rsidP="00A17996">
      <w:pPr>
        <w:pStyle w:val="ListParagraph"/>
        <w:rPr>
          <w:rFonts w:ascii="Arial" w:hAnsi="Arial" w:cs="Arial"/>
          <w:bCs/>
          <w:sz w:val="24"/>
          <w:szCs w:val="24"/>
        </w:rPr>
      </w:pPr>
    </w:p>
    <w:p w14:paraId="6F187CDA" w14:textId="382D68E1" w:rsidR="00A17996" w:rsidRPr="00450EAC" w:rsidRDefault="00A17996" w:rsidP="00A17996">
      <w:pPr>
        <w:pStyle w:val="ListParagraph"/>
        <w:numPr>
          <w:ilvl w:val="1"/>
          <w:numId w:val="21"/>
        </w:numPr>
        <w:rPr>
          <w:rFonts w:ascii="Arial" w:hAnsi="Arial" w:cs="Arial"/>
          <w:bCs/>
          <w:sz w:val="24"/>
          <w:szCs w:val="24"/>
          <w:u w:val="single"/>
        </w:rPr>
      </w:pPr>
      <w:r w:rsidRPr="00450EAC">
        <w:rPr>
          <w:rFonts w:ascii="Arial" w:hAnsi="Arial" w:cs="Arial"/>
          <w:bCs/>
          <w:sz w:val="24"/>
          <w:szCs w:val="24"/>
          <w:u w:val="single"/>
        </w:rPr>
        <w:t>Audit Opinion</w:t>
      </w:r>
    </w:p>
    <w:p w14:paraId="411D4DD0" w14:textId="5EA32F73" w:rsidR="00A17996" w:rsidRPr="00450EAC" w:rsidRDefault="00A17996" w:rsidP="00A17996">
      <w:pPr>
        <w:pStyle w:val="ListParagraph"/>
        <w:ind w:left="1125"/>
        <w:rPr>
          <w:rFonts w:ascii="Arial" w:hAnsi="Arial" w:cs="Arial"/>
          <w:bCs/>
          <w:sz w:val="24"/>
          <w:szCs w:val="24"/>
          <w:u w:val="single"/>
        </w:rPr>
      </w:pPr>
    </w:p>
    <w:p w14:paraId="445445CF" w14:textId="005C2FCF" w:rsidR="007209C9" w:rsidRPr="00450EAC" w:rsidRDefault="00A17996" w:rsidP="00450EAC">
      <w:pPr>
        <w:pStyle w:val="KAMKNormal"/>
        <w:spacing w:before="0" w:after="0"/>
        <w:ind w:left="1134" w:right="283"/>
        <w:jc w:val="both"/>
        <w:rPr>
          <w:rFonts w:ascii="Arial" w:hAnsi="Arial" w:cs="Arial"/>
          <w:b/>
          <w:bCs/>
          <w:sz w:val="24"/>
        </w:rPr>
      </w:pPr>
      <w:r w:rsidRPr="00450EAC">
        <w:rPr>
          <w:rFonts w:ascii="Arial" w:hAnsi="Arial" w:cs="Arial"/>
          <w:bCs/>
          <w:sz w:val="24"/>
        </w:rPr>
        <w:t>“</w:t>
      </w:r>
      <w:r w:rsidR="007209C9" w:rsidRPr="00450EAC">
        <w:rPr>
          <w:rFonts w:ascii="Arial" w:hAnsi="Arial" w:cs="Arial"/>
          <w:sz w:val="24"/>
        </w:rPr>
        <w:t>We have audited the financial statements of COMESA – Statistical Capacity Building (SCB) Program (“the Program</w:t>
      </w:r>
      <w:r w:rsidR="00687D5F" w:rsidRPr="00450EAC">
        <w:rPr>
          <w:rFonts w:ascii="Arial" w:hAnsi="Arial" w:cs="Arial"/>
          <w:sz w:val="24"/>
        </w:rPr>
        <w:t>me</w:t>
      </w:r>
      <w:r w:rsidR="007209C9" w:rsidRPr="00450EAC">
        <w:rPr>
          <w:rFonts w:ascii="Arial" w:hAnsi="Arial" w:cs="Arial"/>
          <w:sz w:val="24"/>
        </w:rPr>
        <w:t>”),</w:t>
      </w:r>
      <w:r w:rsidR="00687D5F" w:rsidRPr="00450EAC">
        <w:rPr>
          <w:rFonts w:ascii="Arial" w:hAnsi="Arial" w:cs="Arial"/>
          <w:sz w:val="24"/>
        </w:rPr>
        <w:t xml:space="preserve"> set out on page </w:t>
      </w:r>
      <w:r w:rsidR="00CF2BFB" w:rsidRPr="00450EAC">
        <w:rPr>
          <w:rFonts w:ascii="Arial" w:hAnsi="Arial" w:cs="Arial"/>
          <w:sz w:val="24"/>
        </w:rPr>
        <w:t>8</w:t>
      </w:r>
      <w:r w:rsidR="00687D5F" w:rsidRPr="00450EAC">
        <w:rPr>
          <w:rFonts w:ascii="Arial" w:hAnsi="Arial" w:cs="Arial"/>
          <w:sz w:val="24"/>
        </w:rPr>
        <w:t xml:space="preserve"> to 16</w:t>
      </w:r>
      <w:r w:rsidR="00CF2BFB" w:rsidRPr="00450EAC">
        <w:rPr>
          <w:rFonts w:ascii="Arial" w:hAnsi="Arial" w:cs="Arial"/>
          <w:sz w:val="24"/>
        </w:rPr>
        <w:t xml:space="preserve"> </w:t>
      </w:r>
      <w:r w:rsidR="007209C9" w:rsidRPr="00450EAC">
        <w:rPr>
          <w:rFonts w:ascii="Arial" w:hAnsi="Arial" w:cs="Arial"/>
          <w:sz w:val="24"/>
        </w:rPr>
        <w:t>which comprise the statement of financial position</w:t>
      </w:r>
      <w:r w:rsidR="007209C9" w:rsidRPr="00450EAC">
        <w:rPr>
          <w:rFonts w:ascii="Arial" w:hAnsi="Arial" w:cs="Arial"/>
          <w:b/>
          <w:bCs/>
          <w:sz w:val="24"/>
        </w:rPr>
        <w:t xml:space="preserve"> </w:t>
      </w:r>
      <w:r w:rsidR="007209C9" w:rsidRPr="00450EAC">
        <w:rPr>
          <w:rFonts w:ascii="Arial" w:hAnsi="Arial" w:cs="Arial"/>
          <w:sz w:val="24"/>
        </w:rPr>
        <w:t>as at 31 December 201</w:t>
      </w:r>
      <w:r w:rsidR="00CF2BFB" w:rsidRPr="00450EAC">
        <w:rPr>
          <w:rFonts w:ascii="Arial" w:hAnsi="Arial" w:cs="Arial"/>
          <w:sz w:val="24"/>
        </w:rPr>
        <w:t>7</w:t>
      </w:r>
      <w:r w:rsidR="007209C9" w:rsidRPr="00450EAC">
        <w:rPr>
          <w:rFonts w:ascii="Arial" w:hAnsi="Arial" w:cs="Arial"/>
          <w:sz w:val="24"/>
        </w:rPr>
        <w:t>, the statements of income and expenditure and cash flows for the year then ended, and notes to the financial statements, including a summary of significant accounting policies and other explanatory information</w:t>
      </w:r>
      <w:r w:rsidR="00381523" w:rsidRPr="00450EAC">
        <w:rPr>
          <w:rFonts w:ascii="Arial" w:hAnsi="Arial" w:cs="Arial"/>
          <w:sz w:val="24"/>
        </w:rPr>
        <w:t>.</w:t>
      </w:r>
      <w:r w:rsidR="007209C9" w:rsidRPr="00450EAC">
        <w:rPr>
          <w:rFonts w:ascii="Arial" w:hAnsi="Arial" w:cs="Arial"/>
          <w:sz w:val="24"/>
        </w:rPr>
        <w:t xml:space="preserve"> </w:t>
      </w:r>
    </w:p>
    <w:p w14:paraId="7006E373" w14:textId="77777777" w:rsidR="007209C9" w:rsidRPr="00450EAC" w:rsidRDefault="007209C9" w:rsidP="00450EAC">
      <w:pPr>
        <w:tabs>
          <w:tab w:val="left" w:pos="8505"/>
        </w:tabs>
        <w:ind w:left="1134" w:right="283"/>
        <w:jc w:val="both"/>
        <w:rPr>
          <w:rFonts w:ascii="Arial" w:hAnsi="Arial" w:cs="Arial"/>
          <w:color w:val="000000"/>
          <w:sz w:val="24"/>
          <w:szCs w:val="24"/>
          <w:lang w:val="en-ZA" w:eastAsia="en-ZA"/>
        </w:rPr>
      </w:pPr>
    </w:p>
    <w:p w14:paraId="3D7846D9" w14:textId="77777777" w:rsidR="00EB10BA" w:rsidRDefault="007209C9" w:rsidP="007209C9">
      <w:pPr>
        <w:pStyle w:val="ListParagraph"/>
        <w:ind w:left="1125"/>
        <w:rPr>
          <w:rFonts w:ascii="Arial" w:hAnsi="Arial" w:cs="Arial"/>
          <w:bCs/>
          <w:sz w:val="24"/>
          <w:szCs w:val="24"/>
        </w:rPr>
      </w:pPr>
      <w:r w:rsidRPr="00450EAC">
        <w:rPr>
          <w:rFonts w:ascii="Arial" w:hAnsi="Arial" w:cs="Arial"/>
          <w:sz w:val="24"/>
          <w:szCs w:val="24"/>
        </w:rPr>
        <w:t xml:space="preserve">In our opinion, the financial statements present fairly, in all material respects, the financial position of COMESA – Statistical Capacity Building </w:t>
      </w:r>
      <w:r w:rsidRPr="00450EAC">
        <w:rPr>
          <w:rFonts w:ascii="Arial" w:hAnsi="Arial" w:cs="Arial"/>
          <w:sz w:val="24"/>
          <w:szCs w:val="24"/>
        </w:rPr>
        <w:lastRenderedPageBreak/>
        <w:t>(SCB) Program as at 31 December 201</w:t>
      </w:r>
      <w:r w:rsidR="00381523" w:rsidRPr="00450EAC">
        <w:rPr>
          <w:rFonts w:ascii="Arial" w:hAnsi="Arial" w:cs="Arial"/>
          <w:sz w:val="24"/>
          <w:szCs w:val="24"/>
        </w:rPr>
        <w:t>7</w:t>
      </w:r>
      <w:r w:rsidRPr="00450EAC">
        <w:rPr>
          <w:rFonts w:ascii="Arial" w:hAnsi="Arial" w:cs="Arial"/>
          <w:sz w:val="24"/>
          <w:szCs w:val="24"/>
        </w:rPr>
        <w:t xml:space="preserve"> and its financial performance and its cash flows for the year then ended in accordance with the basis of accounting described in note 2, and the requirements of the COMESA financial rules and regulations and the Protocol of agreement between COMESA and the African Development Bank</w:t>
      </w:r>
      <w:r w:rsidR="00A17996" w:rsidRPr="00450EAC">
        <w:rPr>
          <w:rFonts w:ascii="Arial" w:hAnsi="Arial" w:cs="Arial"/>
          <w:bCs/>
          <w:sz w:val="24"/>
          <w:szCs w:val="24"/>
        </w:rPr>
        <w:t xml:space="preserve"> </w:t>
      </w:r>
    </w:p>
    <w:p w14:paraId="0EA61206" w14:textId="524F0B7B" w:rsidR="00A17996" w:rsidRPr="00450EAC" w:rsidRDefault="00A17996" w:rsidP="007209C9">
      <w:pPr>
        <w:pStyle w:val="ListParagraph"/>
        <w:ind w:left="1125"/>
        <w:rPr>
          <w:rFonts w:ascii="Arial" w:hAnsi="Arial" w:cs="Arial"/>
          <w:bCs/>
          <w:sz w:val="24"/>
          <w:szCs w:val="24"/>
        </w:rPr>
      </w:pPr>
      <w:r w:rsidRPr="00450EAC">
        <w:rPr>
          <w:rFonts w:ascii="Arial" w:hAnsi="Arial" w:cs="Arial"/>
          <w:bCs/>
          <w:sz w:val="24"/>
          <w:szCs w:val="24"/>
        </w:rPr>
        <w:t xml:space="preserve">             </w:t>
      </w:r>
    </w:p>
    <w:p w14:paraId="1D037012" w14:textId="622F9ABB" w:rsidR="00A17996" w:rsidRP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Management Letter</w:t>
      </w:r>
    </w:p>
    <w:p w14:paraId="39FAB647" w14:textId="77777777" w:rsidR="00A17996" w:rsidRPr="00A17996" w:rsidRDefault="00A17996" w:rsidP="00A17996">
      <w:pPr>
        <w:pStyle w:val="ListParagraph"/>
        <w:ind w:left="1125"/>
        <w:rPr>
          <w:rFonts w:ascii="Arial" w:hAnsi="Arial" w:cs="Arial"/>
          <w:bCs/>
          <w:sz w:val="24"/>
          <w:szCs w:val="24"/>
        </w:rPr>
      </w:pPr>
    </w:p>
    <w:tbl>
      <w:tblPr>
        <w:tblStyle w:val="TableGrid"/>
        <w:tblW w:w="0" w:type="auto"/>
        <w:tblInd w:w="1125" w:type="dxa"/>
        <w:tblLook w:val="04A0" w:firstRow="1" w:lastRow="0" w:firstColumn="1" w:lastColumn="0" w:noHBand="0" w:noVBand="1"/>
      </w:tblPr>
      <w:tblGrid>
        <w:gridCol w:w="1655"/>
        <w:gridCol w:w="2217"/>
        <w:gridCol w:w="1358"/>
        <w:gridCol w:w="1097"/>
        <w:gridCol w:w="1495"/>
      </w:tblGrid>
      <w:tr w:rsidR="00A17996" w14:paraId="07963C56" w14:textId="77777777" w:rsidTr="00A17996">
        <w:tc>
          <w:tcPr>
            <w:tcW w:w="1870" w:type="dxa"/>
          </w:tcPr>
          <w:p w14:paraId="335E87FB" w14:textId="147305FF" w:rsidR="00A17996" w:rsidRDefault="00A17996" w:rsidP="00A17996">
            <w:pPr>
              <w:pStyle w:val="ListParagraph"/>
              <w:ind w:left="0"/>
              <w:rPr>
                <w:rFonts w:ascii="Arial" w:hAnsi="Arial" w:cs="Arial"/>
                <w:bCs/>
                <w:sz w:val="24"/>
                <w:szCs w:val="24"/>
              </w:rPr>
            </w:pPr>
            <w:r>
              <w:rPr>
                <w:rFonts w:ascii="Arial" w:hAnsi="Arial" w:cs="Arial"/>
                <w:bCs/>
                <w:sz w:val="24"/>
                <w:szCs w:val="24"/>
              </w:rPr>
              <w:t>Finding</w:t>
            </w:r>
          </w:p>
        </w:tc>
        <w:tc>
          <w:tcPr>
            <w:tcW w:w="1870" w:type="dxa"/>
          </w:tcPr>
          <w:p w14:paraId="4C937429" w14:textId="76E08BC3" w:rsidR="00A17996" w:rsidRDefault="00A17996" w:rsidP="00A17996">
            <w:pPr>
              <w:pStyle w:val="ListParagraph"/>
              <w:ind w:left="0"/>
              <w:rPr>
                <w:rFonts w:ascii="Arial" w:hAnsi="Arial" w:cs="Arial"/>
                <w:bCs/>
                <w:sz w:val="24"/>
                <w:szCs w:val="24"/>
              </w:rPr>
            </w:pPr>
            <w:r>
              <w:rPr>
                <w:rFonts w:ascii="Arial" w:hAnsi="Arial" w:cs="Arial"/>
                <w:bCs/>
                <w:sz w:val="24"/>
                <w:szCs w:val="24"/>
              </w:rPr>
              <w:t>Recommendations</w:t>
            </w:r>
          </w:p>
        </w:tc>
        <w:tc>
          <w:tcPr>
            <w:tcW w:w="1870" w:type="dxa"/>
          </w:tcPr>
          <w:p w14:paraId="4FDC29C7" w14:textId="6AD511F9" w:rsidR="00A17996" w:rsidRDefault="00A17996" w:rsidP="00A17996">
            <w:pPr>
              <w:pStyle w:val="ListParagraph"/>
              <w:ind w:left="0"/>
              <w:rPr>
                <w:rFonts w:ascii="Arial" w:hAnsi="Arial" w:cs="Arial"/>
                <w:bCs/>
                <w:sz w:val="24"/>
                <w:szCs w:val="24"/>
              </w:rPr>
            </w:pPr>
            <w:r>
              <w:rPr>
                <w:rFonts w:ascii="Arial" w:hAnsi="Arial" w:cs="Arial"/>
                <w:bCs/>
                <w:sz w:val="24"/>
                <w:szCs w:val="24"/>
              </w:rPr>
              <w:t>Action taken</w:t>
            </w:r>
          </w:p>
        </w:tc>
        <w:tc>
          <w:tcPr>
            <w:tcW w:w="1870" w:type="dxa"/>
          </w:tcPr>
          <w:p w14:paraId="0DD1EDE3" w14:textId="77777777" w:rsidR="00A17996" w:rsidRDefault="00A17996" w:rsidP="00A17996">
            <w:pPr>
              <w:pStyle w:val="ListParagraph"/>
              <w:ind w:left="0"/>
              <w:rPr>
                <w:rFonts w:ascii="Arial" w:hAnsi="Arial" w:cs="Arial"/>
                <w:bCs/>
                <w:sz w:val="24"/>
                <w:szCs w:val="24"/>
              </w:rPr>
            </w:pPr>
            <w:r>
              <w:rPr>
                <w:rFonts w:ascii="Arial" w:hAnsi="Arial" w:cs="Arial"/>
                <w:bCs/>
                <w:sz w:val="24"/>
                <w:szCs w:val="24"/>
              </w:rPr>
              <w:t>Status</w:t>
            </w:r>
          </w:p>
          <w:p w14:paraId="4C3B8BD0" w14:textId="3CA3D1A5" w:rsidR="00A17996" w:rsidRDefault="00A17996" w:rsidP="00A17996">
            <w:pPr>
              <w:pStyle w:val="ListParagraph"/>
              <w:ind w:left="0"/>
              <w:rPr>
                <w:rFonts w:ascii="Arial" w:hAnsi="Arial" w:cs="Arial"/>
                <w:bCs/>
                <w:sz w:val="24"/>
                <w:szCs w:val="24"/>
              </w:rPr>
            </w:pPr>
            <w:r>
              <w:rPr>
                <w:rFonts w:ascii="Arial" w:hAnsi="Arial" w:cs="Arial"/>
                <w:bCs/>
                <w:sz w:val="24"/>
                <w:szCs w:val="24"/>
              </w:rPr>
              <w:t>31 August 2019</w:t>
            </w:r>
          </w:p>
        </w:tc>
        <w:tc>
          <w:tcPr>
            <w:tcW w:w="1870" w:type="dxa"/>
          </w:tcPr>
          <w:p w14:paraId="236F8035" w14:textId="3F4523CE" w:rsidR="00A17996" w:rsidRDefault="00A17996" w:rsidP="00A17996">
            <w:pPr>
              <w:pStyle w:val="ListParagraph"/>
              <w:ind w:left="0"/>
              <w:rPr>
                <w:rFonts w:ascii="Arial" w:hAnsi="Arial" w:cs="Arial"/>
                <w:bCs/>
                <w:sz w:val="24"/>
                <w:szCs w:val="24"/>
              </w:rPr>
            </w:pPr>
            <w:r>
              <w:rPr>
                <w:rFonts w:ascii="Arial" w:hAnsi="Arial" w:cs="Arial"/>
                <w:bCs/>
                <w:sz w:val="24"/>
                <w:szCs w:val="24"/>
              </w:rPr>
              <w:t>Completion Time frame</w:t>
            </w:r>
          </w:p>
        </w:tc>
      </w:tr>
      <w:tr w:rsidR="00A17996" w14:paraId="7303FF29" w14:textId="77777777" w:rsidTr="00A17996">
        <w:tc>
          <w:tcPr>
            <w:tcW w:w="1870" w:type="dxa"/>
          </w:tcPr>
          <w:p w14:paraId="090B18B9" w14:textId="26A2FD54" w:rsidR="00D562A4" w:rsidRPr="00D562A4" w:rsidRDefault="00D562A4" w:rsidP="00D562A4">
            <w:pPr>
              <w:pStyle w:val="ListParagraph"/>
              <w:ind w:left="0"/>
              <w:rPr>
                <w:rFonts w:ascii="Arial" w:hAnsi="Arial" w:cs="Arial"/>
                <w:bCs/>
                <w:sz w:val="24"/>
                <w:szCs w:val="24"/>
                <w:lang w:val="en-ZM"/>
              </w:rPr>
            </w:pPr>
            <w:r w:rsidRPr="00D562A4">
              <w:rPr>
                <w:rFonts w:ascii="Arial" w:hAnsi="Arial" w:cs="Arial"/>
                <w:bCs/>
                <w:sz w:val="24"/>
                <w:szCs w:val="24"/>
                <w:lang w:val="en-ZA"/>
              </w:rPr>
              <w:t xml:space="preserve">We noted that the exchange rates used by management are </w:t>
            </w:r>
            <w:r w:rsidR="006A7C26">
              <w:rPr>
                <w:rFonts w:ascii="Arial" w:hAnsi="Arial" w:cs="Arial"/>
                <w:bCs/>
                <w:sz w:val="24"/>
                <w:szCs w:val="24"/>
                <w:lang w:val="en-ZA"/>
              </w:rPr>
              <w:t xml:space="preserve">not </w:t>
            </w:r>
            <w:r w:rsidRPr="00D562A4">
              <w:rPr>
                <w:rFonts w:ascii="Arial" w:hAnsi="Arial" w:cs="Arial"/>
                <w:bCs/>
                <w:sz w:val="24"/>
                <w:szCs w:val="24"/>
                <w:lang w:val="en-ZA"/>
              </w:rPr>
              <w:t>reasonable as noted below</w:t>
            </w:r>
            <w:r w:rsidR="00DB3C63">
              <w:rPr>
                <w:rFonts w:ascii="Arial" w:hAnsi="Arial" w:cs="Arial"/>
                <w:bCs/>
                <w:sz w:val="24"/>
                <w:szCs w:val="24"/>
                <w:lang w:val="en-ZA"/>
              </w:rPr>
              <w:t xml:space="preserve"> (Table A)</w:t>
            </w:r>
          </w:p>
          <w:p w14:paraId="299562DF" w14:textId="77777777" w:rsidR="00A17996" w:rsidRDefault="00A17996" w:rsidP="00A17996">
            <w:pPr>
              <w:pStyle w:val="ListParagraph"/>
              <w:ind w:left="0"/>
              <w:rPr>
                <w:rFonts w:ascii="Arial" w:hAnsi="Arial" w:cs="Arial"/>
                <w:bCs/>
                <w:sz w:val="24"/>
                <w:szCs w:val="24"/>
              </w:rPr>
            </w:pPr>
          </w:p>
        </w:tc>
        <w:tc>
          <w:tcPr>
            <w:tcW w:w="1870" w:type="dxa"/>
          </w:tcPr>
          <w:p w14:paraId="62FEBE41" w14:textId="242DC509" w:rsidR="00A17996" w:rsidRDefault="00CE7CDA" w:rsidP="00A17996">
            <w:pPr>
              <w:pStyle w:val="ListParagraph"/>
              <w:ind w:left="0"/>
              <w:rPr>
                <w:rFonts w:ascii="Arial" w:hAnsi="Arial" w:cs="Arial"/>
                <w:bCs/>
                <w:sz w:val="24"/>
                <w:szCs w:val="24"/>
              </w:rPr>
            </w:pPr>
            <w:r w:rsidRPr="00CE7CDA">
              <w:rPr>
                <w:rFonts w:ascii="Arial" w:hAnsi="Arial" w:cs="Arial"/>
                <w:bCs/>
                <w:sz w:val="24"/>
                <w:szCs w:val="24"/>
              </w:rPr>
              <w:t>We recommend that management should use applicable at the time of translating foreign currency transaction</w:t>
            </w:r>
          </w:p>
        </w:tc>
        <w:tc>
          <w:tcPr>
            <w:tcW w:w="1870" w:type="dxa"/>
          </w:tcPr>
          <w:p w14:paraId="61D5BB1F" w14:textId="4D632644" w:rsidR="00A17996" w:rsidRDefault="001D60A4" w:rsidP="00A17996">
            <w:pPr>
              <w:pStyle w:val="ListParagraph"/>
              <w:ind w:left="0"/>
              <w:rPr>
                <w:rFonts w:ascii="Arial" w:hAnsi="Arial" w:cs="Arial"/>
                <w:bCs/>
                <w:sz w:val="24"/>
                <w:szCs w:val="24"/>
              </w:rPr>
            </w:pPr>
            <w:r>
              <w:rPr>
                <w:rFonts w:ascii="Arial" w:hAnsi="Arial" w:cs="Arial"/>
                <w:bCs/>
                <w:sz w:val="24"/>
                <w:szCs w:val="24"/>
              </w:rPr>
              <w:t xml:space="preserve">All payments are </w:t>
            </w:r>
            <w:r w:rsidR="004A3394">
              <w:rPr>
                <w:rFonts w:ascii="Arial" w:hAnsi="Arial" w:cs="Arial"/>
                <w:bCs/>
                <w:sz w:val="24"/>
                <w:szCs w:val="24"/>
              </w:rPr>
              <w:t>made</w:t>
            </w:r>
            <w:r w:rsidR="00F252AC">
              <w:rPr>
                <w:rFonts w:ascii="Arial" w:hAnsi="Arial" w:cs="Arial"/>
                <w:bCs/>
                <w:sz w:val="24"/>
                <w:szCs w:val="24"/>
              </w:rPr>
              <w:t xml:space="preserve"> through the </w:t>
            </w:r>
            <w:r w:rsidR="00D824B0">
              <w:rPr>
                <w:rFonts w:ascii="Arial" w:hAnsi="Arial" w:cs="Arial"/>
                <w:bCs/>
                <w:sz w:val="24"/>
                <w:szCs w:val="24"/>
              </w:rPr>
              <w:t xml:space="preserve">projects </w:t>
            </w:r>
            <w:r w:rsidR="00F252AC">
              <w:rPr>
                <w:rFonts w:ascii="Arial" w:hAnsi="Arial" w:cs="Arial"/>
                <w:bCs/>
                <w:sz w:val="24"/>
                <w:szCs w:val="24"/>
              </w:rPr>
              <w:t>US Dollar accounts</w:t>
            </w:r>
            <w:r w:rsidR="009C2C14">
              <w:rPr>
                <w:rFonts w:ascii="Arial" w:hAnsi="Arial" w:cs="Arial"/>
                <w:bCs/>
                <w:sz w:val="24"/>
                <w:szCs w:val="24"/>
              </w:rPr>
              <w:t xml:space="preserve"> and </w:t>
            </w:r>
            <w:r w:rsidR="00703FB2">
              <w:rPr>
                <w:rFonts w:ascii="Arial" w:hAnsi="Arial" w:cs="Arial"/>
                <w:bCs/>
                <w:sz w:val="24"/>
                <w:szCs w:val="24"/>
              </w:rPr>
              <w:t>ZMW payments are converted at the bank rate prevailing at the time of payment.</w:t>
            </w:r>
            <w:r w:rsidR="00F252AC">
              <w:rPr>
                <w:rFonts w:ascii="Arial" w:hAnsi="Arial" w:cs="Arial"/>
                <w:bCs/>
                <w:sz w:val="24"/>
                <w:szCs w:val="24"/>
              </w:rPr>
              <w:t xml:space="preserve"> </w:t>
            </w:r>
          </w:p>
        </w:tc>
        <w:tc>
          <w:tcPr>
            <w:tcW w:w="1870" w:type="dxa"/>
          </w:tcPr>
          <w:p w14:paraId="5F788999" w14:textId="77777777" w:rsidR="00A17996" w:rsidRDefault="00A17996" w:rsidP="00A17996">
            <w:pPr>
              <w:pStyle w:val="ListParagraph"/>
              <w:ind w:left="0"/>
              <w:rPr>
                <w:rFonts w:ascii="Arial" w:hAnsi="Arial" w:cs="Arial"/>
                <w:bCs/>
                <w:sz w:val="24"/>
                <w:szCs w:val="24"/>
              </w:rPr>
            </w:pPr>
          </w:p>
        </w:tc>
        <w:tc>
          <w:tcPr>
            <w:tcW w:w="1870" w:type="dxa"/>
          </w:tcPr>
          <w:p w14:paraId="2E439DA8" w14:textId="77777777" w:rsidR="00A17996" w:rsidRDefault="00A17996" w:rsidP="00A17996">
            <w:pPr>
              <w:pStyle w:val="ListParagraph"/>
              <w:ind w:left="0"/>
              <w:rPr>
                <w:rFonts w:ascii="Arial" w:hAnsi="Arial" w:cs="Arial"/>
                <w:bCs/>
                <w:sz w:val="24"/>
                <w:szCs w:val="24"/>
              </w:rPr>
            </w:pPr>
          </w:p>
        </w:tc>
      </w:tr>
      <w:tr w:rsidR="00A17996" w14:paraId="79D849E4" w14:textId="77777777" w:rsidTr="00A17996">
        <w:tc>
          <w:tcPr>
            <w:tcW w:w="1870" w:type="dxa"/>
          </w:tcPr>
          <w:p w14:paraId="7B60AC85" w14:textId="77777777" w:rsidR="00A17996" w:rsidRDefault="00A17996" w:rsidP="00A17996">
            <w:pPr>
              <w:pStyle w:val="ListParagraph"/>
              <w:ind w:left="0"/>
              <w:rPr>
                <w:rFonts w:ascii="Arial" w:hAnsi="Arial" w:cs="Arial"/>
                <w:bCs/>
                <w:sz w:val="24"/>
                <w:szCs w:val="24"/>
              </w:rPr>
            </w:pPr>
          </w:p>
        </w:tc>
        <w:tc>
          <w:tcPr>
            <w:tcW w:w="1870" w:type="dxa"/>
          </w:tcPr>
          <w:p w14:paraId="46C7686C" w14:textId="77777777" w:rsidR="00A17996" w:rsidRDefault="00A17996" w:rsidP="00A17996">
            <w:pPr>
              <w:pStyle w:val="ListParagraph"/>
              <w:ind w:left="0"/>
              <w:rPr>
                <w:rFonts w:ascii="Arial" w:hAnsi="Arial" w:cs="Arial"/>
                <w:bCs/>
                <w:sz w:val="24"/>
                <w:szCs w:val="24"/>
              </w:rPr>
            </w:pPr>
          </w:p>
        </w:tc>
        <w:tc>
          <w:tcPr>
            <w:tcW w:w="1870" w:type="dxa"/>
          </w:tcPr>
          <w:p w14:paraId="6AFDC5AF" w14:textId="77777777" w:rsidR="00A17996" w:rsidRDefault="00A17996" w:rsidP="00A17996">
            <w:pPr>
              <w:pStyle w:val="ListParagraph"/>
              <w:ind w:left="0"/>
              <w:rPr>
                <w:rFonts w:ascii="Arial" w:hAnsi="Arial" w:cs="Arial"/>
                <w:bCs/>
                <w:sz w:val="24"/>
                <w:szCs w:val="24"/>
              </w:rPr>
            </w:pPr>
          </w:p>
        </w:tc>
        <w:tc>
          <w:tcPr>
            <w:tcW w:w="1870" w:type="dxa"/>
          </w:tcPr>
          <w:p w14:paraId="2495AB3C" w14:textId="77777777" w:rsidR="00A17996" w:rsidRDefault="00A17996" w:rsidP="00A17996">
            <w:pPr>
              <w:pStyle w:val="ListParagraph"/>
              <w:ind w:left="0"/>
              <w:rPr>
                <w:rFonts w:ascii="Arial" w:hAnsi="Arial" w:cs="Arial"/>
                <w:bCs/>
                <w:sz w:val="24"/>
                <w:szCs w:val="24"/>
              </w:rPr>
            </w:pPr>
          </w:p>
        </w:tc>
        <w:tc>
          <w:tcPr>
            <w:tcW w:w="1870" w:type="dxa"/>
          </w:tcPr>
          <w:p w14:paraId="1CD6DC90" w14:textId="77777777" w:rsidR="00A17996" w:rsidRDefault="00A17996" w:rsidP="00A17996">
            <w:pPr>
              <w:pStyle w:val="ListParagraph"/>
              <w:ind w:left="0"/>
              <w:rPr>
                <w:rFonts w:ascii="Arial" w:hAnsi="Arial" w:cs="Arial"/>
                <w:bCs/>
                <w:sz w:val="24"/>
                <w:szCs w:val="24"/>
              </w:rPr>
            </w:pPr>
          </w:p>
        </w:tc>
      </w:tr>
      <w:tr w:rsidR="00A17996" w14:paraId="7ACCCC2E" w14:textId="77777777" w:rsidTr="00A17996">
        <w:tc>
          <w:tcPr>
            <w:tcW w:w="1870" w:type="dxa"/>
          </w:tcPr>
          <w:p w14:paraId="799797E6" w14:textId="77777777" w:rsidR="00A17996" w:rsidRDefault="00A17996" w:rsidP="00A17996">
            <w:pPr>
              <w:pStyle w:val="ListParagraph"/>
              <w:ind w:left="0"/>
              <w:rPr>
                <w:rFonts w:ascii="Arial" w:hAnsi="Arial" w:cs="Arial"/>
                <w:bCs/>
                <w:sz w:val="24"/>
                <w:szCs w:val="24"/>
              </w:rPr>
            </w:pPr>
          </w:p>
        </w:tc>
        <w:tc>
          <w:tcPr>
            <w:tcW w:w="1870" w:type="dxa"/>
          </w:tcPr>
          <w:p w14:paraId="47AB5E4C" w14:textId="77777777" w:rsidR="00A17996" w:rsidRDefault="00A17996" w:rsidP="00A17996">
            <w:pPr>
              <w:pStyle w:val="ListParagraph"/>
              <w:ind w:left="0"/>
              <w:rPr>
                <w:rFonts w:ascii="Arial" w:hAnsi="Arial" w:cs="Arial"/>
                <w:bCs/>
                <w:sz w:val="24"/>
                <w:szCs w:val="24"/>
              </w:rPr>
            </w:pPr>
          </w:p>
        </w:tc>
        <w:tc>
          <w:tcPr>
            <w:tcW w:w="1870" w:type="dxa"/>
          </w:tcPr>
          <w:p w14:paraId="144D5A4F" w14:textId="77777777" w:rsidR="00A17996" w:rsidRDefault="00A17996" w:rsidP="00A17996">
            <w:pPr>
              <w:pStyle w:val="ListParagraph"/>
              <w:ind w:left="0"/>
              <w:rPr>
                <w:rFonts w:ascii="Arial" w:hAnsi="Arial" w:cs="Arial"/>
                <w:bCs/>
                <w:sz w:val="24"/>
                <w:szCs w:val="24"/>
              </w:rPr>
            </w:pPr>
          </w:p>
        </w:tc>
        <w:tc>
          <w:tcPr>
            <w:tcW w:w="1870" w:type="dxa"/>
          </w:tcPr>
          <w:p w14:paraId="768E5439" w14:textId="77777777" w:rsidR="00A17996" w:rsidRDefault="00A17996" w:rsidP="00A17996">
            <w:pPr>
              <w:pStyle w:val="ListParagraph"/>
              <w:ind w:left="0"/>
              <w:rPr>
                <w:rFonts w:ascii="Arial" w:hAnsi="Arial" w:cs="Arial"/>
                <w:bCs/>
                <w:sz w:val="24"/>
                <w:szCs w:val="24"/>
              </w:rPr>
            </w:pPr>
          </w:p>
        </w:tc>
        <w:tc>
          <w:tcPr>
            <w:tcW w:w="1870" w:type="dxa"/>
          </w:tcPr>
          <w:p w14:paraId="4D421281" w14:textId="77777777" w:rsidR="00A17996" w:rsidRDefault="00A17996" w:rsidP="00A17996">
            <w:pPr>
              <w:pStyle w:val="ListParagraph"/>
              <w:ind w:left="0"/>
              <w:rPr>
                <w:rFonts w:ascii="Arial" w:hAnsi="Arial" w:cs="Arial"/>
                <w:bCs/>
                <w:sz w:val="24"/>
                <w:szCs w:val="24"/>
              </w:rPr>
            </w:pPr>
          </w:p>
        </w:tc>
      </w:tr>
    </w:tbl>
    <w:p w14:paraId="13EE7F38" w14:textId="5FC90AFB" w:rsidR="00A17996" w:rsidRDefault="00A17996" w:rsidP="00A17996">
      <w:pPr>
        <w:pStyle w:val="ListParagraph"/>
        <w:ind w:left="1125"/>
        <w:rPr>
          <w:rFonts w:ascii="Arial" w:hAnsi="Arial" w:cs="Arial"/>
          <w:bCs/>
          <w:sz w:val="24"/>
          <w:szCs w:val="24"/>
        </w:rPr>
      </w:pPr>
    </w:p>
    <w:p w14:paraId="3EB73AE4" w14:textId="088F13C0" w:rsidR="001A4C00" w:rsidRPr="00DB3C63" w:rsidRDefault="00DB3C63" w:rsidP="00DB3C63">
      <w:pPr>
        <w:rPr>
          <w:rFonts w:ascii="Arial" w:hAnsi="Arial" w:cs="Arial"/>
          <w:bCs/>
          <w:sz w:val="24"/>
          <w:szCs w:val="24"/>
        </w:rPr>
      </w:pPr>
      <w:r w:rsidRPr="00DB3C63">
        <w:rPr>
          <w:rFonts w:ascii="Arial" w:hAnsi="Arial" w:cs="Arial"/>
          <w:bCs/>
          <w:sz w:val="24"/>
          <w:szCs w:val="24"/>
        </w:rPr>
        <w:t>Table A</w:t>
      </w:r>
    </w:p>
    <w:tbl>
      <w:tblPr>
        <w:tblW w:w="9753" w:type="dxa"/>
        <w:tblCellMar>
          <w:left w:w="0" w:type="dxa"/>
          <w:right w:w="0" w:type="dxa"/>
        </w:tblCellMar>
        <w:tblLook w:val="0420" w:firstRow="1" w:lastRow="0" w:firstColumn="0" w:lastColumn="0" w:noHBand="0" w:noVBand="1"/>
      </w:tblPr>
      <w:tblGrid>
        <w:gridCol w:w="2294"/>
        <w:gridCol w:w="2654"/>
        <w:gridCol w:w="2565"/>
        <w:gridCol w:w="2240"/>
      </w:tblGrid>
      <w:tr w:rsidR="001A4C00" w:rsidRPr="001A4C00" w14:paraId="0306D7B7" w14:textId="77777777" w:rsidTr="001A4C00">
        <w:trPr>
          <w:trHeight w:val="399"/>
        </w:trPr>
        <w:tc>
          <w:tcPr>
            <w:tcW w:w="229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14D7895"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b/>
                <w:bCs/>
                <w:color w:val="FFFFFF" w:themeColor="light1"/>
                <w:sz w:val="20"/>
                <w:szCs w:val="20"/>
                <w:lang w:val="en-ZA" w:eastAsia="en-ZM"/>
              </w:rPr>
              <w:t xml:space="preserve">Account </w:t>
            </w:r>
          </w:p>
        </w:tc>
        <w:tc>
          <w:tcPr>
            <w:tcW w:w="265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417A1DB"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b/>
                <w:bCs/>
                <w:color w:val="FFFFFF" w:themeColor="light1"/>
                <w:sz w:val="20"/>
                <w:szCs w:val="20"/>
                <w:lang w:val="en-ZA" w:eastAsia="en-ZM"/>
              </w:rPr>
              <w:t xml:space="preserve">Management rates </w:t>
            </w:r>
          </w:p>
        </w:tc>
        <w:tc>
          <w:tcPr>
            <w:tcW w:w="256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9A90B1B"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b/>
                <w:bCs/>
                <w:color w:val="FFFFFF" w:themeColor="light1"/>
                <w:sz w:val="20"/>
                <w:szCs w:val="20"/>
                <w:lang w:val="en-ZA" w:eastAsia="en-ZM"/>
              </w:rPr>
              <w:t xml:space="preserve">Independent rates </w:t>
            </w:r>
          </w:p>
        </w:tc>
        <w:tc>
          <w:tcPr>
            <w:tcW w:w="224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51BB54B"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b/>
                <w:bCs/>
                <w:color w:val="FFFFFF" w:themeColor="light1"/>
                <w:sz w:val="20"/>
                <w:szCs w:val="20"/>
                <w:lang w:val="en-ZA" w:eastAsia="en-ZM"/>
              </w:rPr>
              <w:t>Parentage difference</w:t>
            </w:r>
          </w:p>
        </w:tc>
      </w:tr>
      <w:tr w:rsidR="001A4C00" w:rsidRPr="001A4C00" w14:paraId="7AC7D745" w14:textId="77777777" w:rsidTr="001A4C00">
        <w:trPr>
          <w:trHeight w:val="399"/>
        </w:trPr>
        <w:tc>
          <w:tcPr>
            <w:tcW w:w="229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88E3650"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SCB 4.2 BARCLAYS ZMW</w:t>
            </w:r>
          </w:p>
        </w:tc>
        <w:tc>
          <w:tcPr>
            <w:tcW w:w="265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2C662B2"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 xml:space="preserve"> 17.26 </w:t>
            </w:r>
          </w:p>
        </w:tc>
        <w:tc>
          <w:tcPr>
            <w:tcW w:w="256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FC52A05"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10.02</w:t>
            </w:r>
          </w:p>
        </w:tc>
        <w:tc>
          <w:tcPr>
            <w:tcW w:w="224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9E9D61C"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42%</w:t>
            </w:r>
          </w:p>
        </w:tc>
      </w:tr>
      <w:tr w:rsidR="001A4C00" w:rsidRPr="001A4C00" w14:paraId="63B6C06C" w14:textId="77777777" w:rsidTr="001A4C00">
        <w:trPr>
          <w:trHeight w:val="399"/>
        </w:trPr>
        <w:tc>
          <w:tcPr>
            <w:tcW w:w="229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F9A6FDF"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SCB 3 BARCLAYS ZMW</w:t>
            </w:r>
          </w:p>
        </w:tc>
        <w:tc>
          <w:tcPr>
            <w:tcW w:w="265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2C296F4"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 xml:space="preserve"> 11.54 </w:t>
            </w:r>
          </w:p>
        </w:tc>
        <w:tc>
          <w:tcPr>
            <w:tcW w:w="25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E25D96B"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10.02</w:t>
            </w:r>
          </w:p>
        </w:tc>
        <w:tc>
          <w:tcPr>
            <w:tcW w:w="22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D12C259" w14:textId="77777777" w:rsidR="001A4C00" w:rsidRPr="001A4C00" w:rsidRDefault="001A4C00" w:rsidP="001A4C00">
            <w:pPr>
              <w:rPr>
                <w:rFonts w:ascii="Arial" w:eastAsia="Times New Roman" w:hAnsi="Arial" w:cs="Arial"/>
                <w:sz w:val="36"/>
                <w:szCs w:val="36"/>
                <w:lang w:val="en-ZM" w:eastAsia="en-ZM"/>
              </w:rPr>
            </w:pPr>
            <w:r w:rsidRPr="001A4C00">
              <w:rPr>
                <w:rFonts w:ascii="Calibri" w:eastAsia="Times New Roman" w:hAnsi="Calibri" w:cs="Calibri"/>
                <w:color w:val="000000" w:themeColor="dark1"/>
                <w:sz w:val="20"/>
                <w:szCs w:val="20"/>
                <w:lang w:val="en-ZA" w:eastAsia="en-ZM"/>
              </w:rPr>
              <w:t>13%</w:t>
            </w:r>
          </w:p>
        </w:tc>
      </w:tr>
    </w:tbl>
    <w:p w14:paraId="4EA41707" w14:textId="08143480" w:rsidR="001A4C00" w:rsidRDefault="001A4C00" w:rsidP="00A17996">
      <w:pPr>
        <w:pStyle w:val="ListParagraph"/>
        <w:ind w:left="1125"/>
        <w:rPr>
          <w:rFonts w:ascii="Arial" w:hAnsi="Arial" w:cs="Arial"/>
          <w:bCs/>
          <w:sz w:val="24"/>
          <w:szCs w:val="24"/>
        </w:rPr>
      </w:pPr>
    </w:p>
    <w:p w14:paraId="0A2EB485" w14:textId="34B5D6DA" w:rsidR="001A4C00" w:rsidRDefault="001A4C00" w:rsidP="00A17996">
      <w:pPr>
        <w:pStyle w:val="ListParagraph"/>
        <w:ind w:left="1125"/>
        <w:rPr>
          <w:rFonts w:ascii="Arial" w:hAnsi="Arial" w:cs="Arial"/>
          <w:bCs/>
          <w:sz w:val="24"/>
          <w:szCs w:val="24"/>
        </w:rPr>
      </w:pPr>
    </w:p>
    <w:p w14:paraId="3F002F2E" w14:textId="051EC437" w:rsidR="00DD31A4" w:rsidRDefault="00DD31A4" w:rsidP="00A17996">
      <w:pPr>
        <w:pStyle w:val="ListParagraph"/>
        <w:ind w:left="1125"/>
        <w:rPr>
          <w:rFonts w:ascii="Arial" w:hAnsi="Arial" w:cs="Arial"/>
          <w:bCs/>
          <w:sz w:val="24"/>
          <w:szCs w:val="24"/>
        </w:rPr>
      </w:pPr>
    </w:p>
    <w:p w14:paraId="085A36EB" w14:textId="07F98D0C" w:rsidR="00DD31A4" w:rsidRDefault="00DD31A4" w:rsidP="00A17996">
      <w:pPr>
        <w:pStyle w:val="ListParagraph"/>
        <w:ind w:left="1125"/>
        <w:rPr>
          <w:rFonts w:ascii="Arial" w:hAnsi="Arial" w:cs="Arial"/>
          <w:bCs/>
          <w:sz w:val="24"/>
          <w:szCs w:val="24"/>
        </w:rPr>
      </w:pPr>
    </w:p>
    <w:p w14:paraId="0BA4B744" w14:textId="77777777" w:rsidR="00DD31A4" w:rsidRDefault="00DD31A4" w:rsidP="00A17996">
      <w:pPr>
        <w:pStyle w:val="ListParagraph"/>
        <w:ind w:left="1125"/>
        <w:rPr>
          <w:rFonts w:ascii="Arial" w:hAnsi="Arial" w:cs="Arial"/>
          <w:bCs/>
          <w:sz w:val="24"/>
          <w:szCs w:val="24"/>
        </w:rPr>
      </w:pPr>
      <w:bookmarkStart w:id="1" w:name="_GoBack"/>
      <w:bookmarkEnd w:id="1"/>
    </w:p>
    <w:p w14:paraId="16272FA4" w14:textId="77777777" w:rsidR="001A4C00" w:rsidRDefault="001A4C00" w:rsidP="00A17996">
      <w:pPr>
        <w:pStyle w:val="ListParagraph"/>
        <w:ind w:left="1125"/>
        <w:rPr>
          <w:rFonts w:ascii="Arial" w:hAnsi="Arial" w:cs="Arial"/>
          <w:bCs/>
          <w:sz w:val="24"/>
          <w:szCs w:val="24"/>
        </w:rPr>
      </w:pPr>
    </w:p>
    <w:p w14:paraId="0DD44102" w14:textId="6E11521E" w:rsidR="00A17996" w:rsidRDefault="00C66D5C" w:rsidP="00C66D5C">
      <w:pPr>
        <w:pStyle w:val="ListParagraph"/>
        <w:numPr>
          <w:ilvl w:val="0"/>
          <w:numId w:val="21"/>
        </w:numPr>
        <w:rPr>
          <w:rFonts w:ascii="Arial" w:hAnsi="Arial" w:cs="Arial"/>
          <w:bCs/>
          <w:sz w:val="24"/>
          <w:szCs w:val="24"/>
        </w:rPr>
      </w:pPr>
      <w:r>
        <w:rPr>
          <w:rFonts w:ascii="Arial" w:hAnsi="Arial" w:cs="Arial"/>
          <w:bCs/>
          <w:sz w:val="24"/>
          <w:szCs w:val="24"/>
        </w:rPr>
        <w:lastRenderedPageBreak/>
        <w:t xml:space="preserve">Discussion </w:t>
      </w:r>
    </w:p>
    <w:p w14:paraId="298843B5" w14:textId="77777777" w:rsidR="00C66D5C" w:rsidRDefault="00C66D5C" w:rsidP="00C66D5C">
      <w:pPr>
        <w:pStyle w:val="ListParagraph"/>
        <w:rPr>
          <w:rFonts w:ascii="Arial" w:hAnsi="Arial" w:cs="Arial"/>
          <w:bCs/>
          <w:sz w:val="24"/>
          <w:szCs w:val="24"/>
        </w:rPr>
      </w:pPr>
    </w:p>
    <w:p w14:paraId="10AE15FC" w14:textId="73751771" w:rsidR="00C66D5C" w:rsidRPr="00C66D5C" w:rsidRDefault="00C66D5C" w:rsidP="00C66D5C">
      <w:pPr>
        <w:pStyle w:val="ListParagraph"/>
        <w:rPr>
          <w:rFonts w:ascii="Arial" w:hAnsi="Arial" w:cs="Arial"/>
          <w:bCs/>
          <w:sz w:val="24"/>
          <w:szCs w:val="24"/>
        </w:rPr>
      </w:pPr>
      <w:r>
        <w:rPr>
          <w:rFonts w:ascii="Arial" w:hAnsi="Arial" w:cs="Arial"/>
          <w:bCs/>
          <w:sz w:val="24"/>
          <w:szCs w:val="24"/>
        </w:rPr>
        <w:t>[</w:t>
      </w:r>
      <w:r w:rsidRPr="006D0A9B">
        <w:rPr>
          <w:rFonts w:ascii="Arial" w:hAnsi="Arial" w:cs="Arial"/>
          <w:bCs/>
          <w:sz w:val="24"/>
          <w:szCs w:val="24"/>
          <w:highlight w:val="yellow"/>
        </w:rPr>
        <w:t>To be completed at the meeting]</w:t>
      </w:r>
    </w:p>
    <w:p w14:paraId="2B1898AF" w14:textId="77777777" w:rsidR="00A17996" w:rsidRPr="00A17996" w:rsidRDefault="00A17996" w:rsidP="00A17996">
      <w:pPr>
        <w:pStyle w:val="ListParagraph"/>
        <w:ind w:left="1125"/>
        <w:rPr>
          <w:rFonts w:ascii="Arial" w:hAnsi="Arial" w:cs="Arial"/>
          <w:bCs/>
          <w:sz w:val="24"/>
          <w:szCs w:val="24"/>
        </w:rPr>
      </w:pPr>
    </w:p>
    <w:p w14:paraId="2CE6BC49" w14:textId="77777777" w:rsidR="00A17996" w:rsidRPr="00224AFF" w:rsidRDefault="00A17996" w:rsidP="00A17996">
      <w:pPr>
        <w:pStyle w:val="ListParagraph"/>
        <w:jc w:val="both"/>
        <w:rPr>
          <w:rFonts w:ascii="Arial" w:hAnsi="Arial" w:cs="Arial"/>
          <w:bCs/>
          <w:sz w:val="24"/>
          <w:szCs w:val="24"/>
        </w:rPr>
      </w:pPr>
    </w:p>
    <w:p w14:paraId="64A1F626" w14:textId="60A508AD" w:rsidR="00224AFF" w:rsidRDefault="00C66D5C" w:rsidP="00C66D5C">
      <w:pPr>
        <w:pStyle w:val="ListParagraph"/>
        <w:numPr>
          <w:ilvl w:val="0"/>
          <w:numId w:val="21"/>
        </w:numPr>
        <w:jc w:val="both"/>
        <w:rPr>
          <w:rFonts w:ascii="Arial" w:hAnsi="Arial" w:cs="Arial"/>
          <w:bCs/>
          <w:sz w:val="24"/>
          <w:szCs w:val="24"/>
        </w:rPr>
      </w:pPr>
      <w:r>
        <w:rPr>
          <w:rFonts w:ascii="Arial" w:hAnsi="Arial" w:cs="Arial"/>
          <w:bCs/>
          <w:sz w:val="24"/>
          <w:szCs w:val="24"/>
        </w:rPr>
        <w:t>Decision</w:t>
      </w:r>
    </w:p>
    <w:p w14:paraId="364ACB29" w14:textId="6E60B677" w:rsidR="00C66D5C" w:rsidRDefault="00C66D5C" w:rsidP="00C66D5C">
      <w:pPr>
        <w:pStyle w:val="ListParagraph"/>
        <w:jc w:val="both"/>
        <w:rPr>
          <w:rFonts w:ascii="Arial" w:hAnsi="Arial" w:cs="Arial"/>
          <w:bCs/>
          <w:sz w:val="24"/>
          <w:szCs w:val="24"/>
        </w:rPr>
      </w:pPr>
    </w:p>
    <w:p w14:paraId="0F44D384" w14:textId="2AB30F5D" w:rsidR="00C66D5C" w:rsidRDefault="00C66D5C" w:rsidP="00C66D5C">
      <w:pPr>
        <w:pStyle w:val="ListParagraph"/>
        <w:jc w:val="both"/>
        <w:rPr>
          <w:rFonts w:ascii="Arial" w:hAnsi="Arial" w:cs="Arial"/>
          <w:bCs/>
          <w:sz w:val="24"/>
          <w:szCs w:val="24"/>
        </w:rPr>
      </w:pPr>
      <w:r>
        <w:rPr>
          <w:rFonts w:ascii="Arial" w:hAnsi="Arial" w:cs="Arial"/>
          <w:bCs/>
          <w:sz w:val="24"/>
          <w:szCs w:val="24"/>
        </w:rPr>
        <w:t>The Sub Committee is invited to:</w:t>
      </w:r>
    </w:p>
    <w:p w14:paraId="20887885" w14:textId="2E845B5D" w:rsidR="00C66D5C" w:rsidRDefault="00C66D5C" w:rsidP="00C66D5C">
      <w:pPr>
        <w:pStyle w:val="ListParagraph"/>
        <w:jc w:val="both"/>
        <w:rPr>
          <w:rFonts w:ascii="Arial" w:hAnsi="Arial" w:cs="Arial"/>
          <w:bCs/>
          <w:sz w:val="24"/>
          <w:szCs w:val="24"/>
        </w:rPr>
      </w:pPr>
    </w:p>
    <w:p w14:paraId="26B1B87B" w14:textId="4E46AC42" w:rsidR="00C66D5C" w:rsidRDefault="00FB1E1F" w:rsidP="00603921">
      <w:pPr>
        <w:pStyle w:val="ListParagraph"/>
        <w:numPr>
          <w:ilvl w:val="0"/>
          <w:numId w:val="22"/>
        </w:numPr>
        <w:jc w:val="both"/>
        <w:rPr>
          <w:rFonts w:ascii="Arial" w:hAnsi="Arial" w:cs="Arial"/>
          <w:bCs/>
          <w:sz w:val="24"/>
          <w:szCs w:val="24"/>
        </w:rPr>
      </w:pPr>
      <w:r w:rsidRPr="00FB1E1F">
        <w:rPr>
          <w:rFonts w:ascii="Arial" w:hAnsi="Arial" w:cs="Arial"/>
          <w:bCs/>
          <w:sz w:val="24"/>
          <w:szCs w:val="24"/>
        </w:rPr>
        <w:t>r</w:t>
      </w:r>
      <w:r w:rsidR="00C66D5C" w:rsidRPr="00FB1E1F">
        <w:rPr>
          <w:rFonts w:ascii="Arial" w:hAnsi="Arial" w:cs="Arial"/>
          <w:bCs/>
          <w:sz w:val="24"/>
          <w:szCs w:val="24"/>
        </w:rPr>
        <w:t xml:space="preserve">ecommend </w:t>
      </w:r>
      <w:r w:rsidRPr="00FB1E1F">
        <w:rPr>
          <w:rFonts w:ascii="Arial" w:hAnsi="Arial" w:cs="Arial"/>
          <w:bCs/>
          <w:sz w:val="24"/>
          <w:szCs w:val="24"/>
        </w:rPr>
        <w:t xml:space="preserve">that the unqualified 2017 Audited Financial Statements of </w:t>
      </w:r>
      <w:r w:rsidR="008D1F9E">
        <w:rPr>
          <w:rFonts w:ascii="Arial" w:hAnsi="Arial" w:cs="Arial"/>
          <w:bCs/>
          <w:sz w:val="24"/>
          <w:szCs w:val="24"/>
        </w:rPr>
        <w:t xml:space="preserve">the Statistical Capacity Building Programme </w:t>
      </w:r>
      <w:r w:rsidR="00675843">
        <w:rPr>
          <w:rFonts w:ascii="Arial" w:hAnsi="Arial" w:cs="Arial"/>
          <w:bCs/>
          <w:sz w:val="24"/>
          <w:szCs w:val="24"/>
        </w:rPr>
        <w:t>(</w:t>
      </w:r>
      <w:r w:rsidR="008D1F9E">
        <w:rPr>
          <w:rFonts w:ascii="Arial" w:hAnsi="Arial" w:cs="Arial"/>
          <w:bCs/>
          <w:sz w:val="24"/>
          <w:szCs w:val="24"/>
        </w:rPr>
        <w:t>SCB4.2</w:t>
      </w:r>
      <w:r w:rsidR="00675843">
        <w:rPr>
          <w:rFonts w:ascii="Arial" w:hAnsi="Arial" w:cs="Arial"/>
          <w:bCs/>
          <w:sz w:val="24"/>
          <w:szCs w:val="24"/>
        </w:rPr>
        <w:t>)</w:t>
      </w:r>
      <w:r w:rsidRPr="00FB1E1F">
        <w:rPr>
          <w:rFonts w:ascii="Arial" w:hAnsi="Arial" w:cs="Arial"/>
          <w:bCs/>
          <w:sz w:val="24"/>
          <w:szCs w:val="24"/>
        </w:rPr>
        <w:t xml:space="preserve"> be considered by the</w:t>
      </w:r>
      <w:r w:rsidR="00C66D5C" w:rsidRPr="00FB1E1F">
        <w:rPr>
          <w:rFonts w:ascii="Arial" w:hAnsi="Arial" w:cs="Arial"/>
          <w:bCs/>
          <w:sz w:val="24"/>
          <w:szCs w:val="24"/>
        </w:rPr>
        <w:t xml:space="preserve"> Committee on Admin and Budgetary Matters</w:t>
      </w:r>
      <w:r>
        <w:rPr>
          <w:rFonts w:ascii="Arial" w:hAnsi="Arial" w:cs="Arial"/>
          <w:bCs/>
          <w:sz w:val="24"/>
          <w:szCs w:val="24"/>
        </w:rPr>
        <w:t>.</w:t>
      </w:r>
    </w:p>
    <w:p w14:paraId="48523F50" w14:textId="77777777" w:rsidR="00FB1E1F" w:rsidRDefault="00FB1E1F" w:rsidP="00FB1E1F">
      <w:pPr>
        <w:pStyle w:val="ListParagraph"/>
        <w:ind w:left="1440"/>
        <w:jc w:val="both"/>
        <w:rPr>
          <w:rFonts w:ascii="Arial" w:hAnsi="Arial" w:cs="Arial"/>
          <w:bCs/>
          <w:sz w:val="24"/>
          <w:szCs w:val="24"/>
        </w:rPr>
      </w:pPr>
    </w:p>
    <w:p w14:paraId="23D5C8BE" w14:textId="43B3F1E8" w:rsidR="00FB1E1F" w:rsidRPr="00FB1E1F" w:rsidRDefault="006D0A9B" w:rsidP="00603921">
      <w:pPr>
        <w:pStyle w:val="ListParagraph"/>
        <w:numPr>
          <w:ilvl w:val="0"/>
          <w:numId w:val="22"/>
        </w:numPr>
        <w:jc w:val="both"/>
        <w:rPr>
          <w:rFonts w:ascii="Arial" w:hAnsi="Arial" w:cs="Arial"/>
          <w:bCs/>
          <w:sz w:val="24"/>
          <w:szCs w:val="24"/>
        </w:rPr>
      </w:pPr>
      <w:r>
        <w:rPr>
          <w:rFonts w:ascii="Arial" w:hAnsi="Arial" w:cs="Arial"/>
          <w:bCs/>
          <w:sz w:val="24"/>
          <w:szCs w:val="24"/>
        </w:rPr>
        <w:t>urge the Secretariat to expedite implementation of audit findings. A progress report will be availed to the Sub Committee at its next meeting.</w:t>
      </w:r>
    </w:p>
    <w:p w14:paraId="7ECFCD5E" w14:textId="05069041" w:rsidR="00224AFF" w:rsidRDefault="00224AFF" w:rsidP="00224AFF">
      <w:pPr>
        <w:jc w:val="both"/>
        <w:rPr>
          <w:rFonts w:ascii="Arial" w:hAnsi="Arial" w:cs="Arial"/>
          <w:b/>
          <w:sz w:val="24"/>
          <w:szCs w:val="24"/>
        </w:rPr>
      </w:pPr>
    </w:p>
    <w:p w14:paraId="67D8BFE3" w14:textId="7384D9E0" w:rsidR="00224AFF" w:rsidRDefault="00224AFF" w:rsidP="00224AFF">
      <w:pPr>
        <w:jc w:val="both"/>
        <w:rPr>
          <w:rFonts w:ascii="Arial" w:hAnsi="Arial" w:cs="Arial"/>
          <w:b/>
          <w:sz w:val="24"/>
          <w:szCs w:val="24"/>
        </w:rPr>
      </w:pPr>
    </w:p>
    <w:p w14:paraId="045484B0" w14:textId="3972F5CF" w:rsidR="00224AFF" w:rsidRDefault="00224AFF" w:rsidP="00224AFF">
      <w:pPr>
        <w:jc w:val="both"/>
        <w:rPr>
          <w:rFonts w:ascii="Arial" w:hAnsi="Arial" w:cs="Arial"/>
          <w:b/>
          <w:sz w:val="24"/>
          <w:szCs w:val="24"/>
        </w:rPr>
      </w:pPr>
    </w:p>
    <w:p w14:paraId="0A4CC912" w14:textId="3ECA7AFA" w:rsidR="00224AFF" w:rsidRDefault="00224AFF" w:rsidP="00224AFF">
      <w:pPr>
        <w:jc w:val="both"/>
        <w:rPr>
          <w:rFonts w:ascii="Arial" w:hAnsi="Arial" w:cs="Arial"/>
          <w:b/>
          <w:sz w:val="24"/>
          <w:szCs w:val="24"/>
        </w:rPr>
      </w:pPr>
    </w:p>
    <w:p w14:paraId="78DC8E93" w14:textId="4056A1BA" w:rsidR="00224AFF" w:rsidRDefault="00224AFF" w:rsidP="00224AFF">
      <w:pPr>
        <w:jc w:val="both"/>
        <w:rPr>
          <w:rFonts w:ascii="Arial" w:hAnsi="Arial" w:cs="Arial"/>
          <w:b/>
          <w:sz w:val="24"/>
          <w:szCs w:val="24"/>
        </w:rPr>
      </w:pPr>
    </w:p>
    <w:p w14:paraId="56872E04" w14:textId="1AFD3A4E" w:rsidR="00224AFF" w:rsidRDefault="00224AFF" w:rsidP="00224AFF">
      <w:pPr>
        <w:jc w:val="both"/>
        <w:rPr>
          <w:rFonts w:ascii="Arial" w:hAnsi="Arial" w:cs="Arial"/>
          <w:b/>
          <w:sz w:val="24"/>
          <w:szCs w:val="24"/>
        </w:rPr>
      </w:pPr>
    </w:p>
    <w:p w14:paraId="7FB2768F" w14:textId="7C7B3CF0" w:rsidR="00224AFF" w:rsidRDefault="00224AFF" w:rsidP="00224AFF">
      <w:pPr>
        <w:jc w:val="both"/>
        <w:rPr>
          <w:rFonts w:ascii="Arial" w:hAnsi="Arial" w:cs="Arial"/>
          <w:b/>
          <w:sz w:val="24"/>
          <w:szCs w:val="24"/>
        </w:rPr>
      </w:pPr>
    </w:p>
    <w:p w14:paraId="1EDDC018" w14:textId="77777777" w:rsidR="00224AFF" w:rsidRPr="00224AFF" w:rsidRDefault="00224AFF" w:rsidP="00224AFF">
      <w:pPr>
        <w:jc w:val="both"/>
        <w:rPr>
          <w:rFonts w:ascii="Arial" w:hAnsi="Arial" w:cs="Arial"/>
          <w:b/>
          <w:sz w:val="24"/>
          <w:szCs w:val="24"/>
        </w:rPr>
      </w:pPr>
    </w:p>
    <w:sectPr w:rsidR="00224AFF" w:rsidRPr="00224AFF" w:rsidSect="00DB3C63">
      <w:pgSz w:w="12240" w:h="15840"/>
      <w:pgMar w:top="1440" w:right="144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38E8" w14:textId="77777777" w:rsidR="00062BA7" w:rsidRDefault="00062BA7" w:rsidP="00F41EC2">
      <w:r>
        <w:separator/>
      </w:r>
    </w:p>
  </w:endnote>
  <w:endnote w:type="continuationSeparator" w:id="0">
    <w:p w14:paraId="001B8835" w14:textId="77777777" w:rsidR="00062BA7" w:rsidRDefault="00062BA7" w:rsidP="00F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D4DA" w14:textId="77777777" w:rsidR="00062BA7" w:rsidRDefault="00062BA7" w:rsidP="00F41EC2">
      <w:r>
        <w:separator/>
      </w:r>
    </w:p>
  </w:footnote>
  <w:footnote w:type="continuationSeparator" w:id="0">
    <w:p w14:paraId="2F33008E" w14:textId="77777777" w:rsidR="00062BA7" w:rsidRDefault="00062BA7" w:rsidP="00F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51D"/>
    <w:multiLevelType w:val="hybridMultilevel"/>
    <w:tmpl w:val="7F4E39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E0CA7"/>
    <w:multiLevelType w:val="hybridMultilevel"/>
    <w:tmpl w:val="2D7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6666"/>
    <w:multiLevelType w:val="multilevel"/>
    <w:tmpl w:val="347CE7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 w15:restartNumberingAfterBreak="0">
    <w:nsid w:val="0D110321"/>
    <w:multiLevelType w:val="hybridMultilevel"/>
    <w:tmpl w:val="12106116"/>
    <w:lvl w:ilvl="0" w:tplc="C53E9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205"/>
    <w:multiLevelType w:val="multilevel"/>
    <w:tmpl w:val="4F84D7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08675E"/>
    <w:multiLevelType w:val="hybridMultilevel"/>
    <w:tmpl w:val="6D8AC8BC"/>
    <w:lvl w:ilvl="0" w:tplc="56427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B1840"/>
    <w:multiLevelType w:val="hybridMultilevel"/>
    <w:tmpl w:val="0C36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EB398E"/>
    <w:multiLevelType w:val="hybridMultilevel"/>
    <w:tmpl w:val="DFF2F658"/>
    <w:lvl w:ilvl="0" w:tplc="7DB896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9F00BE2"/>
    <w:multiLevelType w:val="hybridMultilevel"/>
    <w:tmpl w:val="B39C0D5A"/>
    <w:lvl w:ilvl="0" w:tplc="93F20F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AD31267"/>
    <w:multiLevelType w:val="hybridMultilevel"/>
    <w:tmpl w:val="915C0D1E"/>
    <w:lvl w:ilvl="0" w:tplc="AA786F7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BF05B09"/>
    <w:multiLevelType w:val="hybridMultilevel"/>
    <w:tmpl w:val="C0E6C140"/>
    <w:lvl w:ilvl="0" w:tplc="87B0F9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F25FB"/>
    <w:multiLevelType w:val="multilevel"/>
    <w:tmpl w:val="599AE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8327F"/>
    <w:multiLevelType w:val="hybridMultilevel"/>
    <w:tmpl w:val="C606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27A82"/>
    <w:multiLevelType w:val="multilevel"/>
    <w:tmpl w:val="584A9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A540B7"/>
    <w:multiLevelType w:val="hybridMultilevel"/>
    <w:tmpl w:val="00E83BDE"/>
    <w:lvl w:ilvl="0" w:tplc="C89489E2">
      <w:start w:val="1"/>
      <w:numFmt w:val="bullet"/>
      <w:lvlText w:val="-"/>
      <w:lvlJc w:val="left"/>
      <w:pPr>
        <w:ind w:left="108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EA69E7"/>
    <w:multiLevelType w:val="hybridMultilevel"/>
    <w:tmpl w:val="FBD0D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BC62FD"/>
    <w:multiLevelType w:val="hybridMultilevel"/>
    <w:tmpl w:val="574C6C22"/>
    <w:lvl w:ilvl="0" w:tplc="6BCA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47D62"/>
    <w:multiLevelType w:val="hybridMultilevel"/>
    <w:tmpl w:val="20FE36EE"/>
    <w:lvl w:ilvl="0" w:tplc="0F78F05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7425044"/>
    <w:multiLevelType w:val="hybridMultilevel"/>
    <w:tmpl w:val="11EA87FC"/>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F2FAA"/>
    <w:multiLevelType w:val="hybridMultilevel"/>
    <w:tmpl w:val="6D9684B0"/>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07096"/>
    <w:multiLevelType w:val="hybridMultilevel"/>
    <w:tmpl w:val="D29433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5294F"/>
    <w:multiLevelType w:val="hybridMultilevel"/>
    <w:tmpl w:val="5C70BC02"/>
    <w:lvl w:ilvl="0" w:tplc="A3D6D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1"/>
  </w:num>
  <w:num w:numId="5">
    <w:abstractNumId w:val="1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8"/>
  </w:num>
  <w:num w:numId="15">
    <w:abstractNumId w:val="19"/>
  </w:num>
  <w:num w:numId="16">
    <w:abstractNumId w:val="6"/>
  </w:num>
  <w:num w:numId="17">
    <w:abstractNumId w:val="13"/>
  </w:num>
  <w:num w:numId="18">
    <w:abstractNumId w:val="12"/>
  </w:num>
  <w:num w:numId="19">
    <w:abstractNumId w:val="3"/>
  </w:num>
  <w:num w:numId="20">
    <w:abstractNumId w:val="2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35"/>
    <w:rsid w:val="00012FA7"/>
    <w:rsid w:val="00062BA7"/>
    <w:rsid w:val="0007720F"/>
    <w:rsid w:val="00091BF3"/>
    <w:rsid w:val="000C0EF8"/>
    <w:rsid w:val="000C49B4"/>
    <w:rsid w:val="001101E8"/>
    <w:rsid w:val="00176648"/>
    <w:rsid w:val="001A4C00"/>
    <w:rsid w:val="001C4DDB"/>
    <w:rsid w:val="001D60A4"/>
    <w:rsid w:val="00202D91"/>
    <w:rsid w:val="00215FE5"/>
    <w:rsid w:val="00217C9F"/>
    <w:rsid w:val="00224AFF"/>
    <w:rsid w:val="002C0FF6"/>
    <w:rsid w:val="00335C83"/>
    <w:rsid w:val="00361E18"/>
    <w:rsid w:val="00380365"/>
    <w:rsid w:val="00381523"/>
    <w:rsid w:val="003B3250"/>
    <w:rsid w:val="00415EE6"/>
    <w:rsid w:val="00440680"/>
    <w:rsid w:val="00450EAC"/>
    <w:rsid w:val="00473B6F"/>
    <w:rsid w:val="00492632"/>
    <w:rsid w:val="00494A98"/>
    <w:rsid w:val="004A3394"/>
    <w:rsid w:val="004F333B"/>
    <w:rsid w:val="00506A35"/>
    <w:rsid w:val="00507C85"/>
    <w:rsid w:val="00513C01"/>
    <w:rsid w:val="00537326"/>
    <w:rsid w:val="00565F7A"/>
    <w:rsid w:val="00585FFD"/>
    <w:rsid w:val="00592AE2"/>
    <w:rsid w:val="005E19AD"/>
    <w:rsid w:val="005E490D"/>
    <w:rsid w:val="006271C8"/>
    <w:rsid w:val="00675843"/>
    <w:rsid w:val="006809E9"/>
    <w:rsid w:val="00687D5F"/>
    <w:rsid w:val="006A7C26"/>
    <w:rsid w:val="006D0A9B"/>
    <w:rsid w:val="00703FB2"/>
    <w:rsid w:val="007209C9"/>
    <w:rsid w:val="00727476"/>
    <w:rsid w:val="00752F61"/>
    <w:rsid w:val="007A6ADA"/>
    <w:rsid w:val="007C4FDF"/>
    <w:rsid w:val="007D0379"/>
    <w:rsid w:val="00832706"/>
    <w:rsid w:val="00856361"/>
    <w:rsid w:val="00875E05"/>
    <w:rsid w:val="00887995"/>
    <w:rsid w:val="008B6754"/>
    <w:rsid w:val="008D1F9E"/>
    <w:rsid w:val="008D3E71"/>
    <w:rsid w:val="00930A1C"/>
    <w:rsid w:val="009356A7"/>
    <w:rsid w:val="009726D9"/>
    <w:rsid w:val="009C2C14"/>
    <w:rsid w:val="009F7EDE"/>
    <w:rsid w:val="00A17996"/>
    <w:rsid w:val="00A33125"/>
    <w:rsid w:val="00A359C9"/>
    <w:rsid w:val="00A6205C"/>
    <w:rsid w:val="00A97FB0"/>
    <w:rsid w:val="00AC4AFF"/>
    <w:rsid w:val="00AE6B0C"/>
    <w:rsid w:val="00B4186B"/>
    <w:rsid w:val="00B7105E"/>
    <w:rsid w:val="00B810F6"/>
    <w:rsid w:val="00BA0A92"/>
    <w:rsid w:val="00BC02B2"/>
    <w:rsid w:val="00BF0A29"/>
    <w:rsid w:val="00C0106D"/>
    <w:rsid w:val="00C35990"/>
    <w:rsid w:val="00C50792"/>
    <w:rsid w:val="00C66D5C"/>
    <w:rsid w:val="00C7407B"/>
    <w:rsid w:val="00CA3EC7"/>
    <w:rsid w:val="00CB22A0"/>
    <w:rsid w:val="00CC1BE3"/>
    <w:rsid w:val="00CE7CDA"/>
    <w:rsid w:val="00CF2BFB"/>
    <w:rsid w:val="00D016DC"/>
    <w:rsid w:val="00D05E81"/>
    <w:rsid w:val="00D1088A"/>
    <w:rsid w:val="00D12993"/>
    <w:rsid w:val="00D562A4"/>
    <w:rsid w:val="00D824B0"/>
    <w:rsid w:val="00DA7E34"/>
    <w:rsid w:val="00DB3C63"/>
    <w:rsid w:val="00DD31A4"/>
    <w:rsid w:val="00E36099"/>
    <w:rsid w:val="00E5445C"/>
    <w:rsid w:val="00EB10BA"/>
    <w:rsid w:val="00F252AC"/>
    <w:rsid w:val="00F3351F"/>
    <w:rsid w:val="00F336DD"/>
    <w:rsid w:val="00F41EC2"/>
    <w:rsid w:val="00F4691D"/>
    <w:rsid w:val="00F76019"/>
    <w:rsid w:val="00F851FF"/>
    <w:rsid w:val="00FB1E1F"/>
    <w:rsid w:val="00FC661B"/>
    <w:rsid w:val="00FD39E1"/>
    <w:rsid w:val="00FE0F9F"/>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92582"/>
  <w15:chartTrackingRefBased/>
  <w15:docId w15:val="{223A5D46-EA12-4954-B297-65790CA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48"/>
    <w:rPr>
      <w:rFonts w:ascii="Times New Roman" w:hAnsi="Times New Roman" w:cs="Times New Roman" w:hint="default"/>
      <w:color w:val="0000FF"/>
      <w:u w:val="single"/>
    </w:rPr>
  </w:style>
  <w:style w:type="paragraph" w:styleId="Title">
    <w:name w:val="Title"/>
    <w:basedOn w:val="Normal"/>
    <w:link w:val="TitleChar"/>
    <w:qFormat/>
    <w:rsid w:val="00176648"/>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176648"/>
    <w:rPr>
      <w:rFonts w:ascii="Times New Roman" w:eastAsia="Times New Roman" w:hAnsi="Times New Roman" w:cs="Times New Roman"/>
      <w:b/>
      <w:sz w:val="28"/>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basedOn w:val="Normal"/>
    <w:link w:val="ListParagraphChar"/>
    <w:uiPriority w:val="34"/>
    <w:qFormat/>
    <w:rsid w:val="00537326"/>
    <w:pPr>
      <w:ind w:left="720"/>
      <w:contextualSpacing/>
    </w:p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F76019"/>
  </w:style>
  <w:style w:type="paragraph" w:styleId="Header">
    <w:name w:val="header"/>
    <w:basedOn w:val="Normal"/>
    <w:link w:val="HeaderChar"/>
    <w:uiPriority w:val="99"/>
    <w:unhideWhenUsed/>
    <w:rsid w:val="00F41EC2"/>
    <w:pPr>
      <w:tabs>
        <w:tab w:val="center" w:pos="4680"/>
        <w:tab w:val="right" w:pos="9360"/>
      </w:tabs>
    </w:pPr>
  </w:style>
  <w:style w:type="character" w:customStyle="1" w:styleId="HeaderChar">
    <w:name w:val="Header Char"/>
    <w:basedOn w:val="DefaultParagraphFont"/>
    <w:link w:val="Header"/>
    <w:uiPriority w:val="99"/>
    <w:rsid w:val="00F41EC2"/>
  </w:style>
  <w:style w:type="paragraph" w:styleId="Footer">
    <w:name w:val="footer"/>
    <w:basedOn w:val="Normal"/>
    <w:link w:val="FooterChar"/>
    <w:uiPriority w:val="99"/>
    <w:unhideWhenUsed/>
    <w:rsid w:val="00F41EC2"/>
    <w:pPr>
      <w:tabs>
        <w:tab w:val="center" w:pos="4680"/>
        <w:tab w:val="right" w:pos="9360"/>
      </w:tabs>
    </w:pPr>
  </w:style>
  <w:style w:type="character" w:customStyle="1" w:styleId="FooterChar">
    <w:name w:val="Footer Char"/>
    <w:basedOn w:val="DefaultParagraphFont"/>
    <w:link w:val="Footer"/>
    <w:uiPriority w:val="99"/>
    <w:rsid w:val="00F41EC2"/>
  </w:style>
  <w:style w:type="paragraph" w:styleId="BalloonText">
    <w:name w:val="Balloon Text"/>
    <w:basedOn w:val="Normal"/>
    <w:link w:val="BalloonTextChar"/>
    <w:uiPriority w:val="99"/>
    <w:semiHidden/>
    <w:unhideWhenUsed/>
    <w:rsid w:val="00BC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2"/>
    <w:rPr>
      <w:rFonts w:ascii="Segoe UI" w:hAnsi="Segoe UI" w:cs="Segoe UI"/>
      <w:sz w:val="18"/>
      <w:szCs w:val="18"/>
    </w:rPr>
  </w:style>
  <w:style w:type="table" w:styleId="TableGrid">
    <w:name w:val="Table Grid"/>
    <w:basedOn w:val="TableNormal"/>
    <w:uiPriority w:val="39"/>
    <w:rsid w:val="00F4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B6F"/>
    <w:pPr>
      <w:spacing w:before="100" w:beforeAutospacing="1" w:after="100" w:afterAutospacing="1"/>
    </w:pPr>
    <w:rPr>
      <w:rFonts w:ascii="Times New Roman" w:eastAsia="Times New Roman" w:hAnsi="Times New Roman" w:cs="Times New Roman"/>
      <w:sz w:val="24"/>
      <w:szCs w:val="24"/>
    </w:rPr>
  </w:style>
  <w:style w:type="paragraph" w:styleId="BlockText">
    <w:name w:val="Block Text"/>
    <w:basedOn w:val="Normal"/>
    <w:rsid w:val="007209C9"/>
    <w:pPr>
      <w:widowControl w:val="0"/>
      <w:tabs>
        <w:tab w:val="left" w:pos="-720"/>
        <w:tab w:val="left" w:pos="0"/>
      </w:tabs>
      <w:suppressAutoHyphens/>
      <w:ind w:left="180" w:right="-590" w:hanging="486"/>
      <w:jc w:val="both"/>
    </w:pPr>
    <w:rPr>
      <w:rFonts w:ascii="CG Times" w:eastAsia="Times New Roman" w:hAnsi="CG Times" w:cs="Times New Roman"/>
      <w:snapToGrid w:val="0"/>
      <w:spacing w:val="-2"/>
      <w:szCs w:val="20"/>
      <w:lang w:val="en-GB"/>
    </w:rPr>
  </w:style>
  <w:style w:type="paragraph" w:customStyle="1" w:styleId="KAMKNormal">
    <w:name w:val="KAMKNormal"/>
    <w:basedOn w:val="Normal"/>
    <w:link w:val="KAMKNormalChar"/>
    <w:qFormat/>
    <w:rsid w:val="007209C9"/>
    <w:pPr>
      <w:spacing w:before="120" w:after="120"/>
    </w:pPr>
    <w:rPr>
      <w:rFonts w:ascii="Tahoma" w:eastAsia="Times New Roman" w:hAnsi="Tahoma" w:cs="Times New Roman"/>
      <w:color w:val="000000"/>
      <w:szCs w:val="24"/>
    </w:rPr>
  </w:style>
  <w:style w:type="character" w:customStyle="1" w:styleId="KAMKNormalChar">
    <w:name w:val="KAMKNormal Char"/>
    <w:link w:val="KAMKNormal"/>
    <w:rsid w:val="007209C9"/>
    <w:rPr>
      <w:rFonts w:ascii="Tahoma" w:eastAsia="Times New Roman" w:hAnsi="Tahom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1093">
      <w:bodyDiv w:val="1"/>
      <w:marLeft w:val="0"/>
      <w:marRight w:val="0"/>
      <w:marTop w:val="0"/>
      <w:marBottom w:val="0"/>
      <w:divBdr>
        <w:top w:val="none" w:sz="0" w:space="0" w:color="auto"/>
        <w:left w:val="none" w:sz="0" w:space="0" w:color="auto"/>
        <w:bottom w:val="none" w:sz="0" w:space="0" w:color="auto"/>
        <w:right w:val="none" w:sz="0" w:space="0" w:color="auto"/>
      </w:divBdr>
    </w:div>
    <w:div w:id="1080521279">
      <w:bodyDiv w:val="1"/>
      <w:marLeft w:val="0"/>
      <w:marRight w:val="0"/>
      <w:marTop w:val="0"/>
      <w:marBottom w:val="0"/>
      <w:divBdr>
        <w:top w:val="none" w:sz="0" w:space="0" w:color="auto"/>
        <w:left w:val="none" w:sz="0" w:space="0" w:color="auto"/>
        <w:bottom w:val="none" w:sz="0" w:space="0" w:color="auto"/>
        <w:right w:val="none" w:sz="0" w:space="0" w:color="auto"/>
      </w:divBdr>
    </w:div>
    <w:div w:id="1081441780">
      <w:bodyDiv w:val="1"/>
      <w:marLeft w:val="0"/>
      <w:marRight w:val="0"/>
      <w:marTop w:val="0"/>
      <w:marBottom w:val="0"/>
      <w:divBdr>
        <w:top w:val="none" w:sz="0" w:space="0" w:color="auto"/>
        <w:left w:val="none" w:sz="0" w:space="0" w:color="auto"/>
        <w:bottom w:val="none" w:sz="0" w:space="0" w:color="auto"/>
        <w:right w:val="none" w:sz="0" w:space="0" w:color="auto"/>
      </w:divBdr>
    </w:div>
    <w:div w:id="2009290865">
      <w:bodyDiv w:val="1"/>
      <w:marLeft w:val="0"/>
      <w:marRight w:val="0"/>
      <w:marTop w:val="0"/>
      <w:marBottom w:val="0"/>
      <w:divBdr>
        <w:top w:val="none" w:sz="0" w:space="0" w:color="auto"/>
        <w:left w:val="none" w:sz="0" w:space="0" w:color="auto"/>
        <w:bottom w:val="none" w:sz="0" w:space="0" w:color="auto"/>
        <w:right w:val="none" w:sz="0" w:space="0" w:color="auto"/>
      </w:divBdr>
    </w:div>
    <w:div w:id="21173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Thandiwe Lungu</cp:lastModifiedBy>
  <cp:revision>37</cp:revision>
  <cp:lastPrinted>2018-10-12T13:08:00Z</cp:lastPrinted>
  <dcterms:created xsi:type="dcterms:W3CDTF">2019-09-22T13:00:00Z</dcterms:created>
  <dcterms:modified xsi:type="dcterms:W3CDTF">2019-09-25T08:06:00Z</dcterms:modified>
</cp:coreProperties>
</file>