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5A6EE" w14:textId="77777777" w:rsidR="004D4365" w:rsidRPr="0009691A" w:rsidRDefault="004D4365" w:rsidP="004D4365">
      <w:pPr>
        <w:pStyle w:val="Footer"/>
        <w:pBdr>
          <w:top w:val="single" w:sz="18" w:space="1" w:color="auto" w:shadow="1"/>
          <w:left w:val="single" w:sz="18" w:space="4" w:color="auto" w:shadow="1"/>
          <w:bottom w:val="single" w:sz="18" w:space="1" w:color="auto" w:shadow="1"/>
          <w:right w:val="single" w:sz="18" w:space="0" w:color="auto" w:shadow="1"/>
        </w:pBdr>
        <w:jc w:val="center"/>
        <w:rPr>
          <w:rFonts w:ascii="Arial" w:hAnsi="Arial" w:cs="Arial"/>
          <w:b/>
          <w:bCs/>
        </w:rPr>
      </w:pPr>
    </w:p>
    <w:p w14:paraId="2271F18C" w14:textId="77777777" w:rsidR="004D4365" w:rsidRPr="0009691A" w:rsidRDefault="004D4365" w:rsidP="004D4365">
      <w:pPr>
        <w:pStyle w:val="Footer"/>
        <w:pBdr>
          <w:top w:val="single" w:sz="18" w:space="1" w:color="auto" w:shadow="1"/>
          <w:left w:val="single" w:sz="18" w:space="4" w:color="auto" w:shadow="1"/>
          <w:bottom w:val="single" w:sz="18" w:space="1" w:color="auto" w:shadow="1"/>
          <w:right w:val="single" w:sz="18" w:space="0" w:color="auto" w:shadow="1"/>
        </w:pBdr>
        <w:jc w:val="center"/>
        <w:rPr>
          <w:rFonts w:ascii="Arial" w:hAnsi="Arial" w:cs="Arial"/>
          <w:b/>
          <w:bCs/>
        </w:rPr>
      </w:pPr>
      <w:r w:rsidRPr="0009691A">
        <w:rPr>
          <w:rFonts w:ascii="Arial" w:hAnsi="Arial" w:cs="Arial"/>
          <w:noProof/>
          <w:lang w:val="en-ZA" w:eastAsia="en-ZA"/>
        </w:rPr>
        <w:drawing>
          <wp:inline distT="0" distB="0" distL="0" distR="0" wp14:anchorId="0DF4164A" wp14:editId="6807C968">
            <wp:extent cx="1188720" cy="1188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93271" cy="1193271"/>
                    </a:xfrm>
                    <a:prstGeom prst="rect">
                      <a:avLst/>
                    </a:prstGeom>
                    <a:noFill/>
                    <a:ln w="9525">
                      <a:noFill/>
                      <a:miter lim="800000"/>
                      <a:headEnd/>
                      <a:tailEnd/>
                    </a:ln>
                  </pic:spPr>
                </pic:pic>
              </a:graphicData>
            </a:graphic>
          </wp:inline>
        </w:drawing>
      </w:r>
    </w:p>
    <w:p w14:paraId="084C4FB8"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jc w:val="right"/>
        <w:rPr>
          <w:rFonts w:ascii="Arial" w:hAnsi="Arial" w:cs="Arial"/>
        </w:rPr>
      </w:pPr>
    </w:p>
    <w:p w14:paraId="729B00BC" w14:textId="7B83F0E9"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spacing w:after="0" w:line="240" w:lineRule="auto"/>
        <w:jc w:val="right"/>
        <w:rPr>
          <w:rFonts w:ascii="Arial" w:hAnsi="Arial" w:cs="Arial"/>
        </w:rPr>
      </w:pPr>
      <w:r w:rsidRPr="00930DAD">
        <w:rPr>
          <w:rFonts w:ascii="Arial" w:hAnsi="Arial" w:cs="Arial"/>
        </w:rPr>
        <w:t>CS/ADM/SC/XX</w:t>
      </w:r>
      <w:r w:rsidR="00985175">
        <w:rPr>
          <w:rFonts w:ascii="Arial" w:hAnsi="Arial" w:cs="Arial"/>
        </w:rPr>
        <w:t>II/</w:t>
      </w:r>
      <w:r w:rsidRPr="00930DAD">
        <w:rPr>
          <w:rFonts w:ascii="Arial" w:hAnsi="Arial" w:cs="Arial"/>
        </w:rPr>
        <w:t>/</w:t>
      </w:r>
      <w:r w:rsidR="00985175">
        <w:rPr>
          <w:rFonts w:ascii="Arial" w:hAnsi="Arial" w:cs="Arial"/>
        </w:rPr>
        <w:t>7.1A</w:t>
      </w:r>
    </w:p>
    <w:p w14:paraId="3F7823A8" w14:textId="4208B9A4" w:rsidR="004D4365" w:rsidRPr="0009691A" w:rsidRDefault="0091344E" w:rsidP="004D4365">
      <w:pPr>
        <w:pBdr>
          <w:top w:val="single" w:sz="18" w:space="1" w:color="auto" w:shadow="1"/>
          <w:left w:val="single" w:sz="18" w:space="4" w:color="auto" w:shadow="1"/>
          <w:bottom w:val="single" w:sz="18" w:space="1" w:color="auto" w:shadow="1"/>
          <w:right w:val="single" w:sz="18" w:space="0" w:color="auto" w:shadow="1"/>
        </w:pBdr>
        <w:spacing w:after="0" w:line="240" w:lineRule="auto"/>
        <w:jc w:val="right"/>
        <w:rPr>
          <w:rFonts w:ascii="Arial" w:hAnsi="Arial" w:cs="Arial"/>
        </w:rPr>
      </w:pPr>
      <w:r w:rsidRPr="0009691A">
        <w:rPr>
          <w:rFonts w:ascii="Arial" w:hAnsi="Arial" w:cs="Arial"/>
        </w:rPr>
        <w:t>October</w:t>
      </w:r>
      <w:r w:rsidR="004D4365" w:rsidRPr="0009691A">
        <w:rPr>
          <w:rFonts w:ascii="Arial" w:hAnsi="Arial" w:cs="Arial"/>
        </w:rPr>
        <w:t xml:space="preserve"> </w:t>
      </w:r>
      <w:r w:rsidR="00C563F4">
        <w:rPr>
          <w:rFonts w:ascii="Arial" w:hAnsi="Arial" w:cs="Arial"/>
        </w:rPr>
        <w:t>2020</w:t>
      </w:r>
    </w:p>
    <w:p w14:paraId="7EFCCB81"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jc w:val="right"/>
        <w:rPr>
          <w:rFonts w:ascii="Arial" w:hAnsi="Arial" w:cs="Arial"/>
        </w:rPr>
      </w:pPr>
    </w:p>
    <w:p w14:paraId="43180E25" w14:textId="58263F76" w:rsidR="004D4365" w:rsidRPr="0009691A" w:rsidRDefault="0091344E" w:rsidP="004D4365">
      <w:pPr>
        <w:pBdr>
          <w:top w:val="single" w:sz="18" w:space="1" w:color="auto" w:shadow="1"/>
          <w:left w:val="single" w:sz="18" w:space="4" w:color="auto" w:shadow="1"/>
          <w:bottom w:val="single" w:sz="18" w:space="1" w:color="auto" w:shadow="1"/>
          <w:right w:val="single" w:sz="18" w:space="0" w:color="auto" w:shadow="1"/>
        </w:pBdr>
        <w:jc w:val="right"/>
        <w:rPr>
          <w:rFonts w:ascii="Arial" w:hAnsi="Arial" w:cs="Arial"/>
        </w:rPr>
      </w:pPr>
      <w:r w:rsidRPr="0009691A">
        <w:rPr>
          <w:rFonts w:ascii="Arial" w:hAnsi="Arial" w:cs="Arial"/>
        </w:rPr>
        <w:t>Dist.</w:t>
      </w:r>
    </w:p>
    <w:p w14:paraId="0CE38C11"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jc w:val="right"/>
        <w:rPr>
          <w:rFonts w:ascii="Arial" w:hAnsi="Arial" w:cs="Arial"/>
          <w:b/>
        </w:rPr>
      </w:pPr>
      <w:r w:rsidRPr="0009691A">
        <w:rPr>
          <w:rFonts w:ascii="Arial" w:hAnsi="Arial" w:cs="Arial"/>
          <w:b/>
        </w:rPr>
        <w:t>Limited</w:t>
      </w:r>
    </w:p>
    <w:p w14:paraId="10812DDD"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jc w:val="right"/>
        <w:rPr>
          <w:rFonts w:ascii="Arial" w:hAnsi="Arial" w:cs="Arial"/>
        </w:rPr>
      </w:pPr>
    </w:p>
    <w:p w14:paraId="46C927EA"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jc w:val="right"/>
        <w:rPr>
          <w:rFonts w:ascii="Arial" w:hAnsi="Arial" w:cs="Arial"/>
        </w:rPr>
      </w:pPr>
      <w:r w:rsidRPr="0009691A">
        <w:rPr>
          <w:rFonts w:ascii="Arial" w:hAnsi="Arial" w:cs="Arial"/>
        </w:rPr>
        <w:tab/>
      </w:r>
      <w:r w:rsidRPr="0009691A">
        <w:rPr>
          <w:rFonts w:ascii="Arial" w:hAnsi="Arial" w:cs="Arial"/>
        </w:rPr>
        <w:tab/>
      </w:r>
      <w:r w:rsidRPr="0009691A">
        <w:rPr>
          <w:rFonts w:ascii="Arial" w:hAnsi="Arial" w:cs="Arial"/>
        </w:rPr>
        <w:tab/>
      </w:r>
      <w:r w:rsidRPr="0009691A">
        <w:rPr>
          <w:rFonts w:ascii="Arial" w:hAnsi="Arial" w:cs="Arial"/>
        </w:rPr>
        <w:tab/>
      </w:r>
      <w:r w:rsidRPr="0009691A">
        <w:rPr>
          <w:rFonts w:ascii="Arial" w:hAnsi="Arial" w:cs="Arial"/>
        </w:rPr>
        <w:tab/>
      </w:r>
      <w:r w:rsidRPr="0009691A">
        <w:rPr>
          <w:rFonts w:ascii="Arial" w:hAnsi="Arial" w:cs="Arial"/>
        </w:rPr>
        <w:tab/>
      </w:r>
      <w:r w:rsidRPr="0009691A">
        <w:rPr>
          <w:rFonts w:ascii="Arial" w:hAnsi="Arial" w:cs="Arial"/>
        </w:rPr>
        <w:tab/>
        <w:t xml:space="preserve">      Original:  </w:t>
      </w:r>
      <w:r w:rsidRPr="0009691A">
        <w:rPr>
          <w:rFonts w:ascii="Arial" w:hAnsi="Arial" w:cs="Arial"/>
          <w:b/>
          <w:bCs/>
        </w:rPr>
        <w:t>ENGLISH</w:t>
      </w:r>
    </w:p>
    <w:p w14:paraId="2E0D116D"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jc w:val="both"/>
        <w:rPr>
          <w:rFonts w:ascii="Arial" w:hAnsi="Arial" w:cs="Arial"/>
          <w:b/>
          <w:bCs/>
        </w:rPr>
      </w:pPr>
    </w:p>
    <w:p w14:paraId="46625F22"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jc w:val="both"/>
        <w:rPr>
          <w:rFonts w:ascii="Arial" w:hAnsi="Arial" w:cs="Arial"/>
          <w:b/>
          <w:bCs/>
        </w:rPr>
      </w:pPr>
    </w:p>
    <w:p w14:paraId="46E881B4"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spacing w:after="0" w:line="240" w:lineRule="auto"/>
        <w:jc w:val="both"/>
        <w:rPr>
          <w:rFonts w:ascii="Arial" w:hAnsi="Arial" w:cs="Arial"/>
          <w:b/>
          <w:bCs/>
        </w:rPr>
      </w:pPr>
    </w:p>
    <w:p w14:paraId="60C4B4E0"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spacing w:after="0" w:line="240" w:lineRule="auto"/>
        <w:jc w:val="both"/>
        <w:rPr>
          <w:rFonts w:ascii="Arial" w:hAnsi="Arial" w:cs="Arial"/>
          <w:b/>
          <w:bCs/>
        </w:rPr>
      </w:pPr>
      <w:r w:rsidRPr="0009691A">
        <w:rPr>
          <w:rFonts w:ascii="Arial" w:hAnsi="Arial" w:cs="Arial"/>
          <w:b/>
          <w:bCs/>
        </w:rPr>
        <w:t>COMMON MARKET FOR EASTERN</w:t>
      </w:r>
    </w:p>
    <w:p w14:paraId="755BD116" w14:textId="77777777" w:rsidR="004D4365" w:rsidRPr="0009691A" w:rsidRDefault="004D4365" w:rsidP="004D4365">
      <w:pPr>
        <w:pStyle w:val="Heading4"/>
        <w:pBdr>
          <w:top w:val="single" w:sz="18" w:space="1" w:color="auto" w:shadow="1"/>
          <w:left w:val="single" w:sz="18" w:space="4" w:color="auto" w:shadow="1"/>
          <w:bottom w:val="single" w:sz="18" w:space="1" w:color="auto" w:shadow="1"/>
          <w:right w:val="single" w:sz="18" w:space="0" w:color="auto" w:shadow="1"/>
        </w:pBdr>
        <w:spacing w:before="0"/>
        <w:jc w:val="both"/>
        <w:rPr>
          <w:rFonts w:ascii="Arial" w:eastAsiaTheme="minorHAnsi" w:hAnsi="Arial" w:cs="Arial"/>
          <w:b/>
          <w:bCs/>
          <w:i w:val="0"/>
          <w:iCs w:val="0"/>
          <w:color w:val="auto"/>
        </w:rPr>
      </w:pPr>
      <w:r w:rsidRPr="0009691A">
        <w:rPr>
          <w:rFonts w:ascii="Arial" w:eastAsiaTheme="minorHAnsi" w:hAnsi="Arial" w:cs="Arial"/>
          <w:b/>
          <w:bCs/>
          <w:i w:val="0"/>
          <w:iCs w:val="0"/>
          <w:color w:val="auto"/>
        </w:rPr>
        <w:t>AND SOUTHERN AFRICA</w:t>
      </w:r>
    </w:p>
    <w:p w14:paraId="5E711F6B"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spacing w:after="0" w:line="240" w:lineRule="auto"/>
        <w:jc w:val="both"/>
        <w:rPr>
          <w:rFonts w:ascii="Arial" w:hAnsi="Arial" w:cs="Arial"/>
          <w:b/>
          <w:bCs/>
        </w:rPr>
      </w:pPr>
    </w:p>
    <w:p w14:paraId="34CF3166"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spacing w:after="0" w:line="240" w:lineRule="auto"/>
        <w:jc w:val="both"/>
        <w:rPr>
          <w:rFonts w:ascii="Arial" w:hAnsi="Arial" w:cs="Arial"/>
          <w:b/>
          <w:bCs/>
        </w:rPr>
      </w:pPr>
    </w:p>
    <w:p w14:paraId="0BA6F49E"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spacing w:after="0" w:line="240" w:lineRule="auto"/>
        <w:jc w:val="both"/>
        <w:rPr>
          <w:rFonts w:ascii="Arial" w:hAnsi="Arial" w:cs="Arial"/>
          <w:b/>
          <w:bCs/>
        </w:rPr>
      </w:pPr>
    </w:p>
    <w:p w14:paraId="1F030DB8"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spacing w:after="0" w:line="240" w:lineRule="auto"/>
        <w:jc w:val="both"/>
        <w:rPr>
          <w:rFonts w:ascii="Arial" w:hAnsi="Arial" w:cs="Arial"/>
          <w:b/>
          <w:bCs/>
        </w:rPr>
      </w:pPr>
    </w:p>
    <w:p w14:paraId="533207C9"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spacing w:after="0" w:line="240" w:lineRule="auto"/>
        <w:jc w:val="both"/>
        <w:rPr>
          <w:rFonts w:ascii="Arial" w:hAnsi="Arial" w:cs="Arial"/>
          <w:b/>
          <w:bCs/>
        </w:rPr>
      </w:pPr>
    </w:p>
    <w:p w14:paraId="41618FD9"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spacing w:after="0" w:line="240" w:lineRule="auto"/>
        <w:jc w:val="both"/>
        <w:rPr>
          <w:rFonts w:ascii="Arial" w:hAnsi="Arial" w:cs="Arial"/>
          <w:b/>
          <w:bCs/>
        </w:rPr>
      </w:pPr>
    </w:p>
    <w:p w14:paraId="56D84BE7"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spacing w:after="0" w:line="240" w:lineRule="auto"/>
        <w:jc w:val="both"/>
        <w:rPr>
          <w:rFonts w:ascii="Arial" w:hAnsi="Arial" w:cs="Arial"/>
          <w:b/>
          <w:bCs/>
        </w:rPr>
      </w:pPr>
    </w:p>
    <w:p w14:paraId="42E4AF1D"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spacing w:after="0" w:line="240" w:lineRule="auto"/>
        <w:jc w:val="both"/>
        <w:rPr>
          <w:rFonts w:ascii="Arial" w:hAnsi="Arial" w:cs="Arial"/>
          <w:b/>
          <w:bCs/>
        </w:rPr>
      </w:pPr>
    </w:p>
    <w:p w14:paraId="5A1ECF57"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spacing w:after="0" w:line="240" w:lineRule="auto"/>
        <w:jc w:val="both"/>
        <w:rPr>
          <w:rFonts w:ascii="Arial" w:hAnsi="Arial" w:cs="Arial"/>
          <w:b/>
          <w:bCs/>
        </w:rPr>
      </w:pPr>
    </w:p>
    <w:p w14:paraId="6B051458" w14:textId="11566374" w:rsidR="004D4365" w:rsidRPr="0009691A" w:rsidRDefault="00265122" w:rsidP="004D4365">
      <w:pPr>
        <w:pBdr>
          <w:top w:val="single" w:sz="18" w:space="1" w:color="auto" w:shadow="1"/>
          <w:left w:val="single" w:sz="18" w:space="4" w:color="auto" w:shadow="1"/>
          <w:bottom w:val="single" w:sz="18" w:space="1" w:color="auto" w:shadow="1"/>
          <w:right w:val="single" w:sz="18" w:space="0" w:color="auto" w:shadow="1"/>
        </w:pBdr>
        <w:spacing w:after="0" w:line="240" w:lineRule="auto"/>
        <w:jc w:val="both"/>
        <w:rPr>
          <w:rFonts w:ascii="Arial" w:hAnsi="Arial" w:cs="Arial"/>
          <w:bCs/>
        </w:rPr>
      </w:pPr>
      <w:r>
        <w:rPr>
          <w:rFonts w:ascii="Arial" w:hAnsi="Arial" w:cs="Arial"/>
          <w:bCs/>
        </w:rPr>
        <w:t>2020 Budget Policy Statement</w:t>
      </w:r>
    </w:p>
    <w:p w14:paraId="3CEA68B5" w14:textId="3EA19B62" w:rsidR="004D4365" w:rsidRPr="0009691A" w:rsidRDefault="00265122" w:rsidP="00966FC3">
      <w:pPr>
        <w:pStyle w:val="Footer"/>
        <w:pBdr>
          <w:top w:val="single" w:sz="18" w:space="1" w:color="auto" w:shadow="1"/>
          <w:left w:val="single" w:sz="18" w:space="4" w:color="auto" w:shadow="1"/>
          <w:bottom w:val="single" w:sz="18" w:space="1" w:color="auto" w:shadow="1"/>
          <w:right w:val="single" w:sz="18" w:space="0" w:color="auto" w:shadow="1"/>
        </w:pBdr>
        <w:tabs>
          <w:tab w:val="clear" w:pos="4680"/>
          <w:tab w:val="left" w:pos="1440"/>
        </w:tabs>
        <w:ind w:left="1440" w:hanging="1440"/>
        <w:rPr>
          <w:rFonts w:ascii="Arial" w:hAnsi="Arial" w:cs="Arial"/>
        </w:rPr>
      </w:pPr>
      <w:r>
        <w:rPr>
          <w:rFonts w:ascii="Arial" w:hAnsi="Arial" w:cs="Arial"/>
        </w:rPr>
        <w:t xml:space="preserve">For the </w:t>
      </w:r>
      <w:r w:rsidR="004D4365" w:rsidRPr="0009691A">
        <w:rPr>
          <w:rFonts w:ascii="Arial" w:hAnsi="Arial" w:cs="Arial"/>
        </w:rPr>
        <w:t>Secretariat</w:t>
      </w:r>
    </w:p>
    <w:p w14:paraId="07BFC199"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rPr>
          <w:rFonts w:ascii="Arial" w:hAnsi="Arial" w:cs="Arial"/>
        </w:rPr>
      </w:pPr>
    </w:p>
    <w:p w14:paraId="6272B5E4"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rPr>
          <w:rFonts w:ascii="Arial" w:hAnsi="Arial" w:cs="Arial"/>
        </w:rPr>
      </w:pPr>
    </w:p>
    <w:p w14:paraId="65B8C537"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rPr>
          <w:rFonts w:ascii="Arial" w:hAnsi="Arial" w:cs="Arial"/>
        </w:rPr>
      </w:pPr>
    </w:p>
    <w:p w14:paraId="7C72C391"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rPr>
          <w:rFonts w:ascii="Arial" w:hAnsi="Arial" w:cs="Arial"/>
        </w:rPr>
      </w:pPr>
    </w:p>
    <w:p w14:paraId="59C583CA"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rPr>
          <w:rFonts w:ascii="Arial" w:hAnsi="Arial" w:cs="Arial"/>
        </w:rPr>
      </w:pPr>
    </w:p>
    <w:p w14:paraId="095DCECD"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rPr>
          <w:rFonts w:ascii="Arial" w:hAnsi="Arial" w:cs="Arial"/>
        </w:rPr>
      </w:pPr>
    </w:p>
    <w:p w14:paraId="6ED34FF5"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rPr>
          <w:rFonts w:ascii="Arial" w:hAnsi="Arial" w:cs="Arial"/>
        </w:rPr>
      </w:pPr>
    </w:p>
    <w:p w14:paraId="3BAF60C4"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rPr>
          <w:rFonts w:ascii="Arial" w:hAnsi="Arial" w:cs="Arial"/>
          <w:bCs/>
        </w:rPr>
      </w:pPr>
    </w:p>
    <w:p w14:paraId="5220154C" w14:textId="77777777" w:rsidR="00966FC3" w:rsidRPr="0009691A" w:rsidRDefault="00966FC3" w:rsidP="004D4365">
      <w:pPr>
        <w:spacing w:after="0" w:line="240" w:lineRule="auto"/>
        <w:rPr>
          <w:rFonts w:ascii="Arial" w:hAnsi="Arial" w:cs="Arial"/>
          <w:b/>
        </w:rPr>
        <w:sectPr w:rsidR="00966FC3" w:rsidRPr="0009691A">
          <w:headerReference w:type="default" r:id="rId9"/>
          <w:footerReference w:type="default" r:id="rId10"/>
          <w:pgSz w:w="11906" w:h="16838"/>
          <w:pgMar w:top="1440" w:right="1440" w:bottom="1440" w:left="1440" w:header="708" w:footer="708" w:gutter="0"/>
          <w:cols w:space="708"/>
          <w:docGrid w:linePitch="360"/>
        </w:sectPr>
      </w:pPr>
    </w:p>
    <w:sdt>
      <w:sdtPr>
        <w:rPr>
          <w:rFonts w:asciiTheme="minorHAnsi" w:eastAsiaTheme="minorHAnsi" w:hAnsiTheme="minorHAnsi" w:cstheme="minorBidi"/>
          <w:color w:val="auto"/>
          <w:sz w:val="22"/>
          <w:szCs w:val="22"/>
        </w:rPr>
        <w:id w:val="1272907015"/>
        <w:docPartObj>
          <w:docPartGallery w:val="Table of Contents"/>
          <w:docPartUnique/>
        </w:docPartObj>
      </w:sdtPr>
      <w:sdtEndPr>
        <w:rPr>
          <w:b/>
          <w:bCs/>
          <w:noProof/>
        </w:rPr>
      </w:sdtEndPr>
      <w:sdtContent>
        <w:p w14:paraId="33DDD323" w14:textId="77777777" w:rsidR="00966FC3" w:rsidRPr="0009691A" w:rsidRDefault="00966FC3">
          <w:pPr>
            <w:pStyle w:val="TOCHeading"/>
            <w:rPr>
              <w:sz w:val="22"/>
              <w:szCs w:val="22"/>
            </w:rPr>
          </w:pPr>
          <w:r w:rsidRPr="0009691A">
            <w:rPr>
              <w:sz w:val="22"/>
              <w:szCs w:val="22"/>
            </w:rPr>
            <w:t>Contents</w:t>
          </w:r>
        </w:p>
        <w:p w14:paraId="1822A3EF" w14:textId="280F6335" w:rsidR="00861044" w:rsidRDefault="00966FC3">
          <w:pPr>
            <w:pStyle w:val="TOC1"/>
            <w:tabs>
              <w:tab w:val="right" w:leader="dot" w:pos="9016"/>
            </w:tabs>
            <w:rPr>
              <w:rFonts w:eastAsiaTheme="minorEastAsia"/>
              <w:noProof/>
            </w:rPr>
          </w:pPr>
          <w:r w:rsidRPr="0009691A">
            <w:fldChar w:fldCharType="begin"/>
          </w:r>
          <w:r w:rsidRPr="0009691A">
            <w:instrText xml:space="preserve"> TOC \o "1-3" \h \z \u </w:instrText>
          </w:r>
          <w:r w:rsidRPr="0009691A">
            <w:fldChar w:fldCharType="separate"/>
          </w:r>
          <w:hyperlink w:anchor="_Toc23006774" w:history="1">
            <w:r w:rsidR="00861044" w:rsidRPr="00E50D1F">
              <w:rPr>
                <w:rStyle w:val="Hyperlink"/>
                <w:rFonts w:ascii="Arial" w:hAnsi="Arial" w:cs="Arial"/>
                <w:b/>
                <w:noProof/>
              </w:rPr>
              <w:t>2020 BUDGET SUBMISSION</w:t>
            </w:r>
            <w:r w:rsidR="00861044">
              <w:rPr>
                <w:noProof/>
                <w:webHidden/>
              </w:rPr>
              <w:tab/>
            </w:r>
            <w:r w:rsidR="00861044">
              <w:rPr>
                <w:noProof/>
                <w:webHidden/>
              </w:rPr>
              <w:fldChar w:fldCharType="begin"/>
            </w:r>
            <w:r w:rsidR="00861044">
              <w:rPr>
                <w:noProof/>
                <w:webHidden/>
              </w:rPr>
              <w:instrText xml:space="preserve"> PAGEREF _Toc23006774 \h </w:instrText>
            </w:r>
            <w:r w:rsidR="00861044">
              <w:rPr>
                <w:noProof/>
                <w:webHidden/>
              </w:rPr>
            </w:r>
            <w:r w:rsidR="00861044">
              <w:rPr>
                <w:noProof/>
                <w:webHidden/>
              </w:rPr>
              <w:fldChar w:fldCharType="separate"/>
            </w:r>
            <w:r w:rsidR="00861044">
              <w:rPr>
                <w:noProof/>
                <w:webHidden/>
              </w:rPr>
              <w:t>3</w:t>
            </w:r>
            <w:r w:rsidR="00861044">
              <w:rPr>
                <w:noProof/>
                <w:webHidden/>
              </w:rPr>
              <w:fldChar w:fldCharType="end"/>
            </w:r>
          </w:hyperlink>
        </w:p>
        <w:p w14:paraId="03F7C9B1" w14:textId="1F621D5A" w:rsidR="00861044" w:rsidRDefault="008C6F12">
          <w:pPr>
            <w:pStyle w:val="TOC1"/>
            <w:tabs>
              <w:tab w:val="left" w:pos="1320"/>
              <w:tab w:val="right" w:leader="dot" w:pos="9016"/>
            </w:tabs>
            <w:rPr>
              <w:rFonts w:eastAsiaTheme="minorEastAsia"/>
              <w:noProof/>
            </w:rPr>
          </w:pPr>
          <w:hyperlink w:anchor="_Toc23006775" w:history="1">
            <w:r w:rsidR="00861044" w:rsidRPr="00E50D1F">
              <w:rPr>
                <w:rStyle w:val="Hyperlink"/>
                <w:rFonts w:ascii="Arial" w:hAnsi="Arial" w:cs="Arial"/>
                <w:b/>
                <w:noProof/>
              </w:rPr>
              <w:t>PART A:</w:t>
            </w:r>
            <w:r w:rsidR="00861044">
              <w:rPr>
                <w:rFonts w:eastAsiaTheme="minorEastAsia"/>
                <w:noProof/>
              </w:rPr>
              <w:tab/>
            </w:r>
            <w:r w:rsidR="00861044" w:rsidRPr="00E50D1F">
              <w:rPr>
                <w:rStyle w:val="Hyperlink"/>
                <w:rFonts w:ascii="Arial" w:hAnsi="Arial" w:cs="Arial"/>
                <w:b/>
                <w:noProof/>
              </w:rPr>
              <w:t>OVERVIEW OF THE 2020 WORK PROGRAMME</w:t>
            </w:r>
            <w:r w:rsidR="00861044">
              <w:rPr>
                <w:noProof/>
                <w:webHidden/>
              </w:rPr>
              <w:tab/>
            </w:r>
            <w:r w:rsidR="00861044">
              <w:rPr>
                <w:noProof/>
                <w:webHidden/>
              </w:rPr>
              <w:fldChar w:fldCharType="begin"/>
            </w:r>
            <w:r w:rsidR="00861044">
              <w:rPr>
                <w:noProof/>
                <w:webHidden/>
              </w:rPr>
              <w:instrText xml:space="preserve"> PAGEREF _Toc23006775 \h </w:instrText>
            </w:r>
            <w:r w:rsidR="00861044">
              <w:rPr>
                <w:noProof/>
                <w:webHidden/>
              </w:rPr>
            </w:r>
            <w:r w:rsidR="00861044">
              <w:rPr>
                <w:noProof/>
                <w:webHidden/>
              </w:rPr>
              <w:fldChar w:fldCharType="separate"/>
            </w:r>
            <w:r w:rsidR="00861044">
              <w:rPr>
                <w:noProof/>
                <w:webHidden/>
              </w:rPr>
              <w:t>4</w:t>
            </w:r>
            <w:r w:rsidR="00861044">
              <w:rPr>
                <w:noProof/>
                <w:webHidden/>
              </w:rPr>
              <w:fldChar w:fldCharType="end"/>
            </w:r>
          </w:hyperlink>
        </w:p>
        <w:p w14:paraId="540131D0" w14:textId="0FCF0023" w:rsidR="00861044" w:rsidRDefault="008C6F12">
          <w:pPr>
            <w:pStyle w:val="TOC2"/>
            <w:tabs>
              <w:tab w:val="left" w:pos="880"/>
              <w:tab w:val="right" w:leader="dot" w:pos="9016"/>
            </w:tabs>
            <w:rPr>
              <w:rFonts w:eastAsiaTheme="minorEastAsia"/>
              <w:noProof/>
            </w:rPr>
          </w:pPr>
          <w:hyperlink w:anchor="_Toc23006776" w:history="1">
            <w:r w:rsidR="00861044" w:rsidRPr="00E50D1F">
              <w:rPr>
                <w:rStyle w:val="Hyperlink"/>
                <w:rFonts w:ascii="Arial" w:eastAsia="Times New Roman" w:hAnsi="Arial" w:cs="Arial"/>
                <w:noProof/>
              </w:rPr>
              <w:t>A1:</w:t>
            </w:r>
            <w:r w:rsidR="00861044">
              <w:rPr>
                <w:rFonts w:eastAsiaTheme="minorEastAsia"/>
                <w:noProof/>
              </w:rPr>
              <w:tab/>
            </w:r>
            <w:r w:rsidR="00861044" w:rsidRPr="00E50D1F">
              <w:rPr>
                <w:rStyle w:val="Hyperlink"/>
                <w:rFonts w:ascii="Arial" w:eastAsia="Times New Roman" w:hAnsi="Arial" w:cs="Arial"/>
                <w:noProof/>
              </w:rPr>
              <w:t>Overview of the work programming process for 2020</w:t>
            </w:r>
            <w:r w:rsidR="00861044">
              <w:rPr>
                <w:noProof/>
                <w:webHidden/>
              </w:rPr>
              <w:tab/>
            </w:r>
            <w:r w:rsidR="00861044">
              <w:rPr>
                <w:noProof/>
                <w:webHidden/>
              </w:rPr>
              <w:fldChar w:fldCharType="begin"/>
            </w:r>
            <w:r w:rsidR="00861044">
              <w:rPr>
                <w:noProof/>
                <w:webHidden/>
              </w:rPr>
              <w:instrText xml:space="preserve"> PAGEREF _Toc23006776 \h </w:instrText>
            </w:r>
            <w:r w:rsidR="00861044">
              <w:rPr>
                <w:noProof/>
                <w:webHidden/>
              </w:rPr>
            </w:r>
            <w:r w:rsidR="00861044">
              <w:rPr>
                <w:noProof/>
                <w:webHidden/>
              </w:rPr>
              <w:fldChar w:fldCharType="separate"/>
            </w:r>
            <w:r w:rsidR="00861044">
              <w:rPr>
                <w:noProof/>
                <w:webHidden/>
              </w:rPr>
              <w:t>4</w:t>
            </w:r>
            <w:r w:rsidR="00861044">
              <w:rPr>
                <w:noProof/>
                <w:webHidden/>
              </w:rPr>
              <w:fldChar w:fldCharType="end"/>
            </w:r>
          </w:hyperlink>
        </w:p>
        <w:p w14:paraId="4CE0E056" w14:textId="5AB52950" w:rsidR="00861044" w:rsidRDefault="008C6F12">
          <w:pPr>
            <w:pStyle w:val="TOC2"/>
            <w:tabs>
              <w:tab w:val="left" w:pos="880"/>
              <w:tab w:val="right" w:leader="dot" w:pos="9016"/>
            </w:tabs>
            <w:rPr>
              <w:rFonts w:eastAsiaTheme="minorEastAsia"/>
              <w:noProof/>
            </w:rPr>
          </w:pPr>
          <w:hyperlink w:anchor="_Toc23006777" w:history="1">
            <w:r w:rsidR="00861044" w:rsidRPr="00E50D1F">
              <w:rPr>
                <w:rStyle w:val="Hyperlink"/>
                <w:rFonts w:ascii="Arial" w:eastAsia="Times New Roman" w:hAnsi="Arial" w:cs="Arial"/>
                <w:noProof/>
              </w:rPr>
              <w:t>A2:</w:t>
            </w:r>
            <w:r w:rsidR="00861044">
              <w:rPr>
                <w:rFonts w:eastAsiaTheme="minorEastAsia"/>
                <w:noProof/>
              </w:rPr>
              <w:tab/>
            </w:r>
            <w:r w:rsidR="00861044" w:rsidRPr="00E50D1F">
              <w:rPr>
                <w:rStyle w:val="Hyperlink"/>
                <w:rFonts w:ascii="Arial" w:eastAsia="Times New Roman" w:hAnsi="Arial" w:cs="Arial"/>
                <w:noProof/>
              </w:rPr>
              <w:t>Guiding principles – annual work programming</w:t>
            </w:r>
            <w:r w:rsidR="00861044">
              <w:rPr>
                <w:noProof/>
                <w:webHidden/>
              </w:rPr>
              <w:tab/>
            </w:r>
            <w:r w:rsidR="00861044">
              <w:rPr>
                <w:noProof/>
                <w:webHidden/>
              </w:rPr>
              <w:fldChar w:fldCharType="begin"/>
            </w:r>
            <w:r w:rsidR="00861044">
              <w:rPr>
                <w:noProof/>
                <w:webHidden/>
              </w:rPr>
              <w:instrText xml:space="preserve"> PAGEREF _Toc23006777 \h </w:instrText>
            </w:r>
            <w:r w:rsidR="00861044">
              <w:rPr>
                <w:noProof/>
                <w:webHidden/>
              </w:rPr>
            </w:r>
            <w:r w:rsidR="00861044">
              <w:rPr>
                <w:noProof/>
                <w:webHidden/>
              </w:rPr>
              <w:fldChar w:fldCharType="separate"/>
            </w:r>
            <w:r w:rsidR="00861044">
              <w:rPr>
                <w:noProof/>
                <w:webHidden/>
              </w:rPr>
              <w:t>5</w:t>
            </w:r>
            <w:r w:rsidR="00861044">
              <w:rPr>
                <w:noProof/>
                <w:webHidden/>
              </w:rPr>
              <w:fldChar w:fldCharType="end"/>
            </w:r>
          </w:hyperlink>
        </w:p>
        <w:p w14:paraId="6A0B3308" w14:textId="314D60A9" w:rsidR="00861044" w:rsidRDefault="008C6F12">
          <w:pPr>
            <w:pStyle w:val="TOC3"/>
            <w:tabs>
              <w:tab w:val="right" w:leader="dot" w:pos="9016"/>
            </w:tabs>
            <w:rPr>
              <w:rFonts w:eastAsiaTheme="minorEastAsia"/>
              <w:noProof/>
            </w:rPr>
          </w:pPr>
          <w:hyperlink w:anchor="_Toc23006778" w:history="1">
            <w:r w:rsidR="00861044" w:rsidRPr="00E50D1F">
              <w:rPr>
                <w:rStyle w:val="Hyperlink"/>
                <w:noProof/>
              </w:rPr>
              <w:t>2016-2020 Medium Term Strategic Plan</w:t>
            </w:r>
            <w:r w:rsidR="00861044">
              <w:rPr>
                <w:noProof/>
                <w:webHidden/>
              </w:rPr>
              <w:tab/>
            </w:r>
            <w:r w:rsidR="00861044">
              <w:rPr>
                <w:noProof/>
                <w:webHidden/>
              </w:rPr>
              <w:fldChar w:fldCharType="begin"/>
            </w:r>
            <w:r w:rsidR="00861044">
              <w:rPr>
                <w:noProof/>
                <w:webHidden/>
              </w:rPr>
              <w:instrText xml:space="preserve"> PAGEREF _Toc23006778 \h </w:instrText>
            </w:r>
            <w:r w:rsidR="00861044">
              <w:rPr>
                <w:noProof/>
                <w:webHidden/>
              </w:rPr>
            </w:r>
            <w:r w:rsidR="00861044">
              <w:rPr>
                <w:noProof/>
                <w:webHidden/>
              </w:rPr>
              <w:fldChar w:fldCharType="separate"/>
            </w:r>
            <w:r w:rsidR="00861044">
              <w:rPr>
                <w:noProof/>
                <w:webHidden/>
              </w:rPr>
              <w:t>5</w:t>
            </w:r>
            <w:r w:rsidR="00861044">
              <w:rPr>
                <w:noProof/>
                <w:webHidden/>
              </w:rPr>
              <w:fldChar w:fldCharType="end"/>
            </w:r>
          </w:hyperlink>
        </w:p>
        <w:p w14:paraId="4AB1BA68" w14:textId="16991B9D" w:rsidR="00861044" w:rsidRDefault="008C6F12">
          <w:pPr>
            <w:pStyle w:val="TOC3"/>
            <w:tabs>
              <w:tab w:val="right" w:leader="dot" w:pos="9016"/>
            </w:tabs>
            <w:rPr>
              <w:rFonts w:eastAsiaTheme="minorEastAsia"/>
              <w:noProof/>
            </w:rPr>
          </w:pPr>
          <w:hyperlink w:anchor="_Toc23006779" w:history="1">
            <w:r w:rsidR="00861044" w:rsidRPr="00E50D1F">
              <w:rPr>
                <w:rStyle w:val="Hyperlink"/>
                <w:noProof/>
              </w:rPr>
              <w:t>Programme approach</w:t>
            </w:r>
            <w:r w:rsidR="00861044">
              <w:rPr>
                <w:noProof/>
                <w:webHidden/>
              </w:rPr>
              <w:tab/>
            </w:r>
            <w:r w:rsidR="00861044">
              <w:rPr>
                <w:noProof/>
                <w:webHidden/>
              </w:rPr>
              <w:fldChar w:fldCharType="begin"/>
            </w:r>
            <w:r w:rsidR="00861044">
              <w:rPr>
                <w:noProof/>
                <w:webHidden/>
              </w:rPr>
              <w:instrText xml:space="preserve"> PAGEREF _Toc23006779 \h </w:instrText>
            </w:r>
            <w:r w:rsidR="00861044">
              <w:rPr>
                <w:noProof/>
                <w:webHidden/>
              </w:rPr>
            </w:r>
            <w:r w:rsidR="00861044">
              <w:rPr>
                <w:noProof/>
                <w:webHidden/>
              </w:rPr>
              <w:fldChar w:fldCharType="separate"/>
            </w:r>
            <w:r w:rsidR="00861044">
              <w:rPr>
                <w:noProof/>
                <w:webHidden/>
              </w:rPr>
              <w:t>5</w:t>
            </w:r>
            <w:r w:rsidR="00861044">
              <w:rPr>
                <w:noProof/>
                <w:webHidden/>
              </w:rPr>
              <w:fldChar w:fldCharType="end"/>
            </w:r>
          </w:hyperlink>
        </w:p>
        <w:p w14:paraId="1F491554" w14:textId="43640B44" w:rsidR="00861044" w:rsidRDefault="008C6F12">
          <w:pPr>
            <w:pStyle w:val="TOC3"/>
            <w:tabs>
              <w:tab w:val="right" w:leader="dot" w:pos="9016"/>
            </w:tabs>
            <w:rPr>
              <w:rFonts w:eastAsiaTheme="minorEastAsia"/>
              <w:noProof/>
            </w:rPr>
          </w:pPr>
          <w:hyperlink w:anchor="_Toc23006780" w:history="1">
            <w:r w:rsidR="00861044" w:rsidRPr="00E50D1F">
              <w:rPr>
                <w:rStyle w:val="Hyperlink"/>
                <w:noProof/>
              </w:rPr>
              <w:t>Complementarity</w:t>
            </w:r>
            <w:r w:rsidR="00861044">
              <w:rPr>
                <w:noProof/>
                <w:webHidden/>
              </w:rPr>
              <w:tab/>
            </w:r>
            <w:r w:rsidR="00861044">
              <w:rPr>
                <w:noProof/>
                <w:webHidden/>
              </w:rPr>
              <w:fldChar w:fldCharType="begin"/>
            </w:r>
            <w:r w:rsidR="00861044">
              <w:rPr>
                <w:noProof/>
                <w:webHidden/>
              </w:rPr>
              <w:instrText xml:space="preserve"> PAGEREF _Toc23006780 \h </w:instrText>
            </w:r>
            <w:r w:rsidR="00861044">
              <w:rPr>
                <w:noProof/>
                <w:webHidden/>
              </w:rPr>
            </w:r>
            <w:r w:rsidR="00861044">
              <w:rPr>
                <w:noProof/>
                <w:webHidden/>
              </w:rPr>
              <w:fldChar w:fldCharType="separate"/>
            </w:r>
            <w:r w:rsidR="00861044">
              <w:rPr>
                <w:noProof/>
                <w:webHidden/>
              </w:rPr>
              <w:t>5</w:t>
            </w:r>
            <w:r w:rsidR="00861044">
              <w:rPr>
                <w:noProof/>
                <w:webHidden/>
              </w:rPr>
              <w:fldChar w:fldCharType="end"/>
            </w:r>
          </w:hyperlink>
        </w:p>
        <w:p w14:paraId="51C4006C" w14:textId="565C15A7" w:rsidR="00861044" w:rsidRDefault="008C6F12">
          <w:pPr>
            <w:pStyle w:val="TOC3"/>
            <w:tabs>
              <w:tab w:val="right" w:leader="dot" w:pos="9016"/>
            </w:tabs>
            <w:rPr>
              <w:rFonts w:eastAsiaTheme="minorEastAsia"/>
              <w:noProof/>
            </w:rPr>
          </w:pPr>
          <w:hyperlink w:anchor="_Toc23006781" w:history="1">
            <w:r w:rsidR="00861044" w:rsidRPr="00E50D1F">
              <w:rPr>
                <w:rStyle w:val="Hyperlink"/>
                <w:noProof/>
              </w:rPr>
              <w:t>Division of labour within COMESA</w:t>
            </w:r>
            <w:r w:rsidR="00861044">
              <w:rPr>
                <w:noProof/>
                <w:webHidden/>
              </w:rPr>
              <w:tab/>
            </w:r>
            <w:r w:rsidR="00861044">
              <w:rPr>
                <w:noProof/>
                <w:webHidden/>
              </w:rPr>
              <w:fldChar w:fldCharType="begin"/>
            </w:r>
            <w:r w:rsidR="00861044">
              <w:rPr>
                <w:noProof/>
                <w:webHidden/>
              </w:rPr>
              <w:instrText xml:space="preserve"> PAGEREF _Toc23006781 \h </w:instrText>
            </w:r>
            <w:r w:rsidR="00861044">
              <w:rPr>
                <w:noProof/>
                <w:webHidden/>
              </w:rPr>
            </w:r>
            <w:r w:rsidR="00861044">
              <w:rPr>
                <w:noProof/>
                <w:webHidden/>
              </w:rPr>
              <w:fldChar w:fldCharType="separate"/>
            </w:r>
            <w:r w:rsidR="00861044">
              <w:rPr>
                <w:noProof/>
                <w:webHidden/>
              </w:rPr>
              <w:t>5</w:t>
            </w:r>
            <w:r w:rsidR="00861044">
              <w:rPr>
                <w:noProof/>
                <w:webHidden/>
              </w:rPr>
              <w:fldChar w:fldCharType="end"/>
            </w:r>
          </w:hyperlink>
        </w:p>
        <w:p w14:paraId="6750FEF5" w14:textId="0C3526CC" w:rsidR="00861044" w:rsidRDefault="008C6F12">
          <w:pPr>
            <w:pStyle w:val="TOC3"/>
            <w:tabs>
              <w:tab w:val="right" w:leader="dot" w:pos="9016"/>
            </w:tabs>
            <w:rPr>
              <w:rFonts w:eastAsiaTheme="minorEastAsia"/>
              <w:noProof/>
            </w:rPr>
          </w:pPr>
          <w:hyperlink w:anchor="_Toc23006782" w:history="1">
            <w:r w:rsidR="00861044" w:rsidRPr="00E50D1F">
              <w:rPr>
                <w:rStyle w:val="Hyperlink"/>
                <w:noProof/>
              </w:rPr>
              <w:t>Non-fungibility of funding under grant contracts</w:t>
            </w:r>
            <w:r w:rsidR="00861044">
              <w:rPr>
                <w:noProof/>
                <w:webHidden/>
              </w:rPr>
              <w:tab/>
            </w:r>
            <w:r w:rsidR="00861044">
              <w:rPr>
                <w:noProof/>
                <w:webHidden/>
              </w:rPr>
              <w:fldChar w:fldCharType="begin"/>
            </w:r>
            <w:r w:rsidR="00861044">
              <w:rPr>
                <w:noProof/>
                <w:webHidden/>
              </w:rPr>
              <w:instrText xml:space="preserve"> PAGEREF _Toc23006782 \h </w:instrText>
            </w:r>
            <w:r w:rsidR="00861044">
              <w:rPr>
                <w:noProof/>
                <w:webHidden/>
              </w:rPr>
            </w:r>
            <w:r w:rsidR="00861044">
              <w:rPr>
                <w:noProof/>
                <w:webHidden/>
              </w:rPr>
              <w:fldChar w:fldCharType="separate"/>
            </w:r>
            <w:r w:rsidR="00861044">
              <w:rPr>
                <w:noProof/>
                <w:webHidden/>
              </w:rPr>
              <w:t>6</w:t>
            </w:r>
            <w:r w:rsidR="00861044">
              <w:rPr>
                <w:noProof/>
                <w:webHidden/>
              </w:rPr>
              <w:fldChar w:fldCharType="end"/>
            </w:r>
          </w:hyperlink>
        </w:p>
        <w:p w14:paraId="2951E109" w14:textId="153DD802" w:rsidR="00861044" w:rsidRDefault="008C6F12">
          <w:pPr>
            <w:pStyle w:val="TOC2"/>
            <w:tabs>
              <w:tab w:val="left" w:pos="880"/>
              <w:tab w:val="right" w:leader="dot" w:pos="9016"/>
            </w:tabs>
            <w:rPr>
              <w:rFonts w:eastAsiaTheme="minorEastAsia"/>
              <w:noProof/>
            </w:rPr>
          </w:pPr>
          <w:hyperlink w:anchor="_Toc23006783" w:history="1">
            <w:r w:rsidR="00861044" w:rsidRPr="00E50D1F">
              <w:rPr>
                <w:rStyle w:val="Hyperlink"/>
                <w:rFonts w:ascii="Arial" w:eastAsia="Times New Roman" w:hAnsi="Arial" w:cs="Arial"/>
                <w:noProof/>
              </w:rPr>
              <w:t>A3:</w:t>
            </w:r>
            <w:r w:rsidR="00861044">
              <w:rPr>
                <w:rFonts w:eastAsiaTheme="minorEastAsia"/>
                <w:noProof/>
              </w:rPr>
              <w:tab/>
            </w:r>
            <w:r w:rsidR="00861044" w:rsidRPr="00E50D1F">
              <w:rPr>
                <w:rStyle w:val="Hyperlink"/>
                <w:rFonts w:ascii="Arial" w:eastAsia="Times New Roman" w:hAnsi="Arial" w:cs="Arial"/>
                <w:noProof/>
              </w:rPr>
              <w:t>Overall Environment Scan for COMESA Region</w:t>
            </w:r>
            <w:r w:rsidR="00861044">
              <w:rPr>
                <w:noProof/>
                <w:webHidden/>
              </w:rPr>
              <w:tab/>
            </w:r>
            <w:r w:rsidR="00861044">
              <w:rPr>
                <w:noProof/>
                <w:webHidden/>
              </w:rPr>
              <w:fldChar w:fldCharType="begin"/>
            </w:r>
            <w:r w:rsidR="00861044">
              <w:rPr>
                <w:noProof/>
                <w:webHidden/>
              </w:rPr>
              <w:instrText xml:space="preserve"> PAGEREF _Toc23006783 \h </w:instrText>
            </w:r>
            <w:r w:rsidR="00861044">
              <w:rPr>
                <w:noProof/>
                <w:webHidden/>
              </w:rPr>
            </w:r>
            <w:r w:rsidR="00861044">
              <w:rPr>
                <w:noProof/>
                <w:webHidden/>
              </w:rPr>
              <w:fldChar w:fldCharType="separate"/>
            </w:r>
            <w:r w:rsidR="00861044">
              <w:rPr>
                <w:noProof/>
                <w:webHidden/>
              </w:rPr>
              <w:t>7</w:t>
            </w:r>
            <w:r w:rsidR="00861044">
              <w:rPr>
                <w:noProof/>
                <w:webHidden/>
              </w:rPr>
              <w:fldChar w:fldCharType="end"/>
            </w:r>
          </w:hyperlink>
        </w:p>
        <w:p w14:paraId="4532DC8D" w14:textId="5D4C981C" w:rsidR="00861044" w:rsidRDefault="008C6F12">
          <w:pPr>
            <w:pStyle w:val="TOC2"/>
            <w:tabs>
              <w:tab w:val="left" w:pos="880"/>
              <w:tab w:val="right" w:leader="dot" w:pos="9016"/>
            </w:tabs>
            <w:rPr>
              <w:rFonts w:eastAsiaTheme="minorEastAsia"/>
              <w:noProof/>
            </w:rPr>
          </w:pPr>
          <w:hyperlink w:anchor="_Toc23006784" w:history="1">
            <w:r w:rsidR="00861044" w:rsidRPr="00E50D1F">
              <w:rPr>
                <w:rStyle w:val="Hyperlink"/>
                <w:rFonts w:ascii="Arial" w:eastAsia="Times New Roman" w:hAnsi="Arial" w:cs="Arial"/>
                <w:noProof/>
              </w:rPr>
              <w:t>A4:</w:t>
            </w:r>
            <w:r w:rsidR="00861044">
              <w:rPr>
                <w:rFonts w:eastAsiaTheme="minorEastAsia"/>
                <w:noProof/>
              </w:rPr>
              <w:tab/>
            </w:r>
            <w:r w:rsidR="00861044" w:rsidRPr="00E50D1F">
              <w:rPr>
                <w:rStyle w:val="Hyperlink"/>
                <w:rFonts w:ascii="Arial" w:eastAsia="Times New Roman" w:hAnsi="Arial" w:cs="Arial"/>
                <w:noProof/>
              </w:rPr>
              <w:t>Overview of the Performance of the 2019 Work Programme</w:t>
            </w:r>
            <w:r w:rsidR="00861044">
              <w:rPr>
                <w:noProof/>
                <w:webHidden/>
              </w:rPr>
              <w:tab/>
            </w:r>
            <w:r w:rsidR="00861044">
              <w:rPr>
                <w:noProof/>
                <w:webHidden/>
              </w:rPr>
              <w:fldChar w:fldCharType="begin"/>
            </w:r>
            <w:r w:rsidR="00861044">
              <w:rPr>
                <w:noProof/>
                <w:webHidden/>
              </w:rPr>
              <w:instrText xml:space="preserve"> PAGEREF _Toc23006784 \h </w:instrText>
            </w:r>
            <w:r w:rsidR="00861044">
              <w:rPr>
                <w:noProof/>
                <w:webHidden/>
              </w:rPr>
            </w:r>
            <w:r w:rsidR="00861044">
              <w:rPr>
                <w:noProof/>
                <w:webHidden/>
              </w:rPr>
              <w:fldChar w:fldCharType="separate"/>
            </w:r>
            <w:r w:rsidR="00861044">
              <w:rPr>
                <w:noProof/>
                <w:webHidden/>
              </w:rPr>
              <w:t>9</w:t>
            </w:r>
            <w:r w:rsidR="00861044">
              <w:rPr>
                <w:noProof/>
                <w:webHidden/>
              </w:rPr>
              <w:fldChar w:fldCharType="end"/>
            </w:r>
          </w:hyperlink>
        </w:p>
        <w:p w14:paraId="4B43F599" w14:textId="2F6D2CB1" w:rsidR="00861044" w:rsidRDefault="008C6F12">
          <w:pPr>
            <w:pStyle w:val="TOC3"/>
            <w:tabs>
              <w:tab w:val="right" w:leader="dot" w:pos="9016"/>
            </w:tabs>
            <w:rPr>
              <w:rFonts w:eastAsiaTheme="minorEastAsia"/>
              <w:noProof/>
            </w:rPr>
          </w:pPr>
          <w:hyperlink w:anchor="_Toc23006785" w:history="1">
            <w:r w:rsidR="00861044" w:rsidRPr="00E50D1F">
              <w:rPr>
                <w:rStyle w:val="Hyperlink"/>
                <w:noProof/>
              </w:rPr>
              <w:t>Activities carried out in 2019</w:t>
            </w:r>
            <w:r w:rsidR="00861044">
              <w:rPr>
                <w:noProof/>
                <w:webHidden/>
              </w:rPr>
              <w:tab/>
            </w:r>
            <w:r w:rsidR="00861044">
              <w:rPr>
                <w:noProof/>
                <w:webHidden/>
              </w:rPr>
              <w:fldChar w:fldCharType="begin"/>
            </w:r>
            <w:r w:rsidR="00861044">
              <w:rPr>
                <w:noProof/>
                <w:webHidden/>
              </w:rPr>
              <w:instrText xml:space="preserve"> PAGEREF _Toc23006785 \h </w:instrText>
            </w:r>
            <w:r w:rsidR="00861044">
              <w:rPr>
                <w:noProof/>
                <w:webHidden/>
              </w:rPr>
            </w:r>
            <w:r w:rsidR="00861044">
              <w:rPr>
                <w:noProof/>
                <w:webHidden/>
              </w:rPr>
              <w:fldChar w:fldCharType="separate"/>
            </w:r>
            <w:r w:rsidR="00861044">
              <w:rPr>
                <w:noProof/>
                <w:webHidden/>
              </w:rPr>
              <w:t>9</w:t>
            </w:r>
            <w:r w:rsidR="00861044">
              <w:rPr>
                <w:noProof/>
                <w:webHidden/>
              </w:rPr>
              <w:fldChar w:fldCharType="end"/>
            </w:r>
          </w:hyperlink>
        </w:p>
        <w:p w14:paraId="0931C966" w14:textId="766435D5" w:rsidR="00861044" w:rsidRDefault="008C6F12">
          <w:pPr>
            <w:pStyle w:val="TOC3"/>
            <w:tabs>
              <w:tab w:val="right" w:leader="dot" w:pos="9016"/>
            </w:tabs>
            <w:rPr>
              <w:rFonts w:eastAsiaTheme="minorEastAsia"/>
              <w:noProof/>
            </w:rPr>
          </w:pPr>
          <w:hyperlink w:anchor="_Toc23006786" w:history="1">
            <w:r w:rsidR="00861044" w:rsidRPr="00E50D1F">
              <w:rPr>
                <w:rStyle w:val="Hyperlink"/>
                <w:noProof/>
              </w:rPr>
              <w:t>Projected budget outturn for 2019</w:t>
            </w:r>
            <w:r w:rsidR="00861044">
              <w:rPr>
                <w:noProof/>
                <w:webHidden/>
              </w:rPr>
              <w:tab/>
            </w:r>
            <w:r w:rsidR="00861044">
              <w:rPr>
                <w:noProof/>
                <w:webHidden/>
              </w:rPr>
              <w:fldChar w:fldCharType="begin"/>
            </w:r>
            <w:r w:rsidR="00861044">
              <w:rPr>
                <w:noProof/>
                <w:webHidden/>
              </w:rPr>
              <w:instrText xml:space="preserve"> PAGEREF _Toc23006786 \h </w:instrText>
            </w:r>
            <w:r w:rsidR="00861044">
              <w:rPr>
                <w:noProof/>
                <w:webHidden/>
              </w:rPr>
            </w:r>
            <w:r w:rsidR="00861044">
              <w:rPr>
                <w:noProof/>
                <w:webHidden/>
              </w:rPr>
              <w:fldChar w:fldCharType="separate"/>
            </w:r>
            <w:r w:rsidR="00861044">
              <w:rPr>
                <w:noProof/>
                <w:webHidden/>
              </w:rPr>
              <w:t>10</w:t>
            </w:r>
            <w:r w:rsidR="00861044">
              <w:rPr>
                <w:noProof/>
                <w:webHidden/>
              </w:rPr>
              <w:fldChar w:fldCharType="end"/>
            </w:r>
          </w:hyperlink>
        </w:p>
        <w:p w14:paraId="56080739" w14:textId="1CCF685D" w:rsidR="00861044" w:rsidRDefault="008C6F12">
          <w:pPr>
            <w:pStyle w:val="TOC2"/>
            <w:tabs>
              <w:tab w:val="left" w:pos="880"/>
              <w:tab w:val="right" w:leader="dot" w:pos="9016"/>
            </w:tabs>
            <w:rPr>
              <w:rFonts w:eastAsiaTheme="minorEastAsia"/>
              <w:noProof/>
            </w:rPr>
          </w:pPr>
          <w:hyperlink w:anchor="_Toc23006787" w:history="1">
            <w:r w:rsidR="00861044" w:rsidRPr="00E50D1F">
              <w:rPr>
                <w:rStyle w:val="Hyperlink"/>
                <w:rFonts w:ascii="Arial" w:eastAsia="Times New Roman" w:hAnsi="Arial" w:cs="Arial"/>
                <w:noProof/>
              </w:rPr>
              <w:t>A5:</w:t>
            </w:r>
            <w:r w:rsidR="00861044">
              <w:rPr>
                <w:rFonts w:eastAsiaTheme="minorEastAsia"/>
                <w:noProof/>
              </w:rPr>
              <w:tab/>
            </w:r>
            <w:r w:rsidR="00861044" w:rsidRPr="00E50D1F">
              <w:rPr>
                <w:rStyle w:val="Hyperlink"/>
                <w:rFonts w:ascii="Arial" w:eastAsia="Arial" w:hAnsi="Arial" w:cs="Arial"/>
                <w:noProof/>
              </w:rPr>
              <w:t>2020 Priorities and interventions</w:t>
            </w:r>
            <w:r w:rsidR="00861044">
              <w:rPr>
                <w:noProof/>
                <w:webHidden/>
              </w:rPr>
              <w:tab/>
            </w:r>
            <w:r w:rsidR="00861044">
              <w:rPr>
                <w:noProof/>
                <w:webHidden/>
              </w:rPr>
              <w:fldChar w:fldCharType="begin"/>
            </w:r>
            <w:r w:rsidR="00861044">
              <w:rPr>
                <w:noProof/>
                <w:webHidden/>
              </w:rPr>
              <w:instrText xml:space="preserve"> PAGEREF _Toc23006787 \h </w:instrText>
            </w:r>
            <w:r w:rsidR="00861044">
              <w:rPr>
                <w:noProof/>
                <w:webHidden/>
              </w:rPr>
            </w:r>
            <w:r w:rsidR="00861044">
              <w:rPr>
                <w:noProof/>
                <w:webHidden/>
              </w:rPr>
              <w:fldChar w:fldCharType="separate"/>
            </w:r>
            <w:r w:rsidR="00861044">
              <w:rPr>
                <w:noProof/>
                <w:webHidden/>
              </w:rPr>
              <w:t>13</w:t>
            </w:r>
            <w:r w:rsidR="00861044">
              <w:rPr>
                <w:noProof/>
                <w:webHidden/>
              </w:rPr>
              <w:fldChar w:fldCharType="end"/>
            </w:r>
          </w:hyperlink>
        </w:p>
        <w:p w14:paraId="0D0A0641" w14:textId="401229F1" w:rsidR="00861044" w:rsidRDefault="008C6F12">
          <w:pPr>
            <w:pStyle w:val="TOC3"/>
            <w:tabs>
              <w:tab w:val="right" w:leader="dot" w:pos="9016"/>
            </w:tabs>
            <w:rPr>
              <w:rFonts w:eastAsiaTheme="minorEastAsia"/>
              <w:noProof/>
            </w:rPr>
          </w:pPr>
          <w:hyperlink w:anchor="_Toc23006788" w:history="1">
            <w:r w:rsidR="00861044" w:rsidRPr="00E50D1F">
              <w:rPr>
                <w:rStyle w:val="Hyperlink"/>
                <w:noProof/>
              </w:rPr>
              <w:t>Strategic objectives re-affirmed by on-going Medium-Term Strategic Plan review</w:t>
            </w:r>
            <w:r w:rsidR="00861044">
              <w:rPr>
                <w:noProof/>
                <w:webHidden/>
              </w:rPr>
              <w:tab/>
            </w:r>
            <w:r w:rsidR="00861044">
              <w:rPr>
                <w:noProof/>
                <w:webHidden/>
              </w:rPr>
              <w:fldChar w:fldCharType="begin"/>
            </w:r>
            <w:r w:rsidR="00861044">
              <w:rPr>
                <w:noProof/>
                <w:webHidden/>
              </w:rPr>
              <w:instrText xml:space="preserve"> PAGEREF _Toc23006788 \h </w:instrText>
            </w:r>
            <w:r w:rsidR="00861044">
              <w:rPr>
                <w:noProof/>
                <w:webHidden/>
              </w:rPr>
            </w:r>
            <w:r w:rsidR="00861044">
              <w:rPr>
                <w:noProof/>
                <w:webHidden/>
              </w:rPr>
              <w:fldChar w:fldCharType="separate"/>
            </w:r>
            <w:r w:rsidR="00861044">
              <w:rPr>
                <w:noProof/>
                <w:webHidden/>
              </w:rPr>
              <w:t>13</w:t>
            </w:r>
            <w:r w:rsidR="00861044">
              <w:rPr>
                <w:noProof/>
                <w:webHidden/>
              </w:rPr>
              <w:fldChar w:fldCharType="end"/>
            </w:r>
          </w:hyperlink>
        </w:p>
        <w:p w14:paraId="549E9858" w14:textId="0CFD06AD" w:rsidR="00861044" w:rsidRDefault="008C6F12">
          <w:pPr>
            <w:pStyle w:val="TOC3"/>
            <w:tabs>
              <w:tab w:val="right" w:leader="dot" w:pos="9016"/>
            </w:tabs>
            <w:rPr>
              <w:rFonts w:eastAsiaTheme="minorEastAsia"/>
              <w:noProof/>
            </w:rPr>
          </w:pPr>
          <w:hyperlink w:anchor="_Toc23006789" w:history="1">
            <w:r w:rsidR="00861044" w:rsidRPr="00E50D1F">
              <w:rPr>
                <w:rStyle w:val="Hyperlink"/>
                <w:noProof/>
              </w:rPr>
              <w:t>2020 Priorities refined</w:t>
            </w:r>
            <w:r w:rsidR="00861044">
              <w:rPr>
                <w:noProof/>
                <w:webHidden/>
              </w:rPr>
              <w:tab/>
            </w:r>
            <w:r w:rsidR="00861044">
              <w:rPr>
                <w:noProof/>
                <w:webHidden/>
              </w:rPr>
              <w:fldChar w:fldCharType="begin"/>
            </w:r>
            <w:r w:rsidR="00861044">
              <w:rPr>
                <w:noProof/>
                <w:webHidden/>
              </w:rPr>
              <w:instrText xml:space="preserve"> PAGEREF _Toc23006789 \h </w:instrText>
            </w:r>
            <w:r w:rsidR="00861044">
              <w:rPr>
                <w:noProof/>
                <w:webHidden/>
              </w:rPr>
            </w:r>
            <w:r w:rsidR="00861044">
              <w:rPr>
                <w:noProof/>
                <w:webHidden/>
              </w:rPr>
              <w:fldChar w:fldCharType="separate"/>
            </w:r>
            <w:r w:rsidR="00861044">
              <w:rPr>
                <w:noProof/>
                <w:webHidden/>
              </w:rPr>
              <w:t>13</w:t>
            </w:r>
            <w:r w:rsidR="00861044">
              <w:rPr>
                <w:noProof/>
                <w:webHidden/>
              </w:rPr>
              <w:fldChar w:fldCharType="end"/>
            </w:r>
          </w:hyperlink>
        </w:p>
        <w:p w14:paraId="634752AA" w14:textId="30EFF5AF" w:rsidR="00861044" w:rsidRDefault="008C6F12">
          <w:pPr>
            <w:pStyle w:val="TOC3"/>
            <w:tabs>
              <w:tab w:val="right" w:leader="dot" w:pos="9016"/>
            </w:tabs>
            <w:rPr>
              <w:rFonts w:eastAsiaTheme="minorEastAsia"/>
              <w:noProof/>
            </w:rPr>
          </w:pPr>
          <w:hyperlink w:anchor="_Toc23006790" w:history="1">
            <w:r w:rsidR="00861044" w:rsidRPr="00E50D1F">
              <w:rPr>
                <w:rStyle w:val="Hyperlink"/>
                <w:noProof/>
              </w:rPr>
              <w:t>Interventions</w:t>
            </w:r>
            <w:r w:rsidR="00861044">
              <w:rPr>
                <w:noProof/>
                <w:webHidden/>
              </w:rPr>
              <w:tab/>
            </w:r>
            <w:r w:rsidR="00861044">
              <w:rPr>
                <w:noProof/>
                <w:webHidden/>
              </w:rPr>
              <w:fldChar w:fldCharType="begin"/>
            </w:r>
            <w:r w:rsidR="00861044">
              <w:rPr>
                <w:noProof/>
                <w:webHidden/>
              </w:rPr>
              <w:instrText xml:space="preserve"> PAGEREF _Toc23006790 \h </w:instrText>
            </w:r>
            <w:r w:rsidR="00861044">
              <w:rPr>
                <w:noProof/>
                <w:webHidden/>
              </w:rPr>
            </w:r>
            <w:r w:rsidR="00861044">
              <w:rPr>
                <w:noProof/>
                <w:webHidden/>
              </w:rPr>
              <w:fldChar w:fldCharType="separate"/>
            </w:r>
            <w:r w:rsidR="00861044">
              <w:rPr>
                <w:noProof/>
                <w:webHidden/>
              </w:rPr>
              <w:t>14</w:t>
            </w:r>
            <w:r w:rsidR="00861044">
              <w:rPr>
                <w:noProof/>
                <w:webHidden/>
              </w:rPr>
              <w:fldChar w:fldCharType="end"/>
            </w:r>
          </w:hyperlink>
        </w:p>
        <w:p w14:paraId="423B36C6" w14:textId="2246D0C1" w:rsidR="00861044" w:rsidRDefault="008C6F12">
          <w:pPr>
            <w:pStyle w:val="TOC1"/>
            <w:tabs>
              <w:tab w:val="left" w:pos="1320"/>
              <w:tab w:val="right" w:leader="dot" w:pos="9016"/>
            </w:tabs>
            <w:rPr>
              <w:rFonts w:eastAsiaTheme="minorEastAsia"/>
              <w:noProof/>
            </w:rPr>
          </w:pPr>
          <w:hyperlink w:anchor="_Toc23006791" w:history="1">
            <w:r w:rsidR="00861044" w:rsidRPr="00E50D1F">
              <w:rPr>
                <w:rStyle w:val="Hyperlink"/>
                <w:rFonts w:ascii="Arial" w:hAnsi="Arial" w:cs="Arial"/>
                <w:b/>
                <w:noProof/>
              </w:rPr>
              <w:t>PART B:</w:t>
            </w:r>
            <w:r w:rsidR="00861044">
              <w:rPr>
                <w:rFonts w:eastAsiaTheme="minorEastAsia"/>
                <w:noProof/>
              </w:rPr>
              <w:tab/>
            </w:r>
            <w:r w:rsidR="00861044" w:rsidRPr="00E50D1F">
              <w:rPr>
                <w:rStyle w:val="Hyperlink"/>
                <w:rFonts w:ascii="Arial" w:hAnsi="Arial" w:cs="Arial"/>
                <w:b/>
                <w:noProof/>
              </w:rPr>
              <w:t>OVERVIEW OF THE 2020 BUDGET ESTIMATES</w:t>
            </w:r>
            <w:r w:rsidR="00861044">
              <w:rPr>
                <w:noProof/>
                <w:webHidden/>
              </w:rPr>
              <w:tab/>
            </w:r>
            <w:r w:rsidR="00861044">
              <w:rPr>
                <w:noProof/>
                <w:webHidden/>
              </w:rPr>
              <w:fldChar w:fldCharType="begin"/>
            </w:r>
            <w:r w:rsidR="00861044">
              <w:rPr>
                <w:noProof/>
                <w:webHidden/>
              </w:rPr>
              <w:instrText xml:space="preserve"> PAGEREF _Toc23006791 \h </w:instrText>
            </w:r>
            <w:r w:rsidR="00861044">
              <w:rPr>
                <w:noProof/>
                <w:webHidden/>
              </w:rPr>
            </w:r>
            <w:r w:rsidR="00861044">
              <w:rPr>
                <w:noProof/>
                <w:webHidden/>
              </w:rPr>
              <w:fldChar w:fldCharType="separate"/>
            </w:r>
            <w:r w:rsidR="00861044">
              <w:rPr>
                <w:noProof/>
                <w:webHidden/>
              </w:rPr>
              <w:t>15</w:t>
            </w:r>
            <w:r w:rsidR="00861044">
              <w:rPr>
                <w:noProof/>
                <w:webHidden/>
              </w:rPr>
              <w:fldChar w:fldCharType="end"/>
            </w:r>
          </w:hyperlink>
        </w:p>
        <w:p w14:paraId="74B11CCC" w14:textId="0A4FF6A6" w:rsidR="00861044" w:rsidRDefault="008C6F12">
          <w:pPr>
            <w:pStyle w:val="TOC2"/>
            <w:tabs>
              <w:tab w:val="left" w:pos="880"/>
              <w:tab w:val="right" w:leader="dot" w:pos="9016"/>
            </w:tabs>
            <w:rPr>
              <w:rFonts w:eastAsiaTheme="minorEastAsia"/>
              <w:noProof/>
            </w:rPr>
          </w:pPr>
          <w:hyperlink w:anchor="_Toc23006792" w:history="1">
            <w:r w:rsidR="00861044" w:rsidRPr="00E50D1F">
              <w:rPr>
                <w:rStyle w:val="Hyperlink"/>
                <w:rFonts w:ascii="Arial" w:eastAsia="Times New Roman" w:hAnsi="Arial" w:cs="Arial"/>
                <w:noProof/>
              </w:rPr>
              <w:t>B1:</w:t>
            </w:r>
            <w:r w:rsidR="00861044">
              <w:rPr>
                <w:rFonts w:eastAsiaTheme="minorEastAsia"/>
                <w:noProof/>
              </w:rPr>
              <w:tab/>
            </w:r>
            <w:r w:rsidR="00861044" w:rsidRPr="00E50D1F">
              <w:rPr>
                <w:rStyle w:val="Hyperlink"/>
                <w:rFonts w:ascii="Arial" w:eastAsia="Times New Roman" w:hAnsi="Arial" w:cs="Arial"/>
                <w:noProof/>
              </w:rPr>
              <w:t>2020 Funding Framework</w:t>
            </w:r>
            <w:r w:rsidR="00861044">
              <w:rPr>
                <w:noProof/>
                <w:webHidden/>
              </w:rPr>
              <w:tab/>
            </w:r>
            <w:r w:rsidR="00861044">
              <w:rPr>
                <w:noProof/>
                <w:webHidden/>
              </w:rPr>
              <w:fldChar w:fldCharType="begin"/>
            </w:r>
            <w:r w:rsidR="00861044">
              <w:rPr>
                <w:noProof/>
                <w:webHidden/>
              </w:rPr>
              <w:instrText xml:space="preserve"> PAGEREF _Toc23006792 \h </w:instrText>
            </w:r>
            <w:r w:rsidR="00861044">
              <w:rPr>
                <w:noProof/>
                <w:webHidden/>
              </w:rPr>
            </w:r>
            <w:r w:rsidR="00861044">
              <w:rPr>
                <w:noProof/>
                <w:webHidden/>
              </w:rPr>
              <w:fldChar w:fldCharType="separate"/>
            </w:r>
            <w:r w:rsidR="00861044">
              <w:rPr>
                <w:noProof/>
                <w:webHidden/>
              </w:rPr>
              <w:t>15</w:t>
            </w:r>
            <w:r w:rsidR="00861044">
              <w:rPr>
                <w:noProof/>
                <w:webHidden/>
              </w:rPr>
              <w:fldChar w:fldCharType="end"/>
            </w:r>
          </w:hyperlink>
        </w:p>
        <w:p w14:paraId="49AABA44" w14:textId="39A88922" w:rsidR="00861044" w:rsidRDefault="008C6F12">
          <w:pPr>
            <w:pStyle w:val="TOC3"/>
            <w:tabs>
              <w:tab w:val="right" w:leader="dot" w:pos="9016"/>
            </w:tabs>
            <w:rPr>
              <w:rFonts w:eastAsiaTheme="minorEastAsia"/>
              <w:noProof/>
            </w:rPr>
          </w:pPr>
          <w:hyperlink w:anchor="_Toc23006793" w:history="1">
            <w:r w:rsidR="00861044" w:rsidRPr="00E50D1F">
              <w:rPr>
                <w:rStyle w:val="Hyperlink"/>
                <w:noProof/>
              </w:rPr>
              <w:t>Assessed annual contribution from Member States</w:t>
            </w:r>
            <w:r w:rsidR="00861044">
              <w:rPr>
                <w:noProof/>
                <w:webHidden/>
              </w:rPr>
              <w:tab/>
            </w:r>
            <w:r w:rsidR="00861044">
              <w:rPr>
                <w:noProof/>
                <w:webHidden/>
              </w:rPr>
              <w:fldChar w:fldCharType="begin"/>
            </w:r>
            <w:r w:rsidR="00861044">
              <w:rPr>
                <w:noProof/>
                <w:webHidden/>
              </w:rPr>
              <w:instrText xml:space="preserve"> PAGEREF _Toc23006793 \h </w:instrText>
            </w:r>
            <w:r w:rsidR="00861044">
              <w:rPr>
                <w:noProof/>
                <w:webHidden/>
              </w:rPr>
            </w:r>
            <w:r w:rsidR="00861044">
              <w:rPr>
                <w:noProof/>
                <w:webHidden/>
              </w:rPr>
              <w:fldChar w:fldCharType="separate"/>
            </w:r>
            <w:r w:rsidR="00861044">
              <w:rPr>
                <w:noProof/>
                <w:webHidden/>
              </w:rPr>
              <w:t>15</w:t>
            </w:r>
            <w:r w:rsidR="00861044">
              <w:rPr>
                <w:noProof/>
                <w:webHidden/>
              </w:rPr>
              <w:fldChar w:fldCharType="end"/>
            </w:r>
          </w:hyperlink>
        </w:p>
        <w:p w14:paraId="35B89BCB" w14:textId="0090EBEC" w:rsidR="00861044" w:rsidRDefault="008C6F12">
          <w:pPr>
            <w:pStyle w:val="TOC3"/>
            <w:tabs>
              <w:tab w:val="right" w:leader="dot" w:pos="9016"/>
            </w:tabs>
            <w:rPr>
              <w:rFonts w:eastAsiaTheme="minorEastAsia"/>
              <w:noProof/>
            </w:rPr>
          </w:pPr>
          <w:hyperlink w:anchor="_Toc23006794" w:history="1">
            <w:r w:rsidR="00861044" w:rsidRPr="00E50D1F">
              <w:rPr>
                <w:rStyle w:val="Hyperlink"/>
                <w:noProof/>
              </w:rPr>
              <w:t>Contributions from Cooperating Partners</w:t>
            </w:r>
            <w:r w:rsidR="00861044">
              <w:rPr>
                <w:noProof/>
                <w:webHidden/>
              </w:rPr>
              <w:tab/>
            </w:r>
            <w:r w:rsidR="00861044">
              <w:rPr>
                <w:noProof/>
                <w:webHidden/>
              </w:rPr>
              <w:fldChar w:fldCharType="begin"/>
            </w:r>
            <w:r w:rsidR="00861044">
              <w:rPr>
                <w:noProof/>
                <w:webHidden/>
              </w:rPr>
              <w:instrText xml:space="preserve"> PAGEREF _Toc23006794 \h </w:instrText>
            </w:r>
            <w:r w:rsidR="00861044">
              <w:rPr>
                <w:noProof/>
                <w:webHidden/>
              </w:rPr>
            </w:r>
            <w:r w:rsidR="00861044">
              <w:rPr>
                <w:noProof/>
                <w:webHidden/>
              </w:rPr>
              <w:fldChar w:fldCharType="separate"/>
            </w:r>
            <w:r w:rsidR="00861044">
              <w:rPr>
                <w:noProof/>
                <w:webHidden/>
              </w:rPr>
              <w:t>16</w:t>
            </w:r>
            <w:r w:rsidR="00861044">
              <w:rPr>
                <w:noProof/>
                <w:webHidden/>
              </w:rPr>
              <w:fldChar w:fldCharType="end"/>
            </w:r>
          </w:hyperlink>
        </w:p>
        <w:p w14:paraId="063D9377" w14:textId="60EB89B7" w:rsidR="00861044" w:rsidRDefault="008C6F12">
          <w:pPr>
            <w:pStyle w:val="TOC3"/>
            <w:tabs>
              <w:tab w:val="right" w:leader="dot" w:pos="9016"/>
            </w:tabs>
            <w:rPr>
              <w:rFonts w:eastAsiaTheme="minorEastAsia"/>
              <w:noProof/>
            </w:rPr>
          </w:pPr>
          <w:hyperlink w:anchor="_Toc23006795" w:history="1">
            <w:r w:rsidR="00861044" w:rsidRPr="00E50D1F">
              <w:rPr>
                <w:rStyle w:val="Hyperlink"/>
                <w:noProof/>
              </w:rPr>
              <w:t>Deliberate measure to come up with a sustainable financing mechanism</w:t>
            </w:r>
            <w:r w:rsidR="00861044">
              <w:rPr>
                <w:noProof/>
                <w:webHidden/>
              </w:rPr>
              <w:tab/>
            </w:r>
            <w:r w:rsidR="00861044">
              <w:rPr>
                <w:noProof/>
                <w:webHidden/>
              </w:rPr>
              <w:fldChar w:fldCharType="begin"/>
            </w:r>
            <w:r w:rsidR="00861044">
              <w:rPr>
                <w:noProof/>
                <w:webHidden/>
              </w:rPr>
              <w:instrText xml:space="preserve"> PAGEREF _Toc23006795 \h </w:instrText>
            </w:r>
            <w:r w:rsidR="00861044">
              <w:rPr>
                <w:noProof/>
                <w:webHidden/>
              </w:rPr>
            </w:r>
            <w:r w:rsidR="00861044">
              <w:rPr>
                <w:noProof/>
                <w:webHidden/>
              </w:rPr>
              <w:fldChar w:fldCharType="separate"/>
            </w:r>
            <w:r w:rsidR="00861044">
              <w:rPr>
                <w:noProof/>
                <w:webHidden/>
              </w:rPr>
              <w:t>16</w:t>
            </w:r>
            <w:r w:rsidR="00861044">
              <w:rPr>
                <w:noProof/>
                <w:webHidden/>
              </w:rPr>
              <w:fldChar w:fldCharType="end"/>
            </w:r>
          </w:hyperlink>
        </w:p>
        <w:p w14:paraId="034EF21C" w14:textId="26CA9F1E" w:rsidR="00861044" w:rsidRDefault="008C6F12">
          <w:pPr>
            <w:pStyle w:val="TOC2"/>
            <w:tabs>
              <w:tab w:val="left" w:pos="880"/>
              <w:tab w:val="right" w:leader="dot" w:pos="9016"/>
            </w:tabs>
            <w:rPr>
              <w:rFonts w:eastAsiaTheme="minorEastAsia"/>
              <w:noProof/>
            </w:rPr>
          </w:pPr>
          <w:hyperlink w:anchor="_Toc23006796" w:history="1">
            <w:r w:rsidR="00861044" w:rsidRPr="00E50D1F">
              <w:rPr>
                <w:rStyle w:val="Hyperlink"/>
                <w:rFonts w:ascii="Arial" w:eastAsia="Times New Roman" w:hAnsi="Arial" w:cs="Arial"/>
                <w:noProof/>
              </w:rPr>
              <w:t>B2:</w:t>
            </w:r>
            <w:r w:rsidR="00861044">
              <w:rPr>
                <w:rFonts w:eastAsiaTheme="minorEastAsia"/>
                <w:noProof/>
              </w:rPr>
              <w:tab/>
            </w:r>
            <w:r w:rsidR="00861044" w:rsidRPr="00E50D1F">
              <w:rPr>
                <w:rStyle w:val="Hyperlink"/>
                <w:rFonts w:ascii="Arial" w:eastAsia="Times New Roman" w:hAnsi="Arial" w:cs="Arial"/>
                <w:noProof/>
              </w:rPr>
              <w:t>2020 Expenditure Framework</w:t>
            </w:r>
            <w:r w:rsidR="00861044">
              <w:rPr>
                <w:noProof/>
                <w:webHidden/>
              </w:rPr>
              <w:tab/>
            </w:r>
            <w:r w:rsidR="00861044">
              <w:rPr>
                <w:noProof/>
                <w:webHidden/>
              </w:rPr>
              <w:fldChar w:fldCharType="begin"/>
            </w:r>
            <w:r w:rsidR="00861044">
              <w:rPr>
                <w:noProof/>
                <w:webHidden/>
              </w:rPr>
              <w:instrText xml:space="preserve"> PAGEREF _Toc23006796 \h </w:instrText>
            </w:r>
            <w:r w:rsidR="00861044">
              <w:rPr>
                <w:noProof/>
                <w:webHidden/>
              </w:rPr>
            </w:r>
            <w:r w:rsidR="00861044">
              <w:rPr>
                <w:noProof/>
                <w:webHidden/>
              </w:rPr>
              <w:fldChar w:fldCharType="separate"/>
            </w:r>
            <w:r w:rsidR="00861044">
              <w:rPr>
                <w:noProof/>
                <w:webHidden/>
              </w:rPr>
              <w:t>16</w:t>
            </w:r>
            <w:r w:rsidR="00861044">
              <w:rPr>
                <w:noProof/>
                <w:webHidden/>
              </w:rPr>
              <w:fldChar w:fldCharType="end"/>
            </w:r>
          </w:hyperlink>
        </w:p>
        <w:p w14:paraId="06AAC04B" w14:textId="302B3CE7" w:rsidR="00861044" w:rsidRDefault="008C6F12">
          <w:pPr>
            <w:pStyle w:val="TOC3"/>
            <w:tabs>
              <w:tab w:val="right" w:leader="dot" w:pos="9016"/>
            </w:tabs>
            <w:rPr>
              <w:rFonts w:eastAsiaTheme="minorEastAsia"/>
              <w:noProof/>
            </w:rPr>
          </w:pPr>
          <w:hyperlink w:anchor="_Toc23006797" w:history="1">
            <w:r w:rsidR="00861044" w:rsidRPr="00E50D1F">
              <w:rPr>
                <w:rStyle w:val="Hyperlink"/>
                <w:noProof/>
              </w:rPr>
              <w:t>De facto resource allocation framework</w:t>
            </w:r>
            <w:r w:rsidR="00861044">
              <w:rPr>
                <w:noProof/>
                <w:webHidden/>
              </w:rPr>
              <w:tab/>
            </w:r>
            <w:r w:rsidR="00861044">
              <w:rPr>
                <w:noProof/>
                <w:webHidden/>
              </w:rPr>
              <w:fldChar w:fldCharType="begin"/>
            </w:r>
            <w:r w:rsidR="00861044">
              <w:rPr>
                <w:noProof/>
                <w:webHidden/>
              </w:rPr>
              <w:instrText xml:space="preserve"> PAGEREF _Toc23006797 \h </w:instrText>
            </w:r>
            <w:r w:rsidR="00861044">
              <w:rPr>
                <w:noProof/>
                <w:webHidden/>
              </w:rPr>
            </w:r>
            <w:r w:rsidR="00861044">
              <w:rPr>
                <w:noProof/>
                <w:webHidden/>
              </w:rPr>
              <w:fldChar w:fldCharType="separate"/>
            </w:r>
            <w:r w:rsidR="00861044">
              <w:rPr>
                <w:noProof/>
                <w:webHidden/>
              </w:rPr>
              <w:t>16</w:t>
            </w:r>
            <w:r w:rsidR="00861044">
              <w:rPr>
                <w:noProof/>
                <w:webHidden/>
              </w:rPr>
              <w:fldChar w:fldCharType="end"/>
            </w:r>
          </w:hyperlink>
        </w:p>
        <w:p w14:paraId="5F9F9F7D" w14:textId="07F43F4A" w:rsidR="00861044" w:rsidRDefault="008C6F12">
          <w:pPr>
            <w:pStyle w:val="TOC3"/>
            <w:tabs>
              <w:tab w:val="right" w:leader="dot" w:pos="9016"/>
            </w:tabs>
            <w:rPr>
              <w:rFonts w:eastAsiaTheme="minorEastAsia"/>
              <w:noProof/>
            </w:rPr>
          </w:pPr>
          <w:hyperlink w:anchor="_Toc23006798" w:history="1">
            <w:r w:rsidR="00861044" w:rsidRPr="00E50D1F">
              <w:rPr>
                <w:rStyle w:val="Hyperlink"/>
                <w:noProof/>
              </w:rPr>
              <w:t>Utilisation of contributions by Cooperating Partners towards institutional support</w:t>
            </w:r>
            <w:r w:rsidR="00861044">
              <w:rPr>
                <w:noProof/>
                <w:webHidden/>
              </w:rPr>
              <w:tab/>
            </w:r>
            <w:r w:rsidR="00861044">
              <w:rPr>
                <w:noProof/>
                <w:webHidden/>
              </w:rPr>
              <w:fldChar w:fldCharType="begin"/>
            </w:r>
            <w:r w:rsidR="00861044">
              <w:rPr>
                <w:noProof/>
                <w:webHidden/>
              </w:rPr>
              <w:instrText xml:space="preserve"> PAGEREF _Toc23006798 \h </w:instrText>
            </w:r>
            <w:r w:rsidR="00861044">
              <w:rPr>
                <w:noProof/>
                <w:webHidden/>
              </w:rPr>
            </w:r>
            <w:r w:rsidR="00861044">
              <w:rPr>
                <w:noProof/>
                <w:webHidden/>
              </w:rPr>
              <w:fldChar w:fldCharType="separate"/>
            </w:r>
            <w:r w:rsidR="00861044">
              <w:rPr>
                <w:noProof/>
                <w:webHidden/>
              </w:rPr>
              <w:t>17</w:t>
            </w:r>
            <w:r w:rsidR="00861044">
              <w:rPr>
                <w:noProof/>
                <w:webHidden/>
              </w:rPr>
              <w:fldChar w:fldCharType="end"/>
            </w:r>
          </w:hyperlink>
        </w:p>
        <w:p w14:paraId="09B66F9F" w14:textId="0F7617E7" w:rsidR="00861044" w:rsidRDefault="008C6F12">
          <w:pPr>
            <w:pStyle w:val="TOC3"/>
            <w:tabs>
              <w:tab w:val="right" w:leader="dot" w:pos="9016"/>
            </w:tabs>
            <w:rPr>
              <w:rFonts w:eastAsiaTheme="minorEastAsia"/>
              <w:noProof/>
            </w:rPr>
          </w:pPr>
          <w:hyperlink w:anchor="_Toc23006799" w:history="1">
            <w:r w:rsidR="00861044" w:rsidRPr="00E50D1F">
              <w:rPr>
                <w:rStyle w:val="Hyperlink"/>
                <w:noProof/>
              </w:rPr>
              <w:t>Review of resource allocation and concentration</w:t>
            </w:r>
            <w:r w:rsidR="00861044">
              <w:rPr>
                <w:noProof/>
                <w:webHidden/>
              </w:rPr>
              <w:tab/>
            </w:r>
            <w:r w:rsidR="00861044">
              <w:rPr>
                <w:noProof/>
                <w:webHidden/>
              </w:rPr>
              <w:fldChar w:fldCharType="begin"/>
            </w:r>
            <w:r w:rsidR="00861044">
              <w:rPr>
                <w:noProof/>
                <w:webHidden/>
              </w:rPr>
              <w:instrText xml:space="preserve"> PAGEREF _Toc23006799 \h </w:instrText>
            </w:r>
            <w:r w:rsidR="00861044">
              <w:rPr>
                <w:noProof/>
                <w:webHidden/>
              </w:rPr>
            </w:r>
            <w:r w:rsidR="00861044">
              <w:rPr>
                <w:noProof/>
                <w:webHidden/>
              </w:rPr>
              <w:fldChar w:fldCharType="separate"/>
            </w:r>
            <w:r w:rsidR="00861044">
              <w:rPr>
                <w:noProof/>
                <w:webHidden/>
              </w:rPr>
              <w:t>17</w:t>
            </w:r>
            <w:r w:rsidR="00861044">
              <w:rPr>
                <w:noProof/>
                <w:webHidden/>
              </w:rPr>
              <w:fldChar w:fldCharType="end"/>
            </w:r>
          </w:hyperlink>
        </w:p>
        <w:p w14:paraId="36E4DC90" w14:textId="004CCA9B" w:rsidR="00861044" w:rsidRDefault="008C6F12">
          <w:pPr>
            <w:pStyle w:val="TOC3"/>
            <w:tabs>
              <w:tab w:val="right" w:leader="dot" w:pos="9016"/>
            </w:tabs>
            <w:rPr>
              <w:rFonts w:eastAsiaTheme="minorEastAsia"/>
              <w:noProof/>
            </w:rPr>
          </w:pPr>
          <w:hyperlink w:anchor="_Toc23006800" w:history="1">
            <w:r w:rsidR="00861044" w:rsidRPr="00E50D1F">
              <w:rPr>
                <w:rStyle w:val="Hyperlink"/>
                <w:noProof/>
              </w:rPr>
              <w:t>Review of current year spending against budget</w:t>
            </w:r>
            <w:r w:rsidR="00861044">
              <w:rPr>
                <w:noProof/>
                <w:webHidden/>
              </w:rPr>
              <w:tab/>
            </w:r>
            <w:r w:rsidR="00861044">
              <w:rPr>
                <w:noProof/>
                <w:webHidden/>
              </w:rPr>
              <w:fldChar w:fldCharType="begin"/>
            </w:r>
            <w:r w:rsidR="00861044">
              <w:rPr>
                <w:noProof/>
                <w:webHidden/>
              </w:rPr>
              <w:instrText xml:space="preserve"> PAGEREF _Toc23006800 \h </w:instrText>
            </w:r>
            <w:r w:rsidR="00861044">
              <w:rPr>
                <w:noProof/>
                <w:webHidden/>
              </w:rPr>
            </w:r>
            <w:r w:rsidR="00861044">
              <w:rPr>
                <w:noProof/>
                <w:webHidden/>
              </w:rPr>
              <w:fldChar w:fldCharType="separate"/>
            </w:r>
            <w:r w:rsidR="00861044">
              <w:rPr>
                <w:noProof/>
                <w:webHidden/>
              </w:rPr>
              <w:t>17</w:t>
            </w:r>
            <w:r w:rsidR="00861044">
              <w:rPr>
                <w:noProof/>
                <w:webHidden/>
              </w:rPr>
              <w:fldChar w:fldCharType="end"/>
            </w:r>
          </w:hyperlink>
        </w:p>
        <w:p w14:paraId="04EE43D4" w14:textId="6DA4FCC8" w:rsidR="00861044" w:rsidRDefault="008C6F12">
          <w:pPr>
            <w:pStyle w:val="TOC3"/>
            <w:tabs>
              <w:tab w:val="right" w:leader="dot" w:pos="9016"/>
            </w:tabs>
            <w:rPr>
              <w:rFonts w:eastAsiaTheme="minorEastAsia"/>
              <w:noProof/>
            </w:rPr>
          </w:pPr>
          <w:hyperlink w:anchor="_Toc23006801" w:history="1">
            <w:r w:rsidR="00861044" w:rsidRPr="00E50D1F">
              <w:rPr>
                <w:rStyle w:val="Hyperlink"/>
                <w:noProof/>
              </w:rPr>
              <w:t>Standard rates for significant of the costs</w:t>
            </w:r>
            <w:r w:rsidR="00861044">
              <w:rPr>
                <w:noProof/>
                <w:webHidden/>
              </w:rPr>
              <w:tab/>
            </w:r>
            <w:r w:rsidR="00861044">
              <w:rPr>
                <w:noProof/>
                <w:webHidden/>
              </w:rPr>
              <w:fldChar w:fldCharType="begin"/>
            </w:r>
            <w:r w:rsidR="00861044">
              <w:rPr>
                <w:noProof/>
                <w:webHidden/>
              </w:rPr>
              <w:instrText xml:space="preserve"> PAGEREF _Toc23006801 \h </w:instrText>
            </w:r>
            <w:r w:rsidR="00861044">
              <w:rPr>
                <w:noProof/>
                <w:webHidden/>
              </w:rPr>
            </w:r>
            <w:r w:rsidR="00861044">
              <w:rPr>
                <w:noProof/>
                <w:webHidden/>
              </w:rPr>
              <w:fldChar w:fldCharType="separate"/>
            </w:r>
            <w:r w:rsidR="00861044">
              <w:rPr>
                <w:noProof/>
                <w:webHidden/>
              </w:rPr>
              <w:t>18</w:t>
            </w:r>
            <w:r w:rsidR="00861044">
              <w:rPr>
                <w:noProof/>
                <w:webHidden/>
              </w:rPr>
              <w:fldChar w:fldCharType="end"/>
            </w:r>
          </w:hyperlink>
        </w:p>
        <w:p w14:paraId="43ACC261" w14:textId="3E9AF26F" w:rsidR="00861044" w:rsidRDefault="008C6F12">
          <w:pPr>
            <w:pStyle w:val="TOC3"/>
            <w:tabs>
              <w:tab w:val="right" w:leader="dot" w:pos="9016"/>
            </w:tabs>
            <w:rPr>
              <w:rFonts w:eastAsiaTheme="minorEastAsia"/>
              <w:noProof/>
            </w:rPr>
          </w:pPr>
          <w:hyperlink w:anchor="_Toc23006802" w:history="1">
            <w:r w:rsidR="00861044" w:rsidRPr="00E50D1F">
              <w:rPr>
                <w:rStyle w:val="Hyperlink"/>
                <w:noProof/>
              </w:rPr>
              <w:t>Stringent expenditure management and institutional capacity reforms</w:t>
            </w:r>
            <w:r w:rsidR="00861044">
              <w:rPr>
                <w:noProof/>
                <w:webHidden/>
              </w:rPr>
              <w:tab/>
            </w:r>
            <w:r w:rsidR="00861044">
              <w:rPr>
                <w:noProof/>
                <w:webHidden/>
              </w:rPr>
              <w:fldChar w:fldCharType="begin"/>
            </w:r>
            <w:r w:rsidR="00861044">
              <w:rPr>
                <w:noProof/>
                <w:webHidden/>
              </w:rPr>
              <w:instrText xml:space="preserve"> PAGEREF _Toc23006802 \h </w:instrText>
            </w:r>
            <w:r w:rsidR="00861044">
              <w:rPr>
                <w:noProof/>
                <w:webHidden/>
              </w:rPr>
            </w:r>
            <w:r w:rsidR="00861044">
              <w:rPr>
                <w:noProof/>
                <w:webHidden/>
              </w:rPr>
              <w:fldChar w:fldCharType="separate"/>
            </w:r>
            <w:r w:rsidR="00861044">
              <w:rPr>
                <w:noProof/>
                <w:webHidden/>
              </w:rPr>
              <w:t>18</w:t>
            </w:r>
            <w:r w:rsidR="00861044">
              <w:rPr>
                <w:noProof/>
                <w:webHidden/>
              </w:rPr>
              <w:fldChar w:fldCharType="end"/>
            </w:r>
          </w:hyperlink>
        </w:p>
        <w:p w14:paraId="55A9DD14" w14:textId="6F832AED" w:rsidR="00861044" w:rsidRDefault="008C6F12">
          <w:pPr>
            <w:pStyle w:val="TOC2"/>
            <w:tabs>
              <w:tab w:val="left" w:pos="880"/>
              <w:tab w:val="right" w:leader="dot" w:pos="9016"/>
            </w:tabs>
            <w:rPr>
              <w:rFonts w:eastAsiaTheme="minorEastAsia"/>
              <w:noProof/>
            </w:rPr>
          </w:pPr>
          <w:hyperlink w:anchor="_Toc23006803" w:history="1">
            <w:r w:rsidR="00861044" w:rsidRPr="00E50D1F">
              <w:rPr>
                <w:rStyle w:val="Hyperlink"/>
                <w:rFonts w:ascii="Arial" w:eastAsia="Times New Roman" w:hAnsi="Arial" w:cs="Arial"/>
                <w:noProof/>
              </w:rPr>
              <w:t>B3:</w:t>
            </w:r>
            <w:r w:rsidR="00861044">
              <w:rPr>
                <w:rFonts w:eastAsiaTheme="minorEastAsia"/>
                <w:noProof/>
              </w:rPr>
              <w:tab/>
            </w:r>
            <w:r w:rsidR="00861044" w:rsidRPr="00E50D1F">
              <w:rPr>
                <w:rStyle w:val="Hyperlink"/>
                <w:rFonts w:ascii="Arial" w:eastAsia="Times New Roman" w:hAnsi="Arial" w:cs="Arial"/>
                <w:noProof/>
              </w:rPr>
              <w:t>2020 Expenditure Estimates</w:t>
            </w:r>
            <w:r w:rsidR="00861044">
              <w:rPr>
                <w:noProof/>
                <w:webHidden/>
              </w:rPr>
              <w:tab/>
            </w:r>
            <w:r w:rsidR="00861044">
              <w:rPr>
                <w:noProof/>
                <w:webHidden/>
              </w:rPr>
              <w:fldChar w:fldCharType="begin"/>
            </w:r>
            <w:r w:rsidR="00861044">
              <w:rPr>
                <w:noProof/>
                <w:webHidden/>
              </w:rPr>
              <w:instrText xml:space="preserve"> PAGEREF _Toc23006803 \h </w:instrText>
            </w:r>
            <w:r w:rsidR="00861044">
              <w:rPr>
                <w:noProof/>
                <w:webHidden/>
              </w:rPr>
            </w:r>
            <w:r w:rsidR="00861044">
              <w:rPr>
                <w:noProof/>
                <w:webHidden/>
              </w:rPr>
              <w:fldChar w:fldCharType="separate"/>
            </w:r>
            <w:r w:rsidR="00861044">
              <w:rPr>
                <w:noProof/>
                <w:webHidden/>
              </w:rPr>
              <w:t>18</w:t>
            </w:r>
            <w:r w:rsidR="00861044">
              <w:rPr>
                <w:noProof/>
                <w:webHidden/>
              </w:rPr>
              <w:fldChar w:fldCharType="end"/>
            </w:r>
          </w:hyperlink>
        </w:p>
        <w:p w14:paraId="709319EF" w14:textId="693D0A7E" w:rsidR="00861044" w:rsidRDefault="008C6F12">
          <w:pPr>
            <w:pStyle w:val="TOC3"/>
            <w:tabs>
              <w:tab w:val="right" w:leader="dot" w:pos="9016"/>
            </w:tabs>
            <w:rPr>
              <w:rFonts w:eastAsiaTheme="minorEastAsia"/>
              <w:noProof/>
            </w:rPr>
          </w:pPr>
          <w:hyperlink w:anchor="_Toc23006804" w:history="1">
            <w:r w:rsidR="00861044" w:rsidRPr="00E50D1F">
              <w:rPr>
                <w:rStyle w:val="Hyperlink"/>
                <w:noProof/>
              </w:rPr>
              <w:t>2020 Budgetary allocation</w:t>
            </w:r>
            <w:r w:rsidR="00861044">
              <w:rPr>
                <w:noProof/>
                <w:webHidden/>
              </w:rPr>
              <w:tab/>
            </w:r>
            <w:r w:rsidR="00861044">
              <w:rPr>
                <w:noProof/>
                <w:webHidden/>
              </w:rPr>
              <w:fldChar w:fldCharType="begin"/>
            </w:r>
            <w:r w:rsidR="00861044">
              <w:rPr>
                <w:noProof/>
                <w:webHidden/>
              </w:rPr>
              <w:instrText xml:space="preserve"> PAGEREF _Toc23006804 \h </w:instrText>
            </w:r>
            <w:r w:rsidR="00861044">
              <w:rPr>
                <w:noProof/>
                <w:webHidden/>
              </w:rPr>
            </w:r>
            <w:r w:rsidR="00861044">
              <w:rPr>
                <w:noProof/>
                <w:webHidden/>
              </w:rPr>
              <w:fldChar w:fldCharType="separate"/>
            </w:r>
            <w:r w:rsidR="00861044">
              <w:rPr>
                <w:noProof/>
                <w:webHidden/>
              </w:rPr>
              <w:t>18</w:t>
            </w:r>
            <w:r w:rsidR="00861044">
              <w:rPr>
                <w:noProof/>
                <w:webHidden/>
              </w:rPr>
              <w:fldChar w:fldCharType="end"/>
            </w:r>
          </w:hyperlink>
        </w:p>
        <w:p w14:paraId="5656E593" w14:textId="576ACBC7" w:rsidR="00861044" w:rsidRDefault="008C6F12">
          <w:pPr>
            <w:pStyle w:val="TOC3"/>
            <w:tabs>
              <w:tab w:val="right" w:leader="dot" w:pos="9016"/>
            </w:tabs>
            <w:rPr>
              <w:rFonts w:eastAsiaTheme="minorEastAsia"/>
              <w:noProof/>
            </w:rPr>
          </w:pPr>
          <w:hyperlink w:anchor="_Toc23006805" w:history="1">
            <w:r w:rsidR="00861044" w:rsidRPr="00E50D1F">
              <w:rPr>
                <w:rStyle w:val="Hyperlink"/>
                <w:noProof/>
              </w:rPr>
              <w:t>Explanations – on going programme and recurrent activities</w:t>
            </w:r>
            <w:r w:rsidR="00861044">
              <w:rPr>
                <w:noProof/>
                <w:webHidden/>
              </w:rPr>
              <w:tab/>
            </w:r>
            <w:r w:rsidR="00861044">
              <w:rPr>
                <w:noProof/>
                <w:webHidden/>
              </w:rPr>
              <w:fldChar w:fldCharType="begin"/>
            </w:r>
            <w:r w:rsidR="00861044">
              <w:rPr>
                <w:noProof/>
                <w:webHidden/>
              </w:rPr>
              <w:instrText xml:space="preserve"> PAGEREF _Toc23006805 \h </w:instrText>
            </w:r>
            <w:r w:rsidR="00861044">
              <w:rPr>
                <w:noProof/>
                <w:webHidden/>
              </w:rPr>
            </w:r>
            <w:r w:rsidR="00861044">
              <w:rPr>
                <w:noProof/>
                <w:webHidden/>
              </w:rPr>
              <w:fldChar w:fldCharType="separate"/>
            </w:r>
            <w:r w:rsidR="00861044">
              <w:rPr>
                <w:noProof/>
                <w:webHidden/>
              </w:rPr>
              <w:t>19</w:t>
            </w:r>
            <w:r w:rsidR="00861044">
              <w:rPr>
                <w:noProof/>
                <w:webHidden/>
              </w:rPr>
              <w:fldChar w:fldCharType="end"/>
            </w:r>
          </w:hyperlink>
        </w:p>
        <w:p w14:paraId="5EB22D10" w14:textId="3FEF5C38" w:rsidR="00861044" w:rsidRDefault="008C6F12">
          <w:pPr>
            <w:pStyle w:val="TOC3"/>
            <w:tabs>
              <w:tab w:val="right" w:leader="dot" w:pos="9016"/>
            </w:tabs>
            <w:rPr>
              <w:rFonts w:eastAsiaTheme="minorEastAsia"/>
              <w:noProof/>
            </w:rPr>
          </w:pPr>
          <w:hyperlink w:anchor="_Toc23006806" w:history="1">
            <w:r w:rsidR="00861044" w:rsidRPr="00E50D1F">
              <w:rPr>
                <w:rStyle w:val="Hyperlink"/>
                <w:noProof/>
              </w:rPr>
              <w:t>Explanations – on new items within existing budget framework and lines</w:t>
            </w:r>
            <w:r w:rsidR="00861044">
              <w:rPr>
                <w:noProof/>
                <w:webHidden/>
              </w:rPr>
              <w:tab/>
            </w:r>
            <w:r w:rsidR="00861044">
              <w:rPr>
                <w:noProof/>
                <w:webHidden/>
              </w:rPr>
              <w:fldChar w:fldCharType="begin"/>
            </w:r>
            <w:r w:rsidR="00861044">
              <w:rPr>
                <w:noProof/>
                <w:webHidden/>
              </w:rPr>
              <w:instrText xml:space="preserve"> PAGEREF _Toc23006806 \h </w:instrText>
            </w:r>
            <w:r w:rsidR="00861044">
              <w:rPr>
                <w:noProof/>
                <w:webHidden/>
              </w:rPr>
            </w:r>
            <w:r w:rsidR="00861044">
              <w:rPr>
                <w:noProof/>
                <w:webHidden/>
              </w:rPr>
              <w:fldChar w:fldCharType="separate"/>
            </w:r>
            <w:r w:rsidR="00861044">
              <w:rPr>
                <w:noProof/>
                <w:webHidden/>
              </w:rPr>
              <w:t>21</w:t>
            </w:r>
            <w:r w:rsidR="00861044">
              <w:rPr>
                <w:noProof/>
                <w:webHidden/>
              </w:rPr>
              <w:fldChar w:fldCharType="end"/>
            </w:r>
          </w:hyperlink>
        </w:p>
        <w:p w14:paraId="7477B7E5" w14:textId="28E2E757" w:rsidR="00861044" w:rsidRDefault="008C6F12">
          <w:pPr>
            <w:pStyle w:val="TOC1"/>
            <w:tabs>
              <w:tab w:val="left" w:pos="1320"/>
              <w:tab w:val="right" w:leader="dot" w:pos="9016"/>
            </w:tabs>
            <w:rPr>
              <w:rFonts w:eastAsiaTheme="minorEastAsia"/>
              <w:noProof/>
            </w:rPr>
          </w:pPr>
          <w:hyperlink w:anchor="_Toc23006807" w:history="1">
            <w:r w:rsidR="00861044" w:rsidRPr="00E50D1F">
              <w:rPr>
                <w:rStyle w:val="Hyperlink"/>
                <w:rFonts w:ascii="Arial" w:hAnsi="Arial" w:cs="Arial"/>
                <w:b/>
                <w:noProof/>
              </w:rPr>
              <w:t>PART C:</w:t>
            </w:r>
            <w:r w:rsidR="00861044">
              <w:rPr>
                <w:rFonts w:eastAsiaTheme="minorEastAsia"/>
                <w:noProof/>
              </w:rPr>
              <w:tab/>
            </w:r>
            <w:r w:rsidR="00861044" w:rsidRPr="00E50D1F">
              <w:rPr>
                <w:rStyle w:val="Hyperlink"/>
                <w:rFonts w:ascii="Arial" w:hAnsi="Arial" w:cs="Arial"/>
                <w:b/>
                <w:noProof/>
              </w:rPr>
              <w:t>RISKS AND ASSUMPTIONS</w:t>
            </w:r>
            <w:r w:rsidR="00861044">
              <w:rPr>
                <w:noProof/>
                <w:webHidden/>
              </w:rPr>
              <w:tab/>
            </w:r>
            <w:r w:rsidR="00861044">
              <w:rPr>
                <w:noProof/>
                <w:webHidden/>
              </w:rPr>
              <w:fldChar w:fldCharType="begin"/>
            </w:r>
            <w:r w:rsidR="00861044">
              <w:rPr>
                <w:noProof/>
                <w:webHidden/>
              </w:rPr>
              <w:instrText xml:space="preserve"> PAGEREF _Toc23006807 \h </w:instrText>
            </w:r>
            <w:r w:rsidR="00861044">
              <w:rPr>
                <w:noProof/>
                <w:webHidden/>
              </w:rPr>
            </w:r>
            <w:r w:rsidR="00861044">
              <w:rPr>
                <w:noProof/>
                <w:webHidden/>
              </w:rPr>
              <w:fldChar w:fldCharType="separate"/>
            </w:r>
            <w:r w:rsidR="00861044">
              <w:rPr>
                <w:noProof/>
                <w:webHidden/>
              </w:rPr>
              <w:t>23</w:t>
            </w:r>
            <w:r w:rsidR="00861044">
              <w:rPr>
                <w:noProof/>
                <w:webHidden/>
              </w:rPr>
              <w:fldChar w:fldCharType="end"/>
            </w:r>
          </w:hyperlink>
        </w:p>
        <w:p w14:paraId="2FD6BA6A" w14:textId="404BFB38" w:rsidR="00861044" w:rsidRDefault="008C6F12">
          <w:pPr>
            <w:pStyle w:val="TOC2"/>
            <w:tabs>
              <w:tab w:val="left" w:pos="880"/>
              <w:tab w:val="right" w:leader="dot" w:pos="9016"/>
            </w:tabs>
            <w:rPr>
              <w:rFonts w:eastAsiaTheme="minorEastAsia"/>
              <w:noProof/>
            </w:rPr>
          </w:pPr>
          <w:hyperlink w:anchor="_Toc23006808" w:history="1">
            <w:r w:rsidR="00861044" w:rsidRPr="00E50D1F">
              <w:rPr>
                <w:rStyle w:val="Hyperlink"/>
                <w:rFonts w:ascii="Arial" w:eastAsia="Times New Roman" w:hAnsi="Arial" w:cs="Arial"/>
                <w:noProof/>
              </w:rPr>
              <w:t>C1:</w:t>
            </w:r>
            <w:r w:rsidR="00861044">
              <w:rPr>
                <w:rFonts w:eastAsiaTheme="minorEastAsia"/>
                <w:noProof/>
              </w:rPr>
              <w:tab/>
            </w:r>
            <w:r w:rsidR="00861044" w:rsidRPr="00E50D1F">
              <w:rPr>
                <w:rStyle w:val="Hyperlink"/>
                <w:rFonts w:ascii="Arial" w:eastAsia="Times New Roman" w:hAnsi="Arial" w:cs="Arial"/>
                <w:noProof/>
              </w:rPr>
              <w:t>Risks and assumptions</w:t>
            </w:r>
            <w:r w:rsidR="00861044">
              <w:rPr>
                <w:noProof/>
                <w:webHidden/>
              </w:rPr>
              <w:tab/>
            </w:r>
            <w:r w:rsidR="00861044">
              <w:rPr>
                <w:noProof/>
                <w:webHidden/>
              </w:rPr>
              <w:fldChar w:fldCharType="begin"/>
            </w:r>
            <w:r w:rsidR="00861044">
              <w:rPr>
                <w:noProof/>
                <w:webHidden/>
              </w:rPr>
              <w:instrText xml:space="preserve"> PAGEREF _Toc23006808 \h </w:instrText>
            </w:r>
            <w:r w:rsidR="00861044">
              <w:rPr>
                <w:noProof/>
                <w:webHidden/>
              </w:rPr>
            </w:r>
            <w:r w:rsidR="00861044">
              <w:rPr>
                <w:noProof/>
                <w:webHidden/>
              </w:rPr>
              <w:fldChar w:fldCharType="separate"/>
            </w:r>
            <w:r w:rsidR="00861044">
              <w:rPr>
                <w:noProof/>
                <w:webHidden/>
              </w:rPr>
              <w:t>23</w:t>
            </w:r>
            <w:r w:rsidR="00861044">
              <w:rPr>
                <w:noProof/>
                <w:webHidden/>
              </w:rPr>
              <w:fldChar w:fldCharType="end"/>
            </w:r>
          </w:hyperlink>
        </w:p>
        <w:p w14:paraId="5BBA2F7A" w14:textId="72105494" w:rsidR="00861044" w:rsidRDefault="008C6F12">
          <w:pPr>
            <w:pStyle w:val="TOC1"/>
            <w:tabs>
              <w:tab w:val="left" w:pos="1320"/>
              <w:tab w:val="right" w:leader="dot" w:pos="9016"/>
            </w:tabs>
            <w:rPr>
              <w:rFonts w:eastAsiaTheme="minorEastAsia"/>
              <w:noProof/>
            </w:rPr>
          </w:pPr>
          <w:hyperlink w:anchor="_Toc23006809" w:history="1">
            <w:r w:rsidR="00861044" w:rsidRPr="00E50D1F">
              <w:rPr>
                <w:rStyle w:val="Hyperlink"/>
                <w:rFonts w:ascii="Arial" w:hAnsi="Arial" w:cs="Arial"/>
                <w:b/>
                <w:noProof/>
              </w:rPr>
              <w:t>PART D:</w:t>
            </w:r>
            <w:r w:rsidR="00861044">
              <w:rPr>
                <w:rFonts w:eastAsiaTheme="minorEastAsia"/>
                <w:noProof/>
              </w:rPr>
              <w:tab/>
            </w:r>
            <w:r w:rsidR="00861044" w:rsidRPr="00E50D1F">
              <w:rPr>
                <w:rStyle w:val="Hyperlink"/>
                <w:rFonts w:ascii="Arial" w:hAnsi="Arial" w:cs="Arial"/>
                <w:b/>
                <w:noProof/>
              </w:rPr>
              <w:t>RECOMMENDATIONS TO COMESA POLICY ORGANS</w:t>
            </w:r>
            <w:r w:rsidR="00861044">
              <w:rPr>
                <w:noProof/>
                <w:webHidden/>
              </w:rPr>
              <w:tab/>
            </w:r>
            <w:r w:rsidR="00861044">
              <w:rPr>
                <w:noProof/>
                <w:webHidden/>
              </w:rPr>
              <w:fldChar w:fldCharType="begin"/>
            </w:r>
            <w:r w:rsidR="00861044">
              <w:rPr>
                <w:noProof/>
                <w:webHidden/>
              </w:rPr>
              <w:instrText xml:space="preserve"> PAGEREF _Toc23006809 \h </w:instrText>
            </w:r>
            <w:r w:rsidR="00861044">
              <w:rPr>
                <w:noProof/>
                <w:webHidden/>
              </w:rPr>
            </w:r>
            <w:r w:rsidR="00861044">
              <w:rPr>
                <w:noProof/>
                <w:webHidden/>
              </w:rPr>
              <w:fldChar w:fldCharType="separate"/>
            </w:r>
            <w:r w:rsidR="00861044">
              <w:rPr>
                <w:noProof/>
                <w:webHidden/>
              </w:rPr>
              <w:t>23</w:t>
            </w:r>
            <w:r w:rsidR="00861044">
              <w:rPr>
                <w:noProof/>
                <w:webHidden/>
              </w:rPr>
              <w:fldChar w:fldCharType="end"/>
            </w:r>
          </w:hyperlink>
        </w:p>
        <w:p w14:paraId="10BC334A" w14:textId="789CE77D" w:rsidR="00861044" w:rsidRDefault="008C6F12">
          <w:pPr>
            <w:pStyle w:val="TOC3"/>
            <w:tabs>
              <w:tab w:val="left" w:pos="1760"/>
              <w:tab w:val="right" w:leader="dot" w:pos="9016"/>
            </w:tabs>
            <w:rPr>
              <w:rFonts w:eastAsiaTheme="minorEastAsia"/>
              <w:noProof/>
            </w:rPr>
          </w:pPr>
          <w:hyperlink w:anchor="_Toc23006810" w:history="1">
            <w:r w:rsidR="00861044" w:rsidRPr="00E50D1F">
              <w:rPr>
                <w:rStyle w:val="Hyperlink"/>
                <w:noProof/>
              </w:rPr>
              <w:t>Appendix 1</w:t>
            </w:r>
            <w:r w:rsidR="00861044">
              <w:rPr>
                <w:rFonts w:eastAsiaTheme="minorEastAsia"/>
                <w:noProof/>
              </w:rPr>
              <w:tab/>
            </w:r>
            <w:r w:rsidR="00861044" w:rsidRPr="00E50D1F">
              <w:rPr>
                <w:rStyle w:val="Hyperlink"/>
                <w:noProof/>
              </w:rPr>
              <w:t>2020 Budget Estimates (Member States and Grants) – funding and expenditure</w:t>
            </w:r>
            <w:r w:rsidR="00861044">
              <w:rPr>
                <w:noProof/>
                <w:webHidden/>
              </w:rPr>
              <w:tab/>
            </w:r>
            <w:r w:rsidR="00861044">
              <w:rPr>
                <w:noProof/>
                <w:webHidden/>
              </w:rPr>
              <w:fldChar w:fldCharType="begin"/>
            </w:r>
            <w:r w:rsidR="00861044">
              <w:rPr>
                <w:noProof/>
                <w:webHidden/>
              </w:rPr>
              <w:instrText xml:space="preserve"> PAGEREF _Toc23006810 \h </w:instrText>
            </w:r>
            <w:r w:rsidR="00861044">
              <w:rPr>
                <w:noProof/>
                <w:webHidden/>
              </w:rPr>
            </w:r>
            <w:r w:rsidR="00861044">
              <w:rPr>
                <w:noProof/>
                <w:webHidden/>
              </w:rPr>
              <w:fldChar w:fldCharType="separate"/>
            </w:r>
            <w:r w:rsidR="00861044">
              <w:rPr>
                <w:noProof/>
                <w:webHidden/>
              </w:rPr>
              <w:t>25</w:t>
            </w:r>
            <w:r w:rsidR="00861044">
              <w:rPr>
                <w:noProof/>
                <w:webHidden/>
              </w:rPr>
              <w:fldChar w:fldCharType="end"/>
            </w:r>
          </w:hyperlink>
        </w:p>
        <w:p w14:paraId="1F085ACD" w14:textId="0F269B68" w:rsidR="00861044" w:rsidRDefault="008C6F12">
          <w:pPr>
            <w:pStyle w:val="TOC3"/>
            <w:tabs>
              <w:tab w:val="left" w:pos="1760"/>
              <w:tab w:val="right" w:leader="dot" w:pos="9016"/>
            </w:tabs>
            <w:rPr>
              <w:rFonts w:eastAsiaTheme="minorEastAsia"/>
              <w:noProof/>
            </w:rPr>
          </w:pPr>
          <w:hyperlink w:anchor="_Toc23006811" w:history="1">
            <w:r w:rsidR="00861044" w:rsidRPr="00E50D1F">
              <w:rPr>
                <w:rStyle w:val="Hyperlink"/>
                <w:noProof/>
              </w:rPr>
              <w:t>Appendix 2</w:t>
            </w:r>
            <w:r w:rsidR="00861044">
              <w:rPr>
                <w:rFonts w:eastAsiaTheme="minorEastAsia"/>
                <w:noProof/>
              </w:rPr>
              <w:tab/>
            </w:r>
            <w:r w:rsidR="00861044" w:rsidRPr="00E50D1F">
              <w:rPr>
                <w:rStyle w:val="Hyperlink"/>
                <w:noProof/>
              </w:rPr>
              <w:t>2020 Distribution of assessed contribution among Member States</w:t>
            </w:r>
            <w:r w:rsidR="00861044">
              <w:rPr>
                <w:noProof/>
                <w:webHidden/>
              </w:rPr>
              <w:tab/>
            </w:r>
            <w:r w:rsidR="00861044">
              <w:rPr>
                <w:noProof/>
                <w:webHidden/>
              </w:rPr>
              <w:fldChar w:fldCharType="begin"/>
            </w:r>
            <w:r w:rsidR="00861044">
              <w:rPr>
                <w:noProof/>
                <w:webHidden/>
              </w:rPr>
              <w:instrText xml:space="preserve"> PAGEREF _Toc23006811 \h </w:instrText>
            </w:r>
            <w:r w:rsidR="00861044">
              <w:rPr>
                <w:noProof/>
                <w:webHidden/>
              </w:rPr>
            </w:r>
            <w:r w:rsidR="00861044">
              <w:rPr>
                <w:noProof/>
                <w:webHidden/>
              </w:rPr>
              <w:fldChar w:fldCharType="separate"/>
            </w:r>
            <w:r w:rsidR="00861044">
              <w:rPr>
                <w:noProof/>
                <w:webHidden/>
              </w:rPr>
              <w:t>25</w:t>
            </w:r>
            <w:r w:rsidR="00861044">
              <w:rPr>
                <w:noProof/>
                <w:webHidden/>
              </w:rPr>
              <w:fldChar w:fldCharType="end"/>
            </w:r>
          </w:hyperlink>
        </w:p>
        <w:p w14:paraId="1E9037CD" w14:textId="30512067" w:rsidR="00861044" w:rsidRDefault="008C6F12">
          <w:pPr>
            <w:pStyle w:val="TOC3"/>
            <w:tabs>
              <w:tab w:val="left" w:pos="1760"/>
              <w:tab w:val="right" w:leader="dot" w:pos="9016"/>
            </w:tabs>
            <w:rPr>
              <w:rFonts w:eastAsiaTheme="minorEastAsia"/>
              <w:noProof/>
            </w:rPr>
          </w:pPr>
          <w:hyperlink w:anchor="_Toc23006812" w:history="1">
            <w:r w:rsidR="00861044" w:rsidRPr="00E50D1F">
              <w:rPr>
                <w:rStyle w:val="Hyperlink"/>
                <w:noProof/>
              </w:rPr>
              <w:t>Appendix 3</w:t>
            </w:r>
            <w:r w:rsidR="00861044">
              <w:rPr>
                <w:rFonts w:eastAsiaTheme="minorEastAsia"/>
                <w:noProof/>
              </w:rPr>
              <w:tab/>
            </w:r>
            <w:r w:rsidR="00861044" w:rsidRPr="00E50D1F">
              <w:rPr>
                <w:rStyle w:val="Hyperlink"/>
                <w:noProof/>
              </w:rPr>
              <w:t>2020 Budget expenditure estimate - budget line (member states funding)</w:t>
            </w:r>
            <w:r w:rsidR="00861044">
              <w:rPr>
                <w:noProof/>
                <w:webHidden/>
              </w:rPr>
              <w:tab/>
            </w:r>
            <w:r w:rsidR="00861044">
              <w:rPr>
                <w:noProof/>
                <w:webHidden/>
              </w:rPr>
              <w:fldChar w:fldCharType="begin"/>
            </w:r>
            <w:r w:rsidR="00861044">
              <w:rPr>
                <w:noProof/>
                <w:webHidden/>
              </w:rPr>
              <w:instrText xml:space="preserve"> PAGEREF _Toc23006812 \h </w:instrText>
            </w:r>
            <w:r w:rsidR="00861044">
              <w:rPr>
                <w:noProof/>
                <w:webHidden/>
              </w:rPr>
            </w:r>
            <w:r w:rsidR="00861044">
              <w:rPr>
                <w:noProof/>
                <w:webHidden/>
              </w:rPr>
              <w:fldChar w:fldCharType="separate"/>
            </w:r>
            <w:r w:rsidR="00861044">
              <w:rPr>
                <w:noProof/>
                <w:webHidden/>
              </w:rPr>
              <w:t>25</w:t>
            </w:r>
            <w:r w:rsidR="00861044">
              <w:rPr>
                <w:noProof/>
                <w:webHidden/>
              </w:rPr>
              <w:fldChar w:fldCharType="end"/>
            </w:r>
          </w:hyperlink>
        </w:p>
        <w:p w14:paraId="1DB97856" w14:textId="5904577D" w:rsidR="00861044" w:rsidRDefault="008C6F12">
          <w:pPr>
            <w:pStyle w:val="TOC3"/>
            <w:tabs>
              <w:tab w:val="left" w:pos="1760"/>
              <w:tab w:val="right" w:leader="dot" w:pos="9016"/>
            </w:tabs>
            <w:rPr>
              <w:rFonts w:eastAsiaTheme="minorEastAsia"/>
              <w:noProof/>
            </w:rPr>
          </w:pPr>
          <w:hyperlink w:anchor="_Toc23006813" w:history="1">
            <w:r w:rsidR="00861044" w:rsidRPr="00E50D1F">
              <w:rPr>
                <w:rStyle w:val="Hyperlink"/>
                <w:noProof/>
              </w:rPr>
              <w:t>Appendix 4</w:t>
            </w:r>
            <w:r w:rsidR="00861044">
              <w:rPr>
                <w:rFonts w:eastAsiaTheme="minorEastAsia"/>
                <w:noProof/>
              </w:rPr>
              <w:tab/>
            </w:r>
            <w:r w:rsidR="00861044" w:rsidRPr="00E50D1F">
              <w:rPr>
                <w:rStyle w:val="Hyperlink"/>
                <w:noProof/>
              </w:rPr>
              <w:t>2020 Budget expenditure estimate - cost center (member states funding)</w:t>
            </w:r>
            <w:r w:rsidR="00861044">
              <w:rPr>
                <w:noProof/>
                <w:webHidden/>
              </w:rPr>
              <w:tab/>
            </w:r>
            <w:r w:rsidR="00861044">
              <w:rPr>
                <w:noProof/>
                <w:webHidden/>
              </w:rPr>
              <w:fldChar w:fldCharType="begin"/>
            </w:r>
            <w:r w:rsidR="00861044">
              <w:rPr>
                <w:noProof/>
                <w:webHidden/>
              </w:rPr>
              <w:instrText xml:space="preserve"> PAGEREF _Toc23006813 \h </w:instrText>
            </w:r>
            <w:r w:rsidR="00861044">
              <w:rPr>
                <w:noProof/>
                <w:webHidden/>
              </w:rPr>
            </w:r>
            <w:r w:rsidR="00861044">
              <w:rPr>
                <w:noProof/>
                <w:webHidden/>
              </w:rPr>
              <w:fldChar w:fldCharType="separate"/>
            </w:r>
            <w:r w:rsidR="00861044">
              <w:rPr>
                <w:noProof/>
                <w:webHidden/>
              </w:rPr>
              <w:t>25</w:t>
            </w:r>
            <w:r w:rsidR="00861044">
              <w:rPr>
                <w:noProof/>
                <w:webHidden/>
              </w:rPr>
              <w:fldChar w:fldCharType="end"/>
            </w:r>
          </w:hyperlink>
        </w:p>
        <w:p w14:paraId="6F4A2BF1" w14:textId="26FD7CAD" w:rsidR="00861044" w:rsidRDefault="008C6F12">
          <w:pPr>
            <w:pStyle w:val="TOC3"/>
            <w:tabs>
              <w:tab w:val="left" w:pos="1760"/>
              <w:tab w:val="right" w:leader="dot" w:pos="9016"/>
            </w:tabs>
            <w:rPr>
              <w:rFonts w:eastAsiaTheme="minorEastAsia"/>
              <w:noProof/>
            </w:rPr>
          </w:pPr>
          <w:hyperlink w:anchor="_Toc23006814" w:history="1">
            <w:r w:rsidR="00861044" w:rsidRPr="00E50D1F">
              <w:rPr>
                <w:rStyle w:val="Hyperlink"/>
                <w:noProof/>
              </w:rPr>
              <w:t>Appendix 5</w:t>
            </w:r>
            <w:r w:rsidR="00861044">
              <w:rPr>
                <w:rFonts w:eastAsiaTheme="minorEastAsia"/>
                <w:noProof/>
              </w:rPr>
              <w:tab/>
            </w:r>
            <w:r w:rsidR="00861044" w:rsidRPr="00E50D1F">
              <w:rPr>
                <w:rStyle w:val="Hyperlink"/>
                <w:noProof/>
              </w:rPr>
              <w:t>2020 Budget expenditure estimate - project (grants funding)</w:t>
            </w:r>
            <w:r w:rsidR="00861044">
              <w:rPr>
                <w:noProof/>
                <w:webHidden/>
              </w:rPr>
              <w:tab/>
            </w:r>
            <w:r w:rsidR="00861044">
              <w:rPr>
                <w:noProof/>
                <w:webHidden/>
              </w:rPr>
              <w:fldChar w:fldCharType="begin"/>
            </w:r>
            <w:r w:rsidR="00861044">
              <w:rPr>
                <w:noProof/>
                <w:webHidden/>
              </w:rPr>
              <w:instrText xml:space="preserve"> PAGEREF _Toc23006814 \h </w:instrText>
            </w:r>
            <w:r w:rsidR="00861044">
              <w:rPr>
                <w:noProof/>
                <w:webHidden/>
              </w:rPr>
            </w:r>
            <w:r w:rsidR="00861044">
              <w:rPr>
                <w:noProof/>
                <w:webHidden/>
              </w:rPr>
              <w:fldChar w:fldCharType="separate"/>
            </w:r>
            <w:r w:rsidR="00861044">
              <w:rPr>
                <w:noProof/>
                <w:webHidden/>
              </w:rPr>
              <w:t>25</w:t>
            </w:r>
            <w:r w:rsidR="00861044">
              <w:rPr>
                <w:noProof/>
                <w:webHidden/>
              </w:rPr>
              <w:fldChar w:fldCharType="end"/>
            </w:r>
          </w:hyperlink>
        </w:p>
        <w:p w14:paraId="0B84BF4E" w14:textId="7A0C16F7" w:rsidR="00861044" w:rsidRDefault="008C6F12">
          <w:pPr>
            <w:pStyle w:val="TOC3"/>
            <w:tabs>
              <w:tab w:val="left" w:pos="1760"/>
              <w:tab w:val="right" w:leader="dot" w:pos="9016"/>
            </w:tabs>
            <w:rPr>
              <w:rFonts w:eastAsiaTheme="minorEastAsia"/>
              <w:noProof/>
            </w:rPr>
          </w:pPr>
          <w:hyperlink w:anchor="_Toc23006815" w:history="1">
            <w:r w:rsidR="00861044" w:rsidRPr="00E50D1F">
              <w:rPr>
                <w:rStyle w:val="Hyperlink"/>
                <w:noProof/>
              </w:rPr>
              <w:t>Appendix 6</w:t>
            </w:r>
            <w:r w:rsidR="00861044">
              <w:rPr>
                <w:rFonts w:eastAsiaTheme="minorEastAsia"/>
                <w:noProof/>
              </w:rPr>
              <w:tab/>
            </w:r>
            <w:r w:rsidR="00861044" w:rsidRPr="00E50D1F">
              <w:rPr>
                <w:rStyle w:val="Hyperlink"/>
                <w:noProof/>
              </w:rPr>
              <w:t>Cash transfer from COMESA to Member State (2010 - 2019)</w:t>
            </w:r>
            <w:r w:rsidR="00861044">
              <w:rPr>
                <w:noProof/>
                <w:webHidden/>
              </w:rPr>
              <w:tab/>
            </w:r>
            <w:r w:rsidR="00861044">
              <w:rPr>
                <w:noProof/>
                <w:webHidden/>
              </w:rPr>
              <w:fldChar w:fldCharType="begin"/>
            </w:r>
            <w:r w:rsidR="00861044">
              <w:rPr>
                <w:noProof/>
                <w:webHidden/>
              </w:rPr>
              <w:instrText xml:space="preserve"> PAGEREF _Toc23006815 \h </w:instrText>
            </w:r>
            <w:r w:rsidR="00861044">
              <w:rPr>
                <w:noProof/>
                <w:webHidden/>
              </w:rPr>
            </w:r>
            <w:r w:rsidR="00861044">
              <w:rPr>
                <w:noProof/>
                <w:webHidden/>
              </w:rPr>
              <w:fldChar w:fldCharType="separate"/>
            </w:r>
            <w:r w:rsidR="00861044">
              <w:rPr>
                <w:noProof/>
                <w:webHidden/>
              </w:rPr>
              <w:t>25</w:t>
            </w:r>
            <w:r w:rsidR="00861044">
              <w:rPr>
                <w:noProof/>
                <w:webHidden/>
              </w:rPr>
              <w:fldChar w:fldCharType="end"/>
            </w:r>
          </w:hyperlink>
        </w:p>
        <w:p w14:paraId="7EABC576" w14:textId="143B0C1F" w:rsidR="00861044" w:rsidRDefault="008C6F12">
          <w:pPr>
            <w:pStyle w:val="TOC3"/>
            <w:tabs>
              <w:tab w:val="left" w:pos="1760"/>
              <w:tab w:val="right" w:leader="dot" w:pos="9016"/>
            </w:tabs>
            <w:rPr>
              <w:rFonts w:eastAsiaTheme="minorEastAsia"/>
              <w:noProof/>
            </w:rPr>
          </w:pPr>
          <w:hyperlink w:anchor="_Toc23006816" w:history="1">
            <w:r w:rsidR="00861044" w:rsidRPr="00E50D1F">
              <w:rPr>
                <w:rStyle w:val="Hyperlink"/>
                <w:noProof/>
              </w:rPr>
              <w:t>Appendix 7</w:t>
            </w:r>
            <w:r w:rsidR="00861044">
              <w:rPr>
                <w:rFonts w:eastAsiaTheme="minorEastAsia"/>
                <w:noProof/>
              </w:rPr>
              <w:tab/>
            </w:r>
            <w:r w:rsidR="00861044" w:rsidRPr="00E50D1F">
              <w:rPr>
                <w:rStyle w:val="Hyperlink"/>
                <w:noProof/>
              </w:rPr>
              <w:t>Staffing arrangement for Governance, Peace and Security</w:t>
            </w:r>
            <w:r w:rsidR="00861044">
              <w:rPr>
                <w:noProof/>
                <w:webHidden/>
              </w:rPr>
              <w:tab/>
            </w:r>
            <w:r w:rsidR="00861044">
              <w:rPr>
                <w:noProof/>
                <w:webHidden/>
              </w:rPr>
              <w:fldChar w:fldCharType="begin"/>
            </w:r>
            <w:r w:rsidR="00861044">
              <w:rPr>
                <w:noProof/>
                <w:webHidden/>
              </w:rPr>
              <w:instrText xml:space="preserve"> PAGEREF _Toc23006816 \h </w:instrText>
            </w:r>
            <w:r w:rsidR="00861044">
              <w:rPr>
                <w:noProof/>
                <w:webHidden/>
              </w:rPr>
            </w:r>
            <w:r w:rsidR="00861044">
              <w:rPr>
                <w:noProof/>
                <w:webHidden/>
              </w:rPr>
              <w:fldChar w:fldCharType="separate"/>
            </w:r>
            <w:r w:rsidR="00861044">
              <w:rPr>
                <w:noProof/>
                <w:webHidden/>
              </w:rPr>
              <w:t>25</w:t>
            </w:r>
            <w:r w:rsidR="00861044">
              <w:rPr>
                <w:noProof/>
                <w:webHidden/>
              </w:rPr>
              <w:fldChar w:fldCharType="end"/>
            </w:r>
          </w:hyperlink>
        </w:p>
        <w:p w14:paraId="6F240AF8" w14:textId="70D78BFF" w:rsidR="00966FC3" w:rsidRPr="0009691A" w:rsidRDefault="00966FC3">
          <w:r w:rsidRPr="0009691A">
            <w:rPr>
              <w:b/>
              <w:bCs/>
              <w:noProof/>
            </w:rPr>
            <w:fldChar w:fldCharType="end"/>
          </w:r>
        </w:p>
      </w:sdtContent>
    </w:sdt>
    <w:bookmarkStart w:id="0" w:name="_Hlk22547326" w:displacedByCustomXml="prev"/>
    <w:p w14:paraId="54C5BF2F" w14:textId="77777777" w:rsidR="00966FC3" w:rsidRPr="0009691A" w:rsidRDefault="00966FC3" w:rsidP="004D4365">
      <w:pPr>
        <w:spacing w:after="0" w:line="240" w:lineRule="auto"/>
        <w:rPr>
          <w:rFonts w:ascii="Arial" w:hAnsi="Arial" w:cs="Arial"/>
          <w:b/>
        </w:rPr>
        <w:sectPr w:rsidR="00966FC3" w:rsidRPr="0009691A" w:rsidSect="004E3E9F">
          <w:headerReference w:type="default" r:id="rId11"/>
          <w:footerReference w:type="default" r:id="rId12"/>
          <w:pgSz w:w="11906" w:h="16838"/>
          <w:pgMar w:top="1440" w:right="1440" w:bottom="1440" w:left="1440" w:header="708" w:footer="708" w:gutter="0"/>
          <w:pgNumType w:start="1"/>
          <w:cols w:space="708"/>
          <w:docGrid w:linePitch="360"/>
        </w:sectPr>
      </w:pPr>
    </w:p>
    <w:p w14:paraId="414447EA" w14:textId="37335A7D" w:rsidR="00F33D2C" w:rsidRPr="00930DAD" w:rsidRDefault="00D063A1" w:rsidP="00930DAD">
      <w:pPr>
        <w:pStyle w:val="Heading1"/>
        <w:spacing w:before="0" w:line="240" w:lineRule="auto"/>
        <w:rPr>
          <w:rFonts w:ascii="Arial" w:hAnsi="Arial" w:cs="Arial"/>
          <w:b/>
          <w:sz w:val="22"/>
          <w:szCs w:val="22"/>
        </w:rPr>
      </w:pPr>
      <w:bookmarkStart w:id="1" w:name="_Toc23006774"/>
      <w:r>
        <w:rPr>
          <w:rFonts w:ascii="Arial" w:hAnsi="Arial" w:cs="Arial"/>
          <w:b/>
          <w:sz w:val="22"/>
          <w:szCs w:val="22"/>
        </w:rPr>
        <w:lastRenderedPageBreak/>
        <w:t xml:space="preserve">2020 BUDGET </w:t>
      </w:r>
      <w:r w:rsidR="00930DAD" w:rsidRPr="00930DAD">
        <w:rPr>
          <w:rFonts w:ascii="Arial" w:hAnsi="Arial" w:cs="Arial"/>
          <w:b/>
          <w:sz w:val="22"/>
          <w:szCs w:val="22"/>
        </w:rPr>
        <w:t>SUBMISSION</w:t>
      </w:r>
      <w:bookmarkEnd w:id="1"/>
    </w:p>
    <w:p w14:paraId="7387ADAD" w14:textId="77777777" w:rsidR="00930DAD" w:rsidRPr="0009691A" w:rsidRDefault="00930DAD" w:rsidP="00F33D2C">
      <w:pPr>
        <w:pStyle w:val="ListParagraph"/>
        <w:tabs>
          <w:tab w:val="left" w:pos="720"/>
        </w:tabs>
        <w:ind w:left="0"/>
        <w:jc w:val="both"/>
        <w:rPr>
          <w:rFonts w:ascii="Arial" w:eastAsia="Times New Roman" w:hAnsi="Arial" w:cs="Arial"/>
          <w:color w:val="2F5496" w:themeColor="accent1" w:themeShade="BF"/>
        </w:rPr>
      </w:pPr>
    </w:p>
    <w:p w14:paraId="371EC59A" w14:textId="48BAE39F" w:rsidR="00930DAD" w:rsidRDefault="00930DAD" w:rsidP="00552CA2">
      <w:pPr>
        <w:pStyle w:val="ListParagraph"/>
        <w:numPr>
          <w:ilvl w:val="0"/>
          <w:numId w:val="4"/>
        </w:numPr>
        <w:tabs>
          <w:tab w:val="left" w:pos="720"/>
        </w:tabs>
        <w:ind w:left="0" w:firstLine="0"/>
        <w:jc w:val="both"/>
        <w:rPr>
          <w:rFonts w:ascii="Arial" w:eastAsia="Calibri" w:hAnsi="Arial" w:cs="Arial"/>
        </w:rPr>
      </w:pPr>
      <w:r>
        <w:rPr>
          <w:rFonts w:ascii="Arial" w:eastAsia="Calibri" w:hAnsi="Arial" w:cs="Arial"/>
        </w:rPr>
        <w:t xml:space="preserve">Pursuant to </w:t>
      </w:r>
      <w:r w:rsidRPr="00723ECA">
        <w:rPr>
          <w:rFonts w:ascii="Arial" w:eastAsia="Calibri" w:hAnsi="Arial" w:cs="Arial"/>
          <w:b/>
        </w:rPr>
        <w:t>Article 166 (2)</w:t>
      </w:r>
      <w:r>
        <w:rPr>
          <w:rFonts w:ascii="Arial" w:eastAsia="Calibri" w:hAnsi="Arial" w:cs="Arial"/>
        </w:rPr>
        <w:t xml:space="preserve">, </w:t>
      </w:r>
      <w:r w:rsidR="00421B62" w:rsidRPr="0009691A">
        <w:rPr>
          <w:rFonts w:ascii="Arial" w:eastAsia="Calibri" w:hAnsi="Arial" w:cs="Arial"/>
        </w:rPr>
        <w:t xml:space="preserve">the Secretary General has the pleasure to submit </w:t>
      </w:r>
      <w:r w:rsidR="000E56FC">
        <w:rPr>
          <w:rFonts w:ascii="Arial" w:eastAsia="Calibri" w:hAnsi="Arial" w:cs="Arial"/>
        </w:rPr>
        <w:t xml:space="preserve">the </w:t>
      </w:r>
      <w:r w:rsidR="00421B62" w:rsidRPr="0009691A">
        <w:rPr>
          <w:rFonts w:ascii="Arial" w:eastAsia="Calibri" w:hAnsi="Arial" w:cs="Arial"/>
        </w:rPr>
        <w:t xml:space="preserve">proposed </w:t>
      </w:r>
      <w:r w:rsidR="00C563F4">
        <w:rPr>
          <w:rFonts w:ascii="Arial" w:eastAsia="Calibri" w:hAnsi="Arial" w:cs="Arial"/>
        </w:rPr>
        <w:t>2020</w:t>
      </w:r>
      <w:r w:rsidR="00421B62" w:rsidRPr="0009691A">
        <w:rPr>
          <w:rFonts w:ascii="Arial" w:eastAsia="Calibri" w:hAnsi="Arial" w:cs="Arial"/>
        </w:rPr>
        <w:t xml:space="preserve"> Budget </w:t>
      </w:r>
      <w:r>
        <w:rPr>
          <w:rFonts w:ascii="Arial" w:eastAsia="Calibri" w:hAnsi="Arial" w:cs="Arial"/>
        </w:rPr>
        <w:t xml:space="preserve">Estimates for </w:t>
      </w:r>
      <w:r w:rsidR="00A670F5">
        <w:rPr>
          <w:rFonts w:ascii="Arial" w:eastAsia="Calibri" w:hAnsi="Arial" w:cs="Arial"/>
        </w:rPr>
        <w:t xml:space="preserve">the COMESA Secretariat for the consideration and approval by the Council. </w:t>
      </w:r>
      <w:r w:rsidR="00723ECA">
        <w:rPr>
          <w:rFonts w:ascii="Arial" w:eastAsia="Calibri" w:hAnsi="Arial" w:cs="Arial"/>
        </w:rPr>
        <w:t>These are made up of: -</w:t>
      </w:r>
    </w:p>
    <w:p w14:paraId="44BB3276" w14:textId="77777777" w:rsidR="00594407" w:rsidRDefault="00594407" w:rsidP="00594407">
      <w:pPr>
        <w:pStyle w:val="ListParagraph"/>
        <w:tabs>
          <w:tab w:val="left" w:pos="720"/>
        </w:tabs>
        <w:ind w:left="0"/>
        <w:jc w:val="both"/>
        <w:rPr>
          <w:rFonts w:ascii="Arial" w:eastAsia="Calibri" w:hAnsi="Arial" w:cs="Arial"/>
        </w:rPr>
      </w:pPr>
    </w:p>
    <w:p w14:paraId="4A6104F1" w14:textId="38398AEE" w:rsidR="00723ECA" w:rsidRDefault="00723ECA" w:rsidP="00552CA2">
      <w:pPr>
        <w:pStyle w:val="ListParagraph"/>
        <w:numPr>
          <w:ilvl w:val="0"/>
          <w:numId w:val="15"/>
        </w:numPr>
        <w:tabs>
          <w:tab w:val="left" w:pos="720"/>
        </w:tabs>
        <w:jc w:val="both"/>
        <w:rPr>
          <w:rFonts w:ascii="Arial" w:eastAsia="Calibri" w:hAnsi="Arial" w:cs="Arial"/>
        </w:rPr>
      </w:pPr>
      <w:r w:rsidRPr="00594407">
        <w:rPr>
          <w:rFonts w:ascii="Arial" w:eastAsia="Calibri" w:hAnsi="Arial" w:cs="Arial"/>
          <w:b/>
        </w:rPr>
        <w:t>Work programme</w:t>
      </w:r>
      <w:r w:rsidR="00594407" w:rsidRPr="00594407">
        <w:rPr>
          <w:rFonts w:ascii="Arial" w:eastAsia="Calibri" w:hAnsi="Arial" w:cs="Arial"/>
          <w:b/>
        </w:rPr>
        <w:t xml:space="preserve"> detail</w:t>
      </w:r>
      <w:r>
        <w:rPr>
          <w:rFonts w:ascii="Arial" w:eastAsia="Calibri" w:hAnsi="Arial" w:cs="Arial"/>
        </w:rPr>
        <w:t xml:space="preserve">: </w:t>
      </w:r>
      <w:r w:rsidR="00594407">
        <w:rPr>
          <w:rFonts w:ascii="Arial" w:eastAsia="Calibri" w:hAnsi="Arial" w:cs="Arial"/>
        </w:rPr>
        <w:t xml:space="preserve">indicating </w:t>
      </w:r>
      <w:r>
        <w:rPr>
          <w:rFonts w:ascii="Arial" w:eastAsia="Calibri" w:hAnsi="Arial" w:cs="Arial"/>
        </w:rPr>
        <w:t xml:space="preserve">the </w:t>
      </w:r>
      <w:r w:rsidR="00594407">
        <w:rPr>
          <w:rFonts w:ascii="Arial" w:eastAsia="Calibri" w:hAnsi="Arial" w:cs="Arial"/>
        </w:rPr>
        <w:t xml:space="preserve">planned </w:t>
      </w:r>
      <w:r>
        <w:rPr>
          <w:rFonts w:ascii="Arial" w:eastAsia="Calibri" w:hAnsi="Arial" w:cs="Arial"/>
        </w:rPr>
        <w:t>outputs</w:t>
      </w:r>
      <w:r w:rsidR="00594407">
        <w:rPr>
          <w:rFonts w:ascii="Arial" w:eastAsia="Calibri" w:hAnsi="Arial" w:cs="Arial"/>
        </w:rPr>
        <w:t xml:space="preserve"> for 2020, which positively contribute to the achievement of objectives of the Common Market. These are derived from 2016-2020 Medium Term Strategic Plan </w:t>
      </w:r>
      <w:r w:rsidR="00594407" w:rsidRPr="00594407">
        <w:rPr>
          <w:rFonts w:ascii="Arial" w:eastAsia="Calibri" w:hAnsi="Arial" w:cs="Arial"/>
          <w:u w:val="single"/>
        </w:rPr>
        <w:t>objectives</w:t>
      </w:r>
      <w:r w:rsidR="00594407">
        <w:rPr>
          <w:rFonts w:ascii="Arial" w:eastAsia="Calibri" w:hAnsi="Arial" w:cs="Arial"/>
        </w:rPr>
        <w:t xml:space="preserve"> and focus on </w:t>
      </w:r>
      <w:r w:rsidR="00594407" w:rsidRPr="00594407">
        <w:rPr>
          <w:rFonts w:ascii="Arial" w:eastAsia="Calibri" w:hAnsi="Arial" w:cs="Arial"/>
          <w:u w:val="single"/>
        </w:rPr>
        <w:t>2020 priorities</w:t>
      </w:r>
      <w:r w:rsidR="00594407">
        <w:rPr>
          <w:rFonts w:ascii="Arial" w:eastAsia="Calibri" w:hAnsi="Arial" w:cs="Arial"/>
        </w:rPr>
        <w:t>; and</w:t>
      </w:r>
    </w:p>
    <w:p w14:paraId="21D695A4" w14:textId="77777777" w:rsidR="00594407" w:rsidRDefault="00594407" w:rsidP="00594407">
      <w:pPr>
        <w:pStyle w:val="ListParagraph"/>
        <w:tabs>
          <w:tab w:val="left" w:pos="720"/>
        </w:tabs>
        <w:ind w:left="1440"/>
        <w:jc w:val="both"/>
        <w:rPr>
          <w:rFonts w:ascii="Arial" w:eastAsia="Calibri" w:hAnsi="Arial" w:cs="Arial"/>
        </w:rPr>
      </w:pPr>
    </w:p>
    <w:p w14:paraId="6254DDFE" w14:textId="35ED6102" w:rsidR="00723ECA" w:rsidRDefault="00594407" w:rsidP="00552CA2">
      <w:pPr>
        <w:pStyle w:val="ListParagraph"/>
        <w:numPr>
          <w:ilvl w:val="0"/>
          <w:numId w:val="15"/>
        </w:numPr>
        <w:tabs>
          <w:tab w:val="left" w:pos="720"/>
        </w:tabs>
        <w:jc w:val="both"/>
        <w:rPr>
          <w:rFonts w:ascii="Arial" w:eastAsia="Calibri" w:hAnsi="Arial" w:cs="Arial"/>
        </w:rPr>
      </w:pPr>
      <w:r w:rsidRPr="00594407">
        <w:rPr>
          <w:rFonts w:ascii="Arial" w:eastAsia="Calibri" w:hAnsi="Arial" w:cs="Arial"/>
          <w:b/>
        </w:rPr>
        <w:t>Estimates of funding and expenditure</w:t>
      </w:r>
      <w:r>
        <w:rPr>
          <w:rFonts w:ascii="Arial" w:eastAsia="Calibri" w:hAnsi="Arial" w:cs="Arial"/>
        </w:rPr>
        <w:t xml:space="preserve">: prepared based on a budgeting framework, which reflects adherences to principles of sound public financial management. </w:t>
      </w:r>
    </w:p>
    <w:p w14:paraId="328F733F" w14:textId="77777777" w:rsidR="00930DAD" w:rsidRDefault="00930DAD" w:rsidP="00930DAD">
      <w:pPr>
        <w:pStyle w:val="ListParagraph"/>
        <w:tabs>
          <w:tab w:val="left" w:pos="720"/>
        </w:tabs>
        <w:ind w:left="0"/>
        <w:jc w:val="both"/>
        <w:rPr>
          <w:rFonts w:ascii="Arial" w:eastAsia="Calibri" w:hAnsi="Arial" w:cs="Arial"/>
        </w:rPr>
      </w:pPr>
    </w:p>
    <w:p w14:paraId="44450A9C" w14:textId="7671FF4B" w:rsidR="00930DAD" w:rsidRDefault="00930DAD" w:rsidP="00552CA2">
      <w:pPr>
        <w:pStyle w:val="ListParagraph"/>
        <w:numPr>
          <w:ilvl w:val="0"/>
          <w:numId w:val="4"/>
        </w:numPr>
        <w:tabs>
          <w:tab w:val="left" w:pos="720"/>
        </w:tabs>
        <w:ind w:left="0" w:firstLine="0"/>
        <w:jc w:val="both"/>
        <w:rPr>
          <w:rFonts w:ascii="Arial" w:eastAsia="Calibri" w:hAnsi="Arial" w:cs="Arial"/>
        </w:rPr>
      </w:pPr>
      <w:r>
        <w:rPr>
          <w:rFonts w:ascii="Arial" w:eastAsia="Calibri" w:hAnsi="Arial" w:cs="Arial"/>
        </w:rPr>
        <w:t xml:space="preserve">In compliance with Article 166 (4) and 168 (3), the </w:t>
      </w:r>
      <w:r w:rsidRPr="00930DAD">
        <w:rPr>
          <w:rFonts w:ascii="Arial" w:eastAsia="Calibri" w:hAnsi="Arial" w:cs="Arial"/>
        </w:rPr>
        <w:t xml:space="preserve">resources </w:t>
      </w:r>
      <w:r>
        <w:rPr>
          <w:rFonts w:ascii="Arial" w:eastAsia="Calibri" w:hAnsi="Arial" w:cs="Arial"/>
        </w:rPr>
        <w:t xml:space="preserve">towards </w:t>
      </w:r>
      <w:r w:rsidRPr="00930DAD">
        <w:rPr>
          <w:rFonts w:ascii="Arial" w:eastAsia="Calibri" w:hAnsi="Arial" w:cs="Arial"/>
        </w:rPr>
        <w:t xml:space="preserve">the </w:t>
      </w:r>
      <w:r w:rsidR="00C563F4">
        <w:rPr>
          <w:rFonts w:ascii="Arial" w:eastAsia="Calibri" w:hAnsi="Arial" w:cs="Arial"/>
        </w:rPr>
        <w:t>2020</w:t>
      </w:r>
      <w:r>
        <w:rPr>
          <w:rFonts w:ascii="Arial" w:eastAsia="Calibri" w:hAnsi="Arial" w:cs="Arial"/>
        </w:rPr>
        <w:t xml:space="preserve"> B</w:t>
      </w:r>
      <w:r w:rsidRPr="00930DAD">
        <w:rPr>
          <w:rFonts w:ascii="Arial" w:eastAsia="Calibri" w:hAnsi="Arial" w:cs="Arial"/>
        </w:rPr>
        <w:t xml:space="preserve">udget </w:t>
      </w:r>
      <w:r>
        <w:rPr>
          <w:rFonts w:ascii="Arial" w:eastAsia="Calibri" w:hAnsi="Arial" w:cs="Arial"/>
        </w:rPr>
        <w:t xml:space="preserve">Expenditure Estimates have been </w:t>
      </w:r>
      <w:r w:rsidRPr="00930DAD">
        <w:rPr>
          <w:rFonts w:ascii="Arial" w:eastAsia="Calibri" w:hAnsi="Arial" w:cs="Arial"/>
        </w:rPr>
        <w:t xml:space="preserve">derived from </w:t>
      </w:r>
      <w:r w:rsidR="00D063A1">
        <w:rPr>
          <w:rFonts w:ascii="Arial" w:eastAsia="Calibri" w:hAnsi="Arial" w:cs="Arial"/>
        </w:rPr>
        <w:t xml:space="preserve">assessed </w:t>
      </w:r>
      <w:r w:rsidRPr="00930DAD">
        <w:rPr>
          <w:rFonts w:ascii="Arial" w:eastAsia="Calibri" w:hAnsi="Arial" w:cs="Arial"/>
        </w:rPr>
        <w:t xml:space="preserve">annual contributions </w:t>
      </w:r>
      <w:r w:rsidR="00D063A1">
        <w:rPr>
          <w:rFonts w:ascii="Arial" w:eastAsia="Calibri" w:hAnsi="Arial" w:cs="Arial"/>
        </w:rPr>
        <w:t xml:space="preserve">from COMESA </w:t>
      </w:r>
      <w:r w:rsidRPr="00930DAD">
        <w:rPr>
          <w:rFonts w:ascii="Arial" w:eastAsia="Calibri" w:hAnsi="Arial" w:cs="Arial"/>
        </w:rPr>
        <w:t xml:space="preserve">Member States and </w:t>
      </w:r>
      <w:r w:rsidR="000E56FC">
        <w:rPr>
          <w:rFonts w:ascii="Arial" w:eastAsia="Calibri" w:hAnsi="Arial" w:cs="Arial"/>
        </w:rPr>
        <w:t xml:space="preserve">Grant </w:t>
      </w:r>
      <w:r>
        <w:rPr>
          <w:rFonts w:ascii="Arial" w:eastAsia="Calibri" w:hAnsi="Arial" w:cs="Arial"/>
        </w:rPr>
        <w:t>contributions from Cooperating Partners</w:t>
      </w:r>
      <w:r w:rsidRPr="00930DAD">
        <w:rPr>
          <w:rFonts w:ascii="Arial" w:eastAsia="Calibri" w:hAnsi="Arial" w:cs="Arial"/>
        </w:rPr>
        <w:t xml:space="preserve">. </w:t>
      </w:r>
    </w:p>
    <w:p w14:paraId="27B4CA88" w14:textId="77777777" w:rsidR="00930DAD" w:rsidRPr="00930DAD" w:rsidRDefault="00930DAD" w:rsidP="00930DAD">
      <w:pPr>
        <w:pStyle w:val="ListParagraph"/>
        <w:rPr>
          <w:rFonts w:ascii="Arial" w:eastAsia="Calibri" w:hAnsi="Arial" w:cs="Arial"/>
        </w:rPr>
      </w:pPr>
    </w:p>
    <w:p w14:paraId="5DCA7E4C" w14:textId="3A8E15E5" w:rsidR="00421B62" w:rsidRDefault="00930DAD" w:rsidP="00552CA2">
      <w:pPr>
        <w:pStyle w:val="ListParagraph"/>
        <w:numPr>
          <w:ilvl w:val="0"/>
          <w:numId w:val="4"/>
        </w:numPr>
        <w:tabs>
          <w:tab w:val="left" w:pos="720"/>
        </w:tabs>
        <w:ind w:left="0" w:firstLine="0"/>
        <w:jc w:val="both"/>
        <w:rPr>
          <w:rFonts w:ascii="Arial" w:eastAsia="Calibri" w:hAnsi="Arial" w:cs="Arial"/>
        </w:rPr>
      </w:pPr>
      <w:r w:rsidRPr="00930DAD">
        <w:rPr>
          <w:rFonts w:ascii="Arial" w:eastAsia="Calibri" w:hAnsi="Arial" w:cs="Arial"/>
        </w:rPr>
        <w:t xml:space="preserve">The </w:t>
      </w:r>
      <w:r w:rsidR="00D063A1">
        <w:rPr>
          <w:rFonts w:ascii="Arial" w:eastAsia="Calibri" w:hAnsi="Arial" w:cs="Arial"/>
        </w:rPr>
        <w:t xml:space="preserve">assessed </w:t>
      </w:r>
      <w:r w:rsidR="00A670F5">
        <w:rPr>
          <w:rFonts w:ascii="Arial" w:eastAsia="Calibri" w:hAnsi="Arial" w:cs="Arial"/>
        </w:rPr>
        <w:t xml:space="preserve">annual </w:t>
      </w:r>
      <w:r w:rsidRPr="00930DAD">
        <w:rPr>
          <w:rFonts w:ascii="Arial" w:eastAsia="Calibri" w:hAnsi="Arial" w:cs="Arial"/>
        </w:rPr>
        <w:t xml:space="preserve">contributions </w:t>
      </w:r>
      <w:r w:rsidR="00A670F5">
        <w:rPr>
          <w:rFonts w:ascii="Arial" w:eastAsia="Calibri" w:hAnsi="Arial" w:cs="Arial"/>
        </w:rPr>
        <w:t xml:space="preserve">from </w:t>
      </w:r>
      <w:r w:rsidRPr="00930DAD">
        <w:rPr>
          <w:rFonts w:ascii="Arial" w:eastAsia="Calibri" w:hAnsi="Arial" w:cs="Arial"/>
        </w:rPr>
        <w:t xml:space="preserve">Member States are </w:t>
      </w:r>
      <w:r>
        <w:rPr>
          <w:rFonts w:ascii="Arial" w:eastAsia="Calibri" w:hAnsi="Arial" w:cs="Arial"/>
        </w:rPr>
        <w:t xml:space="preserve">distributed </w:t>
      </w:r>
      <w:r w:rsidR="00A670F5">
        <w:rPr>
          <w:rFonts w:ascii="Arial" w:eastAsia="Calibri" w:hAnsi="Arial" w:cs="Arial"/>
        </w:rPr>
        <w:t xml:space="preserve">among Member States, </w:t>
      </w:r>
      <w:r w:rsidRPr="00930DAD">
        <w:rPr>
          <w:rFonts w:ascii="Arial" w:eastAsia="Calibri" w:hAnsi="Arial" w:cs="Arial"/>
        </w:rPr>
        <w:t>based on budget ratios</w:t>
      </w:r>
      <w:r w:rsidR="00D063A1">
        <w:rPr>
          <w:rFonts w:ascii="Arial" w:eastAsia="Calibri" w:hAnsi="Arial" w:cs="Arial"/>
        </w:rPr>
        <w:t>, which are determined based approved on parameters.</w:t>
      </w:r>
    </w:p>
    <w:p w14:paraId="3C5C20F8" w14:textId="77777777" w:rsidR="00930DAD" w:rsidRPr="00930DAD" w:rsidRDefault="00930DAD" w:rsidP="00930DAD">
      <w:pPr>
        <w:pStyle w:val="ListParagraph"/>
        <w:rPr>
          <w:rFonts w:ascii="Arial" w:eastAsia="Calibri" w:hAnsi="Arial" w:cs="Arial"/>
        </w:rPr>
      </w:pPr>
    </w:p>
    <w:p w14:paraId="3569B17F" w14:textId="77777777" w:rsidR="00F33D2C" w:rsidRPr="0009691A" w:rsidRDefault="00A670F5" w:rsidP="00552CA2">
      <w:pPr>
        <w:pStyle w:val="ListParagraph"/>
        <w:numPr>
          <w:ilvl w:val="0"/>
          <w:numId w:val="4"/>
        </w:numPr>
        <w:tabs>
          <w:tab w:val="left" w:pos="720"/>
        </w:tabs>
        <w:ind w:left="0" w:firstLine="0"/>
        <w:jc w:val="both"/>
        <w:rPr>
          <w:rFonts w:ascii="Arial" w:eastAsia="Calibri" w:hAnsi="Arial" w:cs="Arial"/>
        </w:rPr>
      </w:pPr>
      <w:r>
        <w:rPr>
          <w:rFonts w:ascii="Arial" w:eastAsia="Calibri" w:hAnsi="Arial" w:cs="Arial"/>
        </w:rPr>
        <w:t xml:space="preserve">The </w:t>
      </w:r>
      <w:r w:rsidR="00C563F4">
        <w:rPr>
          <w:rFonts w:ascii="Arial" w:eastAsia="Calibri" w:hAnsi="Arial" w:cs="Arial"/>
        </w:rPr>
        <w:t>2020</w:t>
      </w:r>
      <w:r>
        <w:rPr>
          <w:rFonts w:ascii="Arial" w:eastAsia="Calibri" w:hAnsi="Arial" w:cs="Arial"/>
        </w:rPr>
        <w:t xml:space="preserve"> Budget Estimates</w:t>
      </w:r>
      <w:r w:rsidR="00F92780">
        <w:rPr>
          <w:rFonts w:ascii="Arial" w:eastAsia="Calibri" w:hAnsi="Arial" w:cs="Arial"/>
        </w:rPr>
        <w:t xml:space="preserve">, </w:t>
      </w:r>
      <w:r>
        <w:rPr>
          <w:rFonts w:ascii="Arial" w:eastAsia="Calibri" w:hAnsi="Arial" w:cs="Arial"/>
        </w:rPr>
        <w:t>being submitted are as follows: -</w:t>
      </w:r>
    </w:p>
    <w:p w14:paraId="32CB2217" w14:textId="77777777" w:rsidR="00421B62" w:rsidRDefault="00421B62" w:rsidP="00421B62">
      <w:pPr>
        <w:pStyle w:val="ListParagraph"/>
        <w:tabs>
          <w:tab w:val="left" w:pos="720"/>
        </w:tabs>
        <w:ind w:left="0"/>
        <w:jc w:val="both"/>
        <w:rPr>
          <w:rFonts w:ascii="Arial" w:eastAsia="Calibri" w:hAnsi="Arial" w:cs="Arial"/>
        </w:rPr>
      </w:pPr>
    </w:p>
    <w:p w14:paraId="35E794BD" w14:textId="77777777" w:rsidR="00F92780" w:rsidRPr="0077521D" w:rsidRDefault="00F92780" w:rsidP="00750A2F">
      <w:pPr>
        <w:pStyle w:val="ListParagraph"/>
        <w:tabs>
          <w:tab w:val="left" w:pos="720"/>
        </w:tabs>
        <w:jc w:val="both"/>
        <w:rPr>
          <w:rFonts w:ascii="Arial" w:eastAsia="Calibri" w:hAnsi="Arial" w:cs="Arial"/>
          <w:b/>
        </w:rPr>
      </w:pPr>
      <w:r w:rsidRPr="00F92780">
        <w:rPr>
          <w:rFonts w:ascii="Arial" w:eastAsia="Calibri" w:hAnsi="Arial" w:cs="Arial"/>
          <w:b/>
        </w:rPr>
        <w:t>Funding</w:t>
      </w:r>
      <w:r w:rsidR="00750A2F">
        <w:rPr>
          <w:rFonts w:ascii="Arial" w:eastAsia="Calibri" w:hAnsi="Arial" w:cs="Arial"/>
          <w:b/>
        </w:rPr>
        <w:t xml:space="preserve">: </w:t>
      </w:r>
      <w:r w:rsidR="00750A2F" w:rsidRPr="00750A2F">
        <w:rPr>
          <w:rFonts w:ascii="Arial" w:eastAsia="Calibri" w:hAnsi="Arial" w:cs="Arial"/>
        </w:rPr>
        <w:t>Tota</w:t>
      </w:r>
      <w:r w:rsidR="00750A2F">
        <w:rPr>
          <w:rFonts w:ascii="Arial" w:eastAsia="Calibri" w:hAnsi="Arial" w:cs="Arial"/>
        </w:rPr>
        <w:t xml:space="preserve">l resources in </w:t>
      </w:r>
      <w:r w:rsidR="00C563F4">
        <w:rPr>
          <w:rFonts w:ascii="Arial" w:eastAsia="Calibri" w:hAnsi="Arial" w:cs="Arial"/>
        </w:rPr>
        <w:t>2020</w:t>
      </w:r>
      <w:r w:rsidR="00750A2F">
        <w:rPr>
          <w:rFonts w:ascii="Arial" w:eastAsia="Calibri" w:hAnsi="Arial" w:cs="Arial"/>
        </w:rPr>
        <w:t xml:space="preserve"> are projected to </w:t>
      </w:r>
      <w:r w:rsidR="00604D42">
        <w:rPr>
          <w:rFonts w:ascii="Arial" w:eastAsia="Calibri" w:hAnsi="Arial" w:cs="Arial"/>
        </w:rPr>
        <w:t>de</w:t>
      </w:r>
      <w:r w:rsidR="00750A2F">
        <w:rPr>
          <w:rFonts w:ascii="Arial" w:eastAsia="Calibri" w:hAnsi="Arial" w:cs="Arial"/>
        </w:rPr>
        <w:t>crease to US$6</w:t>
      </w:r>
      <w:r w:rsidR="00604D42">
        <w:rPr>
          <w:rFonts w:ascii="Arial" w:eastAsia="Calibri" w:hAnsi="Arial" w:cs="Arial"/>
        </w:rPr>
        <w:t>7</w:t>
      </w:r>
      <w:r w:rsidR="00750A2F">
        <w:rPr>
          <w:rFonts w:ascii="Arial" w:eastAsia="Calibri" w:hAnsi="Arial" w:cs="Arial"/>
        </w:rPr>
        <w:t>,</w:t>
      </w:r>
      <w:r w:rsidR="00604D42">
        <w:rPr>
          <w:rFonts w:ascii="Arial" w:eastAsia="Calibri" w:hAnsi="Arial" w:cs="Arial"/>
        </w:rPr>
        <w:t>766,052</w:t>
      </w:r>
      <w:r w:rsidR="00750A2F">
        <w:rPr>
          <w:rFonts w:ascii="Arial" w:eastAsia="Calibri" w:hAnsi="Arial" w:cs="Arial"/>
        </w:rPr>
        <w:t xml:space="preserve"> </w:t>
      </w:r>
      <w:r w:rsidR="00750A2F" w:rsidRPr="0077521D">
        <w:rPr>
          <w:rFonts w:ascii="Arial" w:eastAsia="Calibri" w:hAnsi="Arial" w:cs="Arial"/>
          <w:i/>
        </w:rPr>
        <w:t>(</w:t>
      </w:r>
      <w:r w:rsidR="00C563F4" w:rsidRPr="0077521D">
        <w:rPr>
          <w:rFonts w:ascii="Arial" w:eastAsia="Calibri" w:hAnsi="Arial" w:cs="Arial"/>
          <w:i/>
        </w:rPr>
        <w:t>2019</w:t>
      </w:r>
      <w:r w:rsidR="00750A2F" w:rsidRPr="0077521D">
        <w:rPr>
          <w:rFonts w:ascii="Arial" w:eastAsia="Calibri" w:hAnsi="Arial" w:cs="Arial"/>
          <w:i/>
        </w:rPr>
        <w:t>:US$</w:t>
      </w:r>
      <w:r w:rsidR="00604D42" w:rsidRPr="0077521D">
        <w:rPr>
          <w:rFonts w:ascii="Arial" w:eastAsia="Calibri" w:hAnsi="Arial" w:cs="Arial"/>
          <w:i/>
        </w:rPr>
        <w:t>70,045,968</w:t>
      </w:r>
      <w:r w:rsidR="00750A2F" w:rsidRPr="0077521D">
        <w:rPr>
          <w:rFonts w:ascii="Arial" w:eastAsia="Calibri" w:hAnsi="Arial" w:cs="Arial"/>
          <w:i/>
        </w:rPr>
        <w:t xml:space="preserve">), </w:t>
      </w:r>
      <w:r w:rsidR="00604D42" w:rsidRPr="0077521D">
        <w:rPr>
          <w:rFonts w:ascii="Arial" w:eastAsia="Calibri" w:hAnsi="Arial" w:cs="Arial"/>
          <w:i/>
        </w:rPr>
        <w:t>a reduction 3%</w:t>
      </w:r>
      <w:r w:rsidR="00750A2F" w:rsidRPr="0077521D">
        <w:rPr>
          <w:rFonts w:ascii="Arial" w:eastAsia="Calibri" w:hAnsi="Arial" w:cs="Arial"/>
        </w:rPr>
        <w:t xml:space="preserve">. </w:t>
      </w:r>
    </w:p>
    <w:p w14:paraId="1041DBF9" w14:textId="77777777" w:rsidR="00F92780" w:rsidRPr="0077521D" w:rsidRDefault="00F92780" w:rsidP="00421B62">
      <w:pPr>
        <w:pStyle w:val="ListParagraph"/>
        <w:tabs>
          <w:tab w:val="left" w:pos="720"/>
        </w:tabs>
        <w:ind w:left="0"/>
        <w:jc w:val="both"/>
        <w:rPr>
          <w:rFonts w:ascii="Arial" w:eastAsia="Calibri" w:hAnsi="Arial" w:cs="Arial"/>
          <w:b/>
        </w:rPr>
      </w:pPr>
      <w:r w:rsidRPr="0077521D">
        <w:rPr>
          <w:rFonts w:ascii="Arial" w:eastAsia="Calibri" w:hAnsi="Arial" w:cs="Arial"/>
          <w:b/>
        </w:rPr>
        <w:tab/>
      </w:r>
      <w:r w:rsidRPr="0077521D">
        <w:rPr>
          <w:rFonts w:ascii="Arial" w:eastAsia="Calibri" w:hAnsi="Arial" w:cs="Arial"/>
          <w:b/>
        </w:rPr>
        <w:tab/>
      </w:r>
    </w:p>
    <w:p w14:paraId="49A0939B" w14:textId="01024D4E" w:rsidR="00F92780" w:rsidRDefault="00723ECA" w:rsidP="00552CA2">
      <w:pPr>
        <w:pStyle w:val="ListParagraph"/>
        <w:numPr>
          <w:ilvl w:val="0"/>
          <w:numId w:val="12"/>
        </w:numPr>
        <w:tabs>
          <w:tab w:val="left" w:pos="720"/>
        </w:tabs>
        <w:jc w:val="both"/>
        <w:rPr>
          <w:rFonts w:ascii="Arial" w:eastAsia="Calibri" w:hAnsi="Arial" w:cs="Arial"/>
        </w:rPr>
      </w:pPr>
      <w:r>
        <w:rPr>
          <w:rFonts w:ascii="Arial" w:eastAsia="Calibri" w:hAnsi="Arial" w:cs="Arial"/>
        </w:rPr>
        <w:t>Funding i</w:t>
      </w:r>
      <w:r w:rsidR="00F92780" w:rsidRPr="0077521D">
        <w:rPr>
          <w:rFonts w:ascii="Arial" w:eastAsia="Calibri" w:hAnsi="Arial" w:cs="Arial"/>
        </w:rPr>
        <w:t>nflows from Member States</w:t>
      </w:r>
      <w:r>
        <w:rPr>
          <w:rFonts w:ascii="Arial" w:eastAsia="Calibri" w:hAnsi="Arial" w:cs="Arial"/>
        </w:rPr>
        <w:t xml:space="preserve">, which are implemented by COMESA Secretariat; Competition Commission; Federation of National Associations of Women in Business in Eastern and Southern Africa; and Regional Investment Agency </w:t>
      </w:r>
      <w:r w:rsidR="00F92780" w:rsidRPr="0077521D">
        <w:rPr>
          <w:rFonts w:ascii="Arial" w:eastAsia="Calibri" w:hAnsi="Arial" w:cs="Arial"/>
        </w:rPr>
        <w:t xml:space="preserve">are projected to </w:t>
      </w:r>
      <w:r>
        <w:rPr>
          <w:rFonts w:ascii="Arial" w:eastAsia="Calibri" w:hAnsi="Arial" w:cs="Arial"/>
        </w:rPr>
        <w:t xml:space="preserve">increase </w:t>
      </w:r>
      <w:r w:rsidR="00F92780" w:rsidRPr="0077521D">
        <w:rPr>
          <w:rFonts w:ascii="Arial" w:eastAsia="Calibri" w:hAnsi="Arial" w:cs="Arial"/>
        </w:rPr>
        <w:t xml:space="preserve">from </w:t>
      </w:r>
      <w:r>
        <w:rPr>
          <w:rFonts w:ascii="Arial" w:eastAsia="Calibri" w:hAnsi="Arial" w:cs="Arial"/>
        </w:rPr>
        <w:t xml:space="preserve">a total of </w:t>
      </w:r>
      <w:r w:rsidR="00F92780" w:rsidRPr="00723ECA">
        <w:rPr>
          <w:rFonts w:ascii="Arial" w:eastAsia="Calibri" w:hAnsi="Arial" w:cs="Arial"/>
          <w:b/>
          <w:u w:val="single"/>
        </w:rPr>
        <w:t>US$</w:t>
      </w:r>
      <w:r w:rsidR="0029530A" w:rsidRPr="00723ECA">
        <w:rPr>
          <w:rFonts w:ascii="Arial" w:eastAsia="Calibri" w:hAnsi="Arial" w:cs="Arial"/>
          <w:b/>
          <w:u w:val="single"/>
        </w:rPr>
        <w:t>17</w:t>
      </w:r>
      <w:r w:rsidR="00F92780" w:rsidRPr="00723ECA">
        <w:rPr>
          <w:rFonts w:ascii="Arial" w:eastAsia="Calibri" w:hAnsi="Arial" w:cs="Arial"/>
          <w:b/>
          <w:u w:val="single"/>
        </w:rPr>
        <w:t>,</w:t>
      </w:r>
      <w:r w:rsidR="00604D42" w:rsidRPr="00723ECA">
        <w:rPr>
          <w:rFonts w:ascii="Arial" w:eastAsia="Calibri" w:hAnsi="Arial" w:cs="Arial"/>
          <w:b/>
          <w:u w:val="single"/>
        </w:rPr>
        <w:t>882,443</w:t>
      </w:r>
      <w:r w:rsidR="00604D42" w:rsidRPr="0077521D">
        <w:rPr>
          <w:rFonts w:ascii="Arial" w:eastAsia="Calibri" w:hAnsi="Arial" w:cs="Arial"/>
        </w:rPr>
        <w:t xml:space="preserve"> </w:t>
      </w:r>
      <w:r w:rsidR="00F92780" w:rsidRPr="0077521D">
        <w:rPr>
          <w:rFonts w:ascii="Arial" w:eastAsia="Calibri" w:hAnsi="Arial" w:cs="Arial"/>
        </w:rPr>
        <w:t xml:space="preserve">in </w:t>
      </w:r>
      <w:r w:rsidR="00C563F4" w:rsidRPr="0077521D">
        <w:rPr>
          <w:rFonts w:ascii="Arial" w:eastAsia="Calibri" w:hAnsi="Arial" w:cs="Arial"/>
        </w:rPr>
        <w:t>2019</w:t>
      </w:r>
      <w:r w:rsidR="00F92780" w:rsidRPr="0077521D">
        <w:rPr>
          <w:rFonts w:ascii="Arial" w:eastAsia="Calibri" w:hAnsi="Arial" w:cs="Arial"/>
        </w:rPr>
        <w:t xml:space="preserve"> to</w:t>
      </w:r>
      <w:r w:rsidR="00604D42" w:rsidRPr="0077521D">
        <w:rPr>
          <w:rFonts w:ascii="Arial" w:eastAsia="Calibri" w:hAnsi="Arial" w:cs="Arial"/>
        </w:rPr>
        <w:t xml:space="preserve"> </w:t>
      </w:r>
      <w:r w:rsidR="00604D42" w:rsidRPr="00723ECA">
        <w:rPr>
          <w:rFonts w:ascii="Arial" w:eastAsia="Calibri" w:hAnsi="Arial" w:cs="Arial"/>
          <w:b/>
          <w:u w:val="single"/>
        </w:rPr>
        <w:t>US$18,</w:t>
      </w:r>
      <w:r w:rsidR="00A475DF" w:rsidRPr="00723ECA">
        <w:rPr>
          <w:rFonts w:ascii="Arial" w:eastAsia="Calibri" w:hAnsi="Arial" w:cs="Arial"/>
          <w:b/>
          <w:u w:val="single"/>
        </w:rPr>
        <w:t>299</w:t>
      </w:r>
      <w:r w:rsidR="00604D42" w:rsidRPr="00723ECA">
        <w:rPr>
          <w:rFonts w:ascii="Arial" w:eastAsia="Calibri" w:hAnsi="Arial" w:cs="Arial"/>
          <w:b/>
          <w:u w:val="single"/>
        </w:rPr>
        <w:t>,</w:t>
      </w:r>
      <w:r w:rsidR="00A475DF" w:rsidRPr="00723ECA">
        <w:rPr>
          <w:rFonts w:ascii="Arial" w:eastAsia="Calibri" w:hAnsi="Arial" w:cs="Arial"/>
          <w:b/>
          <w:u w:val="single"/>
        </w:rPr>
        <w:t>235</w:t>
      </w:r>
      <w:r w:rsidR="00604D42" w:rsidRPr="00723ECA">
        <w:rPr>
          <w:rFonts w:ascii="Arial" w:eastAsia="Calibri" w:hAnsi="Arial" w:cs="Arial"/>
          <w:b/>
          <w:u w:val="single"/>
        </w:rPr>
        <w:t xml:space="preserve"> </w:t>
      </w:r>
      <w:r w:rsidR="00F92780" w:rsidRPr="00723ECA">
        <w:rPr>
          <w:rFonts w:ascii="Arial" w:eastAsia="Calibri" w:hAnsi="Arial" w:cs="Arial"/>
          <w:b/>
          <w:u w:val="single"/>
        </w:rPr>
        <w:t xml:space="preserve">in </w:t>
      </w:r>
      <w:r w:rsidR="00C563F4" w:rsidRPr="00723ECA">
        <w:rPr>
          <w:rFonts w:ascii="Arial" w:eastAsia="Calibri" w:hAnsi="Arial" w:cs="Arial"/>
          <w:b/>
          <w:u w:val="single"/>
        </w:rPr>
        <w:t>2020</w:t>
      </w:r>
      <w:r w:rsidR="00F92780" w:rsidRPr="0077521D">
        <w:rPr>
          <w:rFonts w:ascii="Arial" w:eastAsia="Calibri" w:hAnsi="Arial" w:cs="Arial"/>
        </w:rPr>
        <w:t xml:space="preserve">, </w:t>
      </w:r>
      <w:r w:rsidR="00A475DF">
        <w:rPr>
          <w:rFonts w:ascii="Arial" w:eastAsia="Calibri" w:hAnsi="Arial" w:cs="Arial"/>
        </w:rPr>
        <w:t xml:space="preserve">an increase </w:t>
      </w:r>
      <w:r w:rsidR="00F92780" w:rsidRPr="0077521D">
        <w:rPr>
          <w:rFonts w:ascii="Arial" w:eastAsia="Calibri" w:hAnsi="Arial" w:cs="Arial"/>
        </w:rPr>
        <w:t xml:space="preserve">of </w:t>
      </w:r>
      <w:r w:rsidR="00A475DF">
        <w:rPr>
          <w:rFonts w:ascii="Arial" w:eastAsia="Calibri" w:hAnsi="Arial" w:cs="Arial"/>
        </w:rPr>
        <w:t>2</w:t>
      </w:r>
      <w:r w:rsidR="0029530A" w:rsidRPr="0077521D">
        <w:rPr>
          <w:rFonts w:ascii="Arial" w:eastAsia="Calibri" w:hAnsi="Arial" w:cs="Arial"/>
        </w:rPr>
        <w:t xml:space="preserve">%, </w:t>
      </w:r>
      <w:r>
        <w:rPr>
          <w:rFonts w:ascii="Arial" w:eastAsia="Calibri" w:hAnsi="Arial" w:cs="Arial"/>
        </w:rPr>
        <w:t xml:space="preserve">as shown </w:t>
      </w:r>
      <w:r w:rsidR="0018592C">
        <w:rPr>
          <w:rFonts w:ascii="Arial" w:eastAsia="Calibri" w:hAnsi="Arial" w:cs="Arial"/>
        </w:rPr>
        <w:t xml:space="preserve">in Table 1 </w:t>
      </w:r>
      <w:r>
        <w:rPr>
          <w:rFonts w:ascii="Arial" w:eastAsia="Calibri" w:hAnsi="Arial" w:cs="Arial"/>
        </w:rPr>
        <w:t>below</w:t>
      </w:r>
      <w:r w:rsidR="0029530A" w:rsidRPr="0077521D">
        <w:rPr>
          <w:rFonts w:ascii="Arial" w:eastAsia="Calibri" w:hAnsi="Arial" w:cs="Arial"/>
        </w:rPr>
        <w:t>:</w:t>
      </w:r>
      <w:r>
        <w:rPr>
          <w:rFonts w:ascii="Arial" w:eastAsia="Calibri" w:hAnsi="Arial" w:cs="Arial"/>
        </w:rPr>
        <w:t xml:space="preserve"> -</w:t>
      </w:r>
      <w:r w:rsidR="0029530A" w:rsidRPr="0077521D">
        <w:rPr>
          <w:rFonts w:ascii="Arial" w:eastAsia="Calibri" w:hAnsi="Arial" w:cs="Arial"/>
        </w:rPr>
        <w:t xml:space="preserve"> </w:t>
      </w:r>
    </w:p>
    <w:p w14:paraId="5712A044" w14:textId="009B2CCB" w:rsidR="0018592C" w:rsidRDefault="0018592C" w:rsidP="0018592C">
      <w:pPr>
        <w:pStyle w:val="ListParagraph"/>
        <w:tabs>
          <w:tab w:val="left" w:pos="720"/>
        </w:tabs>
        <w:ind w:left="2160"/>
        <w:jc w:val="both"/>
        <w:rPr>
          <w:rFonts w:ascii="Arial" w:eastAsia="Calibri" w:hAnsi="Arial" w:cs="Arial"/>
        </w:rPr>
      </w:pPr>
    </w:p>
    <w:p w14:paraId="590A0576" w14:textId="7639A737" w:rsidR="00461A4E" w:rsidRPr="0018592C" w:rsidRDefault="0018592C" w:rsidP="0018592C">
      <w:pPr>
        <w:pStyle w:val="NoSpacing"/>
        <w:ind w:left="720"/>
        <w:rPr>
          <w:b/>
        </w:rPr>
      </w:pPr>
      <w:r>
        <w:rPr>
          <w:lang w:val="en-GB"/>
        </w:rPr>
        <w:tab/>
      </w:r>
      <w:r>
        <w:rPr>
          <w:lang w:val="en-GB"/>
        </w:rPr>
        <w:tab/>
      </w:r>
      <w:r w:rsidRPr="0018592C">
        <w:rPr>
          <w:b/>
          <w:lang w:val="en-GB"/>
        </w:rPr>
        <w:t xml:space="preserve">Table 1: </w:t>
      </w:r>
      <w:r>
        <w:rPr>
          <w:b/>
          <w:lang w:val="en-GB"/>
        </w:rPr>
        <w:t xml:space="preserve">2020 </w:t>
      </w:r>
      <w:r w:rsidRPr="0018592C">
        <w:rPr>
          <w:b/>
          <w:lang w:val="en-GB"/>
        </w:rPr>
        <w:t>Member States funding</w:t>
      </w:r>
      <w:r>
        <w:rPr>
          <w:b/>
          <w:lang w:val="en-GB"/>
        </w:rPr>
        <w:t xml:space="preserve"> (US$)</w:t>
      </w:r>
    </w:p>
    <w:p w14:paraId="304B8B55" w14:textId="4E3E0954" w:rsidR="0029530A" w:rsidRPr="0077521D" w:rsidRDefault="0029530A" w:rsidP="00461A4E">
      <w:pPr>
        <w:pStyle w:val="ListParagraph"/>
        <w:tabs>
          <w:tab w:val="left" w:pos="720"/>
        </w:tabs>
        <w:ind w:left="1440"/>
        <w:jc w:val="both"/>
        <w:rPr>
          <w:rFonts w:ascii="Arial" w:eastAsia="Calibri" w:hAnsi="Arial" w:cs="Arial"/>
        </w:rPr>
      </w:pPr>
      <w:r w:rsidRPr="0077521D">
        <w:rPr>
          <w:rFonts w:ascii="Arial" w:eastAsia="Calibri" w:hAnsi="Arial" w:cs="Arial"/>
        </w:rPr>
        <w:tab/>
      </w:r>
      <w:r w:rsidRPr="0077521D">
        <w:rPr>
          <w:rFonts w:ascii="Arial" w:eastAsia="Calibri" w:hAnsi="Arial" w:cs="Arial"/>
        </w:rPr>
        <w:tab/>
      </w:r>
      <w:r w:rsidR="00723ECA">
        <w:rPr>
          <w:rFonts w:ascii="Arial" w:eastAsia="Calibri" w:hAnsi="Arial" w:cs="Arial"/>
        </w:rPr>
        <w:object w:dxaOrig="5978" w:dyaOrig="2644" w14:anchorId="3CF8C3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1pt;height:132pt" o:ole="">
            <v:imagedata r:id="rId13" o:title=""/>
          </v:shape>
          <o:OLEObject Type="Embed" ProgID="Excel.Sheet.12" ShapeID="_x0000_i1025" DrawAspect="Content" ObjectID="_1633623872" r:id="rId14"/>
        </w:object>
      </w:r>
    </w:p>
    <w:p w14:paraId="4BA0E87C" w14:textId="77777777" w:rsidR="0029530A" w:rsidRPr="0077521D" w:rsidRDefault="0029530A" w:rsidP="00421B62">
      <w:pPr>
        <w:pStyle w:val="ListParagraph"/>
        <w:tabs>
          <w:tab w:val="left" w:pos="720"/>
        </w:tabs>
        <w:ind w:left="0"/>
        <w:jc w:val="both"/>
        <w:rPr>
          <w:rFonts w:ascii="Arial" w:eastAsia="Calibri" w:hAnsi="Arial" w:cs="Arial"/>
        </w:rPr>
      </w:pPr>
    </w:p>
    <w:p w14:paraId="7703BCBA" w14:textId="4AA757F2" w:rsidR="008172F0" w:rsidRDefault="00723ECA" w:rsidP="00552CA2">
      <w:pPr>
        <w:pStyle w:val="ListParagraph"/>
        <w:numPr>
          <w:ilvl w:val="0"/>
          <w:numId w:val="12"/>
        </w:numPr>
        <w:tabs>
          <w:tab w:val="left" w:pos="720"/>
        </w:tabs>
        <w:jc w:val="both"/>
        <w:rPr>
          <w:rFonts w:ascii="Arial" w:eastAsia="Calibri" w:hAnsi="Arial" w:cs="Arial"/>
        </w:rPr>
      </w:pPr>
      <w:r>
        <w:rPr>
          <w:rFonts w:ascii="Arial" w:eastAsia="Calibri" w:hAnsi="Arial" w:cs="Arial"/>
        </w:rPr>
        <w:t>Funding i</w:t>
      </w:r>
      <w:r w:rsidR="008172F0" w:rsidRPr="0077521D">
        <w:rPr>
          <w:rFonts w:ascii="Arial" w:eastAsia="Calibri" w:hAnsi="Arial" w:cs="Arial"/>
        </w:rPr>
        <w:t>nflows from Cooperating Partners are projected to increase from US$</w:t>
      </w:r>
      <w:r w:rsidR="00604D42" w:rsidRPr="0077521D">
        <w:rPr>
          <w:rFonts w:ascii="Arial" w:eastAsia="Calibri" w:hAnsi="Arial" w:cs="Arial"/>
        </w:rPr>
        <w:t xml:space="preserve">52,163,525 </w:t>
      </w:r>
      <w:r w:rsidR="008172F0" w:rsidRPr="0077521D">
        <w:rPr>
          <w:rFonts w:ascii="Arial" w:eastAsia="Calibri" w:hAnsi="Arial" w:cs="Arial"/>
        </w:rPr>
        <w:t xml:space="preserve">in </w:t>
      </w:r>
      <w:r w:rsidR="00C563F4" w:rsidRPr="0077521D">
        <w:rPr>
          <w:rFonts w:ascii="Arial" w:eastAsia="Calibri" w:hAnsi="Arial" w:cs="Arial"/>
        </w:rPr>
        <w:t>2019</w:t>
      </w:r>
      <w:r w:rsidR="008172F0" w:rsidRPr="0077521D">
        <w:rPr>
          <w:rFonts w:ascii="Arial" w:eastAsia="Calibri" w:hAnsi="Arial" w:cs="Arial"/>
        </w:rPr>
        <w:t xml:space="preserve"> to US$41,</w:t>
      </w:r>
      <w:r w:rsidR="00604D42" w:rsidRPr="0077521D">
        <w:rPr>
          <w:rFonts w:ascii="Arial" w:eastAsia="Calibri" w:hAnsi="Arial" w:cs="Arial"/>
        </w:rPr>
        <w:t xml:space="preserve">214,943 </w:t>
      </w:r>
      <w:r w:rsidR="008172F0" w:rsidRPr="0077521D">
        <w:rPr>
          <w:rFonts w:ascii="Arial" w:eastAsia="Calibri" w:hAnsi="Arial" w:cs="Arial"/>
        </w:rPr>
        <w:t xml:space="preserve">in </w:t>
      </w:r>
      <w:r w:rsidR="00C563F4" w:rsidRPr="0077521D">
        <w:rPr>
          <w:rFonts w:ascii="Arial" w:eastAsia="Calibri" w:hAnsi="Arial" w:cs="Arial"/>
        </w:rPr>
        <w:t>2020</w:t>
      </w:r>
      <w:r w:rsidR="008172F0" w:rsidRPr="0077521D">
        <w:rPr>
          <w:rFonts w:ascii="Arial" w:eastAsia="Calibri" w:hAnsi="Arial" w:cs="Arial"/>
        </w:rPr>
        <w:t>, a</w:t>
      </w:r>
      <w:r w:rsidR="00604D42" w:rsidRPr="0077521D">
        <w:rPr>
          <w:rFonts w:ascii="Arial" w:eastAsia="Calibri" w:hAnsi="Arial" w:cs="Arial"/>
        </w:rPr>
        <w:t xml:space="preserve"> reduction of 21% </w:t>
      </w:r>
      <w:r w:rsidR="008172F0" w:rsidRPr="0077521D">
        <w:rPr>
          <w:rFonts w:ascii="Arial" w:eastAsia="Calibri" w:hAnsi="Arial" w:cs="Arial"/>
        </w:rPr>
        <w:t xml:space="preserve">attributed to </w:t>
      </w:r>
      <w:r w:rsidR="00604D42" w:rsidRPr="0077521D">
        <w:rPr>
          <w:rFonts w:ascii="Arial" w:eastAsia="Calibri" w:hAnsi="Arial" w:cs="Arial"/>
        </w:rPr>
        <w:t>coming to an end of large grant</w:t>
      </w:r>
      <w:r w:rsidR="00594407">
        <w:rPr>
          <w:rFonts w:ascii="Arial" w:eastAsia="Calibri" w:hAnsi="Arial" w:cs="Arial"/>
        </w:rPr>
        <w:t xml:space="preserve"> contracts, which enabled COMESA to disburse cash to Member States. </w:t>
      </w:r>
      <w:r w:rsidR="0018592C">
        <w:rPr>
          <w:rFonts w:ascii="Arial" w:eastAsia="Calibri" w:hAnsi="Arial" w:cs="Arial"/>
        </w:rPr>
        <w:t xml:space="preserve"> Table 2 below indicates projected grants funding in 2020: -</w:t>
      </w:r>
    </w:p>
    <w:p w14:paraId="10CC938E" w14:textId="13456AE8" w:rsidR="0018592C" w:rsidRDefault="0018592C" w:rsidP="0018592C">
      <w:pPr>
        <w:pStyle w:val="ListParagraph"/>
        <w:tabs>
          <w:tab w:val="left" w:pos="720"/>
        </w:tabs>
        <w:ind w:left="2160"/>
        <w:jc w:val="both"/>
        <w:rPr>
          <w:rFonts w:ascii="Arial" w:eastAsia="Calibri" w:hAnsi="Arial" w:cs="Arial"/>
        </w:rPr>
      </w:pPr>
    </w:p>
    <w:p w14:paraId="518666CC" w14:textId="77777777" w:rsidR="0018592C" w:rsidRDefault="0018592C" w:rsidP="0018592C">
      <w:pPr>
        <w:pStyle w:val="NoSpacing"/>
        <w:ind w:left="1440" w:firstLine="720"/>
        <w:rPr>
          <w:b/>
          <w:lang w:val="en-GB"/>
        </w:rPr>
        <w:sectPr w:rsidR="0018592C" w:rsidSect="00E51962">
          <w:headerReference w:type="default" r:id="rId15"/>
          <w:pgSz w:w="11906" w:h="16838"/>
          <w:pgMar w:top="1440" w:right="1440" w:bottom="1440" w:left="450" w:header="708" w:footer="708" w:gutter="0"/>
          <w:cols w:space="708"/>
          <w:docGrid w:linePitch="360"/>
        </w:sectPr>
      </w:pPr>
    </w:p>
    <w:p w14:paraId="2F1ED40D" w14:textId="45450791" w:rsidR="00723ECA" w:rsidRDefault="0018592C" w:rsidP="0018592C">
      <w:pPr>
        <w:pStyle w:val="NoSpacing"/>
        <w:ind w:left="1440" w:firstLine="720"/>
      </w:pPr>
      <w:r w:rsidRPr="0018592C">
        <w:rPr>
          <w:b/>
          <w:lang w:val="en-GB"/>
        </w:rPr>
        <w:lastRenderedPageBreak/>
        <w:t>Table 2: 2020 projected grant</w:t>
      </w:r>
      <w:r>
        <w:rPr>
          <w:b/>
          <w:lang w:val="en-GB"/>
        </w:rPr>
        <w:t xml:space="preserve">s </w:t>
      </w:r>
      <w:r w:rsidRPr="0018592C">
        <w:rPr>
          <w:b/>
          <w:lang w:val="en-GB"/>
        </w:rPr>
        <w:t>funding</w:t>
      </w:r>
    </w:p>
    <w:p w14:paraId="0DDF48DF" w14:textId="0F25D9A4" w:rsidR="00723ECA" w:rsidRPr="0077521D" w:rsidRDefault="00723ECA" w:rsidP="00723ECA">
      <w:pPr>
        <w:pStyle w:val="ListParagraph"/>
        <w:tabs>
          <w:tab w:val="left" w:pos="720"/>
        </w:tabs>
        <w:ind w:left="2160"/>
        <w:jc w:val="both"/>
        <w:rPr>
          <w:rFonts w:ascii="Arial" w:eastAsia="Calibri" w:hAnsi="Arial" w:cs="Arial"/>
        </w:rPr>
      </w:pPr>
      <w:r>
        <w:rPr>
          <w:rFonts w:ascii="Arial" w:eastAsia="Calibri" w:hAnsi="Arial" w:cs="Arial"/>
        </w:rPr>
        <w:object w:dxaOrig="7068" w:dyaOrig="3537" w14:anchorId="3A1B11DD">
          <v:shape id="_x0000_i1026" type="#_x0000_t75" style="width:353.55pt;height:177.25pt" o:ole="">
            <v:imagedata r:id="rId16" o:title=""/>
          </v:shape>
          <o:OLEObject Type="Embed" ProgID="Excel.Sheet.12" ShapeID="_x0000_i1026" DrawAspect="Content" ObjectID="_1633623873" r:id="rId17"/>
        </w:object>
      </w:r>
    </w:p>
    <w:p w14:paraId="656C2A0C" w14:textId="77777777" w:rsidR="0029530A" w:rsidRPr="0077521D" w:rsidRDefault="0029530A" w:rsidP="00421B62">
      <w:pPr>
        <w:pStyle w:val="ListParagraph"/>
        <w:tabs>
          <w:tab w:val="left" w:pos="720"/>
        </w:tabs>
        <w:ind w:left="0"/>
        <w:jc w:val="both"/>
        <w:rPr>
          <w:rFonts w:ascii="Arial" w:eastAsia="Calibri" w:hAnsi="Arial" w:cs="Arial"/>
        </w:rPr>
      </w:pPr>
    </w:p>
    <w:p w14:paraId="0195FF95" w14:textId="5225935D" w:rsidR="00F92780" w:rsidRDefault="00594407" w:rsidP="00594407">
      <w:pPr>
        <w:tabs>
          <w:tab w:val="left" w:pos="720"/>
        </w:tabs>
        <w:ind w:left="720"/>
        <w:jc w:val="both"/>
        <w:rPr>
          <w:rFonts w:ascii="Arial" w:eastAsia="Calibri" w:hAnsi="Arial" w:cs="Arial"/>
        </w:rPr>
      </w:pPr>
      <w:r>
        <w:rPr>
          <w:rFonts w:ascii="Arial" w:eastAsia="Calibri" w:hAnsi="Arial" w:cs="Arial"/>
          <w:b/>
        </w:rPr>
        <w:t xml:space="preserve">COMESA Secretariat </w:t>
      </w:r>
      <w:r w:rsidR="00F92780" w:rsidRPr="0077521D">
        <w:rPr>
          <w:rFonts w:ascii="Arial" w:eastAsia="Calibri" w:hAnsi="Arial" w:cs="Arial"/>
          <w:b/>
        </w:rPr>
        <w:t>Expenditure</w:t>
      </w:r>
      <w:r w:rsidR="00750A2F" w:rsidRPr="0077521D">
        <w:rPr>
          <w:rFonts w:ascii="Arial" w:eastAsia="Calibri" w:hAnsi="Arial" w:cs="Arial"/>
          <w:b/>
        </w:rPr>
        <w:t xml:space="preserve">: </w:t>
      </w:r>
      <w:r w:rsidR="00750A2F" w:rsidRPr="0077521D">
        <w:rPr>
          <w:rFonts w:ascii="Arial" w:eastAsia="Calibri" w:hAnsi="Arial" w:cs="Arial"/>
        </w:rPr>
        <w:t xml:space="preserve">Total expenditure in </w:t>
      </w:r>
      <w:r w:rsidR="00C563F4" w:rsidRPr="0077521D">
        <w:rPr>
          <w:rFonts w:ascii="Arial" w:eastAsia="Calibri" w:hAnsi="Arial" w:cs="Arial"/>
        </w:rPr>
        <w:t>2020</w:t>
      </w:r>
      <w:r w:rsidR="00750A2F" w:rsidRPr="0077521D">
        <w:rPr>
          <w:rFonts w:ascii="Arial" w:eastAsia="Calibri" w:hAnsi="Arial" w:cs="Arial"/>
        </w:rPr>
        <w:t xml:space="preserve"> is projected to </w:t>
      </w:r>
      <w:r w:rsidR="00604D42" w:rsidRPr="0077521D">
        <w:rPr>
          <w:rFonts w:ascii="Arial" w:eastAsia="Calibri" w:hAnsi="Arial" w:cs="Arial"/>
        </w:rPr>
        <w:t>de</w:t>
      </w:r>
      <w:r w:rsidR="00750A2F" w:rsidRPr="0077521D">
        <w:rPr>
          <w:rFonts w:ascii="Arial" w:eastAsia="Calibri" w:hAnsi="Arial" w:cs="Arial"/>
        </w:rPr>
        <w:t>crease to US$</w:t>
      </w:r>
      <w:r w:rsidR="00E51962" w:rsidRPr="0077521D">
        <w:rPr>
          <w:rFonts w:ascii="Arial" w:eastAsia="Calibri" w:hAnsi="Arial" w:cs="Arial"/>
        </w:rPr>
        <w:t>5</w:t>
      </w:r>
      <w:r w:rsidR="00105CBD">
        <w:rPr>
          <w:rFonts w:ascii="Arial" w:eastAsia="Calibri" w:hAnsi="Arial" w:cs="Arial"/>
        </w:rPr>
        <w:t xml:space="preserve">7,055,060 </w:t>
      </w:r>
      <w:r w:rsidR="00750A2F" w:rsidRPr="0077521D">
        <w:rPr>
          <w:rFonts w:ascii="Arial" w:eastAsia="Calibri" w:hAnsi="Arial" w:cs="Arial"/>
          <w:i/>
        </w:rPr>
        <w:t>(</w:t>
      </w:r>
      <w:r w:rsidR="00C563F4" w:rsidRPr="0077521D">
        <w:rPr>
          <w:rFonts w:ascii="Arial" w:eastAsia="Calibri" w:hAnsi="Arial" w:cs="Arial"/>
          <w:i/>
        </w:rPr>
        <w:t>2019</w:t>
      </w:r>
      <w:r w:rsidR="00750A2F" w:rsidRPr="0077521D">
        <w:rPr>
          <w:rFonts w:ascii="Arial" w:eastAsia="Calibri" w:hAnsi="Arial" w:cs="Arial"/>
          <w:i/>
        </w:rPr>
        <w:t>:US$</w:t>
      </w:r>
      <w:r w:rsidR="00105CBD">
        <w:rPr>
          <w:rFonts w:ascii="Arial" w:eastAsia="Calibri" w:hAnsi="Arial" w:cs="Arial"/>
          <w:i/>
        </w:rPr>
        <w:t>69</w:t>
      </w:r>
      <w:r w:rsidR="00E51962" w:rsidRPr="0077521D">
        <w:rPr>
          <w:rFonts w:ascii="Arial" w:eastAsia="Calibri" w:hAnsi="Arial" w:cs="Arial"/>
          <w:i/>
        </w:rPr>
        <w:t>,</w:t>
      </w:r>
      <w:r w:rsidR="00105CBD">
        <w:rPr>
          <w:rFonts w:ascii="Arial" w:eastAsia="Calibri" w:hAnsi="Arial" w:cs="Arial"/>
          <w:i/>
        </w:rPr>
        <w:t>493</w:t>
      </w:r>
      <w:r w:rsidR="00E51962" w:rsidRPr="0077521D">
        <w:rPr>
          <w:rFonts w:ascii="Arial" w:eastAsia="Calibri" w:hAnsi="Arial" w:cs="Arial"/>
          <w:i/>
        </w:rPr>
        <w:t>,</w:t>
      </w:r>
      <w:r w:rsidR="00105CBD">
        <w:rPr>
          <w:rFonts w:ascii="Arial" w:eastAsia="Calibri" w:hAnsi="Arial" w:cs="Arial"/>
          <w:i/>
        </w:rPr>
        <w:t>144</w:t>
      </w:r>
      <w:r w:rsidR="00E51962" w:rsidRPr="0077521D">
        <w:rPr>
          <w:rFonts w:ascii="Arial" w:eastAsia="Calibri" w:hAnsi="Arial" w:cs="Arial"/>
          <w:i/>
        </w:rPr>
        <w:t>)</w:t>
      </w:r>
      <w:r w:rsidR="00750A2F" w:rsidRPr="0077521D">
        <w:rPr>
          <w:rFonts w:ascii="Arial" w:eastAsia="Calibri" w:hAnsi="Arial" w:cs="Arial"/>
          <w:i/>
        </w:rPr>
        <w:t xml:space="preserve">, </w:t>
      </w:r>
      <w:r w:rsidR="00750A2F" w:rsidRPr="0077521D">
        <w:rPr>
          <w:rFonts w:ascii="Arial" w:eastAsia="Calibri" w:hAnsi="Arial" w:cs="Arial"/>
        </w:rPr>
        <w:t>a</w:t>
      </w:r>
      <w:r w:rsidR="00E51962" w:rsidRPr="0077521D">
        <w:rPr>
          <w:rFonts w:ascii="Arial" w:eastAsia="Calibri" w:hAnsi="Arial" w:cs="Arial"/>
        </w:rPr>
        <w:t xml:space="preserve"> reduction of 1</w:t>
      </w:r>
      <w:r w:rsidR="00105CBD">
        <w:rPr>
          <w:rFonts w:ascii="Arial" w:eastAsia="Calibri" w:hAnsi="Arial" w:cs="Arial"/>
        </w:rPr>
        <w:t>7</w:t>
      </w:r>
      <w:r w:rsidR="00750A2F" w:rsidRPr="0077521D">
        <w:rPr>
          <w:rFonts w:ascii="Arial" w:eastAsia="Calibri" w:hAnsi="Arial" w:cs="Arial"/>
        </w:rPr>
        <w:t>%</w:t>
      </w:r>
      <w:r w:rsidR="00105CBD">
        <w:rPr>
          <w:rFonts w:ascii="Arial" w:eastAsia="Calibri" w:hAnsi="Arial" w:cs="Arial"/>
        </w:rPr>
        <w:t>, which will be funded as follows: -</w:t>
      </w:r>
    </w:p>
    <w:p w14:paraId="06934007" w14:textId="59AABF6A" w:rsidR="00105CBD" w:rsidRDefault="00105CBD" w:rsidP="00552CA2">
      <w:pPr>
        <w:pStyle w:val="ListParagraph"/>
        <w:numPr>
          <w:ilvl w:val="0"/>
          <w:numId w:val="16"/>
        </w:numPr>
        <w:tabs>
          <w:tab w:val="left" w:pos="720"/>
        </w:tabs>
        <w:jc w:val="both"/>
        <w:rPr>
          <w:rFonts w:ascii="Arial" w:eastAsia="Calibri" w:hAnsi="Arial" w:cs="Arial"/>
        </w:rPr>
      </w:pPr>
      <w:r>
        <w:rPr>
          <w:rFonts w:ascii="Arial" w:eastAsia="Calibri" w:hAnsi="Arial" w:cs="Arial"/>
        </w:rPr>
        <w:t>Assessed contribution from Member States: US$15,840,117</w:t>
      </w:r>
    </w:p>
    <w:p w14:paraId="02DFB0DB" w14:textId="2FFE0296" w:rsidR="00105CBD" w:rsidRDefault="00105CBD" w:rsidP="00552CA2">
      <w:pPr>
        <w:pStyle w:val="ListParagraph"/>
        <w:numPr>
          <w:ilvl w:val="0"/>
          <w:numId w:val="16"/>
        </w:numPr>
        <w:tabs>
          <w:tab w:val="left" w:pos="720"/>
        </w:tabs>
        <w:jc w:val="both"/>
        <w:rPr>
          <w:rFonts w:ascii="Arial" w:eastAsia="Calibri" w:hAnsi="Arial" w:cs="Arial"/>
        </w:rPr>
      </w:pPr>
      <w:r>
        <w:rPr>
          <w:rFonts w:ascii="Arial" w:eastAsia="Calibri" w:hAnsi="Arial" w:cs="Arial"/>
        </w:rPr>
        <w:t>Grants contribution from Development partners: US$41,214,943</w:t>
      </w:r>
    </w:p>
    <w:p w14:paraId="3EB60A5C" w14:textId="77777777" w:rsidR="00E71326" w:rsidRDefault="00E71326" w:rsidP="00D315F7">
      <w:pPr>
        <w:pStyle w:val="ListParagraph"/>
        <w:tabs>
          <w:tab w:val="left" w:pos="720"/>
        </w:tabs>
        <w:ind w:left="2160"/>
        <w:jc w:val="both"/>
        <w:rPr>
          <w:rFonts w:ascii="Arial" w:eastAsia="Calibri" w:hAnsi="Arial" w:cs="Arial"/>
        </w:rPr>
      </w:pPr>
    </w:p>
    <w:bookmarkEnd w:id="0"/>
    <w:p w14:paraId="329FCB4E" w14:textId="73AC3691" w:rsidR="00F33D2C" w:rsidRDefault="00F33D2C" w:rsidP="00D315F7">
      <w:pPr>
        <w:pStyle w:val="Heading1"/>
        <w:spacing w:before="0" w:line="240" w:lineRule="auto"/>
        <w:rPr>
          <w:rFonts w:ascii="Arial" w:hAnsi="Arial" w:cs="Arial"/>
          <w:b/>
          <w:sz w:val="22"/>
          <w:szCs w:val="22"/>
        </w:rPr>
      </w:pPr>
    </w:p>
    <w:p w14:paraId="38224B42" w14:textId="5E1475FB" w:rsidR="003F4C85" w:rsidRDefault="003F4C85" w:rsidP="00552CA2">
      <w:pPr>
        <w:pStyle w:val="ListParagraph"/>
        <w:numPr>
          <w:ilvl w:val="0"/>
          <w:numId w:val="4"/>
        </w:numPr>
        <w:tabs>
          <w:tab w:val="left" w:pos="720"/>
        </w:tabs>
        <w:ind w:left="0" w:firstLine="0"/>
        <w:jc w:val="both"/>
        <w:rPr>
          <w:rFonts w:ascii="Arial" w:eastAsia="Calibri" w:hAnsi="Arial" w:cs="Arial"/>
        </w:rPr>
      </w:pPr>
      <w:r w:rsidRPr="00930DAD">
        <w:rPr>
          <w:rFonts w:ascii="Arial" w:eastAsia="Calibri" w:hAnsi="Arial" w:cs="Arial"/>
        </w:rPr>
        <w:t xml:space="preserve">The </w:t>
      </w:r>
      <w:r>
        <w:rPr>
          <w:rFonts w:ascii="Arial" w:eastAsia="Calibri" w:hAnsi="Arial" w:cs="Arial"/>
        </w:rPr>
        <w:t>2020 Budget Estimates, as submitted are in line with: -</w:t>
      </w:r>
    </w:p>
    <w:p w14:paraId="51FEF4BA" w14:textId="3CFF558B" w:rsidR="003F4C85" w:rsidRDefault="003F4C85" w:rsidP="003F4C85">
      <w:pPr>
        <w:pStyle w:val="ListParagraph"/>
        <w:tabs>
          <w:tab w:val="left" w:pos="720"/>
        </w:tabs>
        <w:ind w:left="0"/>
        <w:jc w:val="both"/>
        <w:rPr>
          <w:rFonts w:ascii="Arial" w:eastAsia="Calibri" w:hAnsi="Arial" w:cs="Arial"/>
        </w:rPr>
      </w:pPr>
    </w:p>
    <w:p w14:paraId="2A818466" w14:textId="09BE7CBB" w:rsidR="003F4C85" w:rsidRDefault="003F4C85" w:rsidP="00552CA2">
      <w:pPr>
        <w:pStyle w:val="ListParagraph"/>
        <w:numPr>
          <w:ilvl w:val="0"/>
          <w:numId w:val="17"/>
        </w:numPr>
        <w:tabs>
          <w:tab w:val="left" w:pos="720"/>
        </w:tabs>
        <w:jc w:val="both"/>
        <w:rPr>
          <w:rFonts w:ascii="Arial" w:eastAsia="Calibri" w:hAnsi="Arial" w:cs="Arial"/>
        </w:rPr>
      </w:pPr>
      <w:r>
        <w:rPr>
          <w:rFonts w:ascii="Arial" w:eastAsia="Calibri" w:hAnsi="Arial" w:cs="Arial"/>
        </w:rPr>
        <w:t>Treaty provisions: Incorporate activities, which are assigned to the COMESA Secretariat.</w:t>
      </w:r>
    </w:p>
    <w:p w14:paraId="2955AF61" w14:textId="77777777" w:rsidR="003F4C85" w:rsidRDefault="003F4C85" w:rsidP="003F4C85">
      <w:pPr>
        <w:pStyle w:val="ListParagraph"/>
        <w:tabs>
          <w:tab w:val="left" w:pos="720"/>
        </w:tabs>
        <w:ind w:left="1440"/>
        <w:jc w:val="both"/>
        <w:rPr>
          <w:rFonts w:ascii="Arial" w:eastAsia="Calibri" w:hAnsi="Arial" w:cs="Arial"/>
        </w:rPr>
      </w:pPr>
    </w:p>
    <w:p w14:paraId="418247AE" w14:textId="477B20A3" w:rsidR="003F4C85" w:rsidRDefault="003F4C85" w:rsidP="00552CA2">
      <w:pPr>
        <w:pStyle w:val="ListParagraph"/>
        <w:numPr>
          <w:ilvl w:val="0"/>
          <w:numId w:val="17"/>
        </w:numPr>
        <w:tabs>
          <w:tab w:val="left" w:pos="720"/>
        </w:tabs>
        <w:jc w:val="both"/>
        <w:rPr>
          <w:rFonts w:ascii="Arial" w:eastAsia="Calibri" w:hAnsi="Arial" w:cs="Arial"/>
        </w:rPr>
      </w:pPr>
      <w:r>
        <w:rPr>
          <w:rFonts w:ascii="Arial" w:eastAsia="Calibri" w:hAnsi="Arial" w:cs="Arial"/>
        </w:rPr>
        <w:t>Budget policy, in terms of</w:t>
      </w:r>
      <w:r w:rsidR="00D315F7">
        <w:rPr>
          <w:rFonts w:ascii="Arial" w:eastAsia="Calibri" w:hAnsi="Arial" w:cs="Arial"/>
        </w:rPr>
        <w:t>: -</w:t>
      </w:r>
    </w:p>
    <w:p w14:paraId="55498593" w14:textId="77777777" w:rsidR="003F4C85" w:rsidRDefault="003F4C85" w:rsidP="003F4C85">
      <w:pPr>
        <w:pStyle w:val="ListParagraph"/>
        <w:tabs>
          <w:tab w:val="left" w:pos="720"/>
        </w:tabs>
        <w:ind w:left="1440"/>
        <w:jc w:val="both"/>
        <w:rPr>
          <w:rFonts w:ascii="Arial" w:eastAsia="Calibri" w:hAnsi="Arial" w:cs="Arial"/>
        </w:rPr>
      </w:pPr>
    </w:p>
    <w:p w14:paraId="6AF3F9AE" w14:textId="47F1AD57" w:rsidR="003F4C85" w:rsidRDefault="003F4C85" w:rsidP="00552CA2">
      <w:pPr>
        <w:pStyle w:val="ListParagraph"/>
        <w:numPr>
          <w:ilvl w:val="0"/>
          <w:numId w:val="18"/>
        </w:numPr>
        <w:tabs>
          <w:tab w:val="left" w:pos="720"/>
        </w:tabs>
        <w:ind w:left="2160" w:hanging="720"/>
        <w:jc w:val="both"/>
        <w:rPr>
          <w:rFonts w:ascii="Arial" w:eastAsia="Calibri" w:hAnsi="Arial" w:cs="Arial"/>
        </w:rPr>
      </w:pPr>
      <w:r>
        <w:rPr>
          <w:rFonts w:ascii="Arial" w:eastAsia="Calibri" w:hAnsi="Arial" w:cs="Arial"/>
        </w:rPr>
        <w:t>Funding: 2020 increase on 2019 available funding is kept at 2%, which is below the 2019 projected COMESA average GDP growth of 3.5%, as well as below the policy cap of 5%;</w:t>
      </w:r>
    </w:p>
    <w:p w14:paraId="2F4B2F5A" w14:textId="77777777" w:rsidR="003F4C85" w:rsidRDefault="003F4C85" w:rsidP="00D315F7">
      <w:pPr>
        <w:pStyle w:val="ListParagraph"/>
        <w:tabs>
          <w:tab w:val="left" w:pos="720"/>
        </w:tabs>
        <w:ind w:left="2160" w:hanging="720"/>
        <w:jc w:val="both"/>
        <w:rPr>
          <w:rFonts w:ascii="Arial" w:eastAsia="Calibri" w:hAnsi="Arial" w:cs="Arial"/>
        </w:rPr>
      </w:pPr>
    </w:p>
    <w:p w14:paraId="47D54881" w14:textId="22243700" w:rsidR="003F4C85" w:rsidRPr="003F4C85" w:rsidRDefault="003F4C85" w:rsidP="00552CA2">
      <w:pPr>
        <w:pStyle w:val="ListParagraph"/>
        <w:numPr>
          <w:ilvl w:val="0"/>
          <w:numId w:val="18"/>
        </w:numPr>
        <w:tabs>
          <w:tab w:val="left" w:pos="720"/>
        </w:tabs>
        <w:ind w:left="2160" w:hanging="720"/>
        <w:jc w:val="both"/>
        <w:rPr>
          <w:rFonts w:ascii="Arial" w:eastAsia="Calibri" w:hAnsi="Arial" w:cs="Arial"/>
        </w:rPr>
      </w:pPr>
      <w:r>
        <w:rPr>
          <w:rFonts w:ascii="Arial" w:eastAsia="Calibri" w:hAnsi="Arial" w:cs="Arial"/>
        </w:rPr>
        <w:t xml:space="preserve">Expenditure: </w:t>
      </w:r>
      <w:r w:rsidR="00D315F7">
        <w:rPr>
          <w:rFonts w:ascii="Arial" w:eastAsia="Calibri" w:hAnsi="Arial" w:cs="Arial"/>
        </w:rPr>
        <w:t xml:space="preserve">Prioritisation of interventions have continued to enable an improved refocus on fewer outputs and activities of significant impact to COMESA. </w:t>
      </w:r>
    </w:p>
    <w:p w14:paraId="4EB66F36" w14:textId="600D0D9A" w:rsidR="003F4C85" w:rsidRDefault="003F4C85" w:rsidP="003F4C85">
      <w:pPr>
        <w:pStyle w:val="ListParagraph"/>
        <w:rPr>
          <w:rFonts w:ascii="Arial" w:eastAsia="Calibri" w:hAnsi="Arial" w:cs="Arial"/>
        </w:rPr>
      </w:pPr>
    </w:p>
    <w:p w14:paraId="327C302C" w14:textId="5E0508C1" w:rsidR="00D315F7" w:rsidRDefault="00D315F7" w:rsidP="00552CA2">
      <w:pPr>
        <w:pStyle w:val="ListParagraph"/>
        <w:numPr>
          <w:ilvl w:val="0"/>
          <w:numId w:val="4"/>
        </w:numPr>
        <w:tabs>
          <w:tab w:val="left" w:pos="720"/>
        </w:tabs>
        <w:ind w:left="0" w:firstLine="0"/>
        <w:jc w:val="both"/>
        <w:rPr>
          <w:rFonts w:ascii="Arial" w:eastAsia="Calibri" w:hAnsi="Arial" w:cs="Arial"/>
        </w:rPr>
      </w:pPr>
      <w:r w:rsidRPr="00D315F7">
        <w:rPr>
          <w:rFonts w:ascii="Arial" w:eastAsia="Calibri" w:hAnsi="Arial" w:cs="Arial"/>
        </w:rPr>
        <w:t>Secretary General invites the Sub Committee on Audit and Budgetary Matters to</w:t>
      </w:r>
      <w:r>
        <w:rPr>
          <w:rFonts w:ascii="Arial" w:eastAsia="Calibri" w:hAnsi="Arial" w:cs="Arial"/>
        </w:rPr>
        <w:t>: -</w:t>
      </w:r>
    </w:p>
    <w:p w14:paraId="781C4000" w14:textId="77777777" w:rsidR="00D315F7" w:rsidRDefault="00D315F7" w:rsidP="00D315F7">
      <w:pPr>
        <w:pStyle w:val="ListParagraph"/>
        <w:tabs>
          <w:tab w:val="left" w:pos="720"/>
        </w:tabs>
        <w:jc w:val="both"/>
        <w:rPr>
          <w:rFonts w:ascii="Arial" w:eastAsia="Calibri" w:hAnsi="Arial" w:cs="Arial"/>
        </w:rPr>
      </w:pPr>
    </w:p>
    <w:p w14:paraId="756CA909" w14:textId="191C659D" w:rsidR="00D315F7" w:rsidRDefault="00D315F7" w:rsidP="00552CA2">
      <w:pPr>
        <w:pStyle w:val="ListParagraph"/>
        <w:numPr>
          <w:ilvl w:val="0"/>
          <w:numId w:val="19"/>
        </w:numPr>
        <w:tabs>
          <w:tab w:val="left" w:pos="720"/>
        </w:tabs>
        <w:jc w:val="both"/>
        <w:rPr>
          <w:rFonts w:ascii="Arial" w:eastAsia="Calibri" w:hAnsi="Arial" w:cs="Arial"/>
        </w:rPr>
      </w:pPr>
      <w:r w:rsidRPr="00D315F7">
        <w:rPr>
          <w:rFonts w:ascii="Arial" w:eastAsia="Calibri" w:hAnsi="Arial" w:cs="Arial"/>
        </w:rPr>
        <w:t>assist the Secretariat in refining the priorities to reflect outputs and activities of significant impact to COMESA Member States</w:t>
      </w:r>
      <w:r>
        <w:rPr>
          <w:rFonts w:ascii="Arial" w:eastAsia="Calibri" w:hAnsi="Arial" w:cs="Arial"/>
        </w:rPr>
        <w:t>; and</w:t>
      </w:r>
    </w:p>
    <w:p w14:paraId="717305E2" w14:textId="77777777" w:rsidR="00D315F7" w:rsidRDefault="00D315F7" w:rsidP="00D315F7">
      <w:pPr>
        <w:pStyle w:val="ListParagraph"/>
        <w:tabs>
          <w:tab w:val="left" w:pos="720"/>
        </w:tabs>
        <w:ind w:left="1440"/>
        <w:jc w:val="both"/>
        <w:rPr>
          <w:rFonts w:ascii="Arial" w:eastAsia="Calibri" w:hAnsi="Arial" w:cs="Arial"/>
        </w:rPr>
      </w:pPr>
    </w:p>
    <w:p w14:paraId="250243F3" w14:textId="770BC1F2" w:rsidR="00D315F7" w:rsidRDefault="00D315F7" w:rsidP="00552CA2">
      <w:pPr>
        <w:pStyle w:val="ListParagraph"/>
        <w:numPr>
          <w:ilvl w:val="0"/>
          <w:numId w:val="19"/>
        </w:numPr>
        <w:tabs>
          <w:tab w:val="left" w:pos="720"/>
        </w:tabs>
        <w:jc w:val="both"/>
        <w:rPr>
          <w:rFonts w:ascii="Arial" w:eastAsia="Calibri" w:hAnsi="Arial" w:cs="Arial"/>
        </w:rPr>
      </w:pPr>
      <w:r w:rsidRPr="00D315F7">
        <w:rPr>
          <w:rFonts w:ascii="Arial" w:eastAsia="Calibri" w:hAnsi="Arial" w:cs="Arial"/>
        </w:rPr>
        <w:t xml:space="preserve">not only focus on </w:t>
      </w:r>
      <w:r>
        <w:rPr>
          <w:rFonts w:ascii="Arial" w:eastAsia="Calibri" w:hAnsi="Arial" w:cs="Arial"/>
        </w:rPr>
        <w:t xml:space="preserve">value for money on </w:t>
      </w:r>
      <w:r w:rsidRPr="00D315F7">
        <w:rPr>
          <w:rFonts w:ascii="Arial" w:eastAsia="Calibri" w:hAnsi="Arial" w:cs="Arial"/>
        </w:rPr>
        <w:t>appropriations funded from Member States, but grant resources</w:t>
      </w:r>
      <w:r>
        <w:rPr>
          <w:rFonts w:ascii="Arial" w:eastAsia="Calibri" w:hAnsi="Arial" w:cs="Arial"/>
        </w:rPr>
        <w:t>, which provide over 70% of resources towards COMESA programmes.</w:t>
      </w:r>
    </w:p>
    <w:p w14:paraId="32EC91B0" w14:textId="77777777" w:rsidR="00D315F7" w:rsidRDefault="00D315F7" w:rsidP="00966FC3">
      <w:pPr>
        <w:pStyle w:val="Heading1"/>
        <w:spacing w:before="0" w:line="240" w:lineRule="auto"/>
        <w:rPr>
          <w:rFonts w:ascii="Arial" w:hAnsi="Arial" w:cs="Arial"/>
          <w:b/>
          <w:sz w:val="22"/>
          <w:szCs w:val="22"/>
        </w:rPr>
      </w:pPr>
    </w:p>
    <w:p w14:paraId="37474F3F" w14:textId="08EACDF9" w:rsidR="004D4365" w:rsidRPr="0009691A" w:rsidRDefault="00307F98" w:rsidP="00966FC3">
      <w:pPr>
        <w:pStyle w:val="Heading1"/>
        <w:spacing w:before="0" w:line="240" w:lineRule="auto"/>
        <w:rPr>
          <w:rFonts w:ascii="Arial" w:hAnsi="Arial" w:cs="Arial"/>
          <w:b/>
          <w:sz w:val="22"/>
          <w:szCs w:val="22"/>
        </w:rPr>
      </w:pPr>
      <w:bookmarkStart w:id="2" w:name="_Toc23006775"/>
      <w:r w:rsidRPr="0009691A">
        <w:rPr>
          <w:rFonts w:ascii="Arial" w:hAnsi="Arial" w:cs="Arial"/>
          <w:b/>
          <w:sz w:val="22"/>
          <w:szCs w:val="22"/>
        </w:rPr>
        <w:t>PART A</w:t>
      </w:r>
      <w:r w:rsidR="00966FC3" w:rsidRPr="0009691A">
        <w:rPr>
          <w:rFonts w:ascii="Arial" w:hAnsi="Arial" w:cs="Arial"/>
          <w:b/>
          <w:sz w:val="22"/>
          <w:szCs w:val="22"/>
        </w:rPr>
        <w:t>:</w:t>
      </w:r>
      <w:r w:rsidR="00966FC3" w:rsidRPr="0009691A">
        <w:rPr>
          <w:rFonts w:ascii="Arial" w:hAnsi="Arial" w:cs="Arial"/>
          <w:b/>
          <w:sz w:val="22"/>
          <w:szCs w:val="22"/>
        </w:rPr>
        <w:tab/>
        <w:t xml:space="preserve">OVERVIEW OF THE </w:t>
      </w:r>
      <w:r w:rsidR="00C563F4">
        <w:rPr>
          <w:rFonts w:ascii="Arial" w:hAnsi="Arial" w:cs="Arial"/>
          <w:b/>
          <w:sz w:val="22"/>
          <w:szCs w:val="22"/>
        </w:rPr>
        <w:t>2020</w:t>
      </w:r>
      <w:r w:rsidR="00966FC3" w:rsidRPr="0009691A">
        <w:rPr>
          <w:rFonts w:ascii="Arial" w:hAnsi="Arial" w:cs="Arial"/>
          <w:b/>
          <w:sz w:val="22"/>
          <w:szCs w:val="22"/>
        </w:rPr>
        <w:t xml:space="preserve"> WORK PROGRAMME</w:t>
      </w:r>
      <w:bookmarkEnd w:id="2"/>
    </w:p>
    <w:p w14:paraId="45B7EA8B" w14:textId="77777777" w:rsidR="00966FC3" w:rsidRPr="0009691A" w:rsidRDefault="00966FC3" w:rsidP="004D4365">
      <w:pPr>
        <w:spacing w:after="0" w:line="240" w:lineRule="auto"/>
        <w:rPr>
          <w:rFonts w:ascii="Arial" w:hAnsi="Arial" w:cs="Arial"/>
          <w:b/>
        </w:rPr>
      </w:pPr>
    </w:p>
    <w:p w14:paraId="3BADBB5A" w14:textId="77777777" w:rsidR="00966FC3" w:rsidRPr="0009691A" w:rsidRDefault="000C6B33" w:rsidP="000C6B33">
      <w:pPr>
        <w:pStyle w:val="Heading2"/>
        <w:tabs>
          <w:tab w:val="left" w:pos="720"/>
        </w:tabs>
        <w:rPr>
          <w:rFonts w:ascii="Arial" w:eastAsia="Times New Roman" w:hAnsi="Arial" w:cs="Arial"/>
          <w:sz w:val="22"/>
          <w:szCs w:val="22"/>
        </w:rPr>
      </w:pPr>
      <w:bookmarkStart w:id="3" w:name="_Toc23006776"/>
      <w:r w:rsidRPr="0009691A">
        <w:rPr>
          <w:rFonts w:ascii="Arial" w:eastAsia="Times New Roman" w:hAnsi="Arial" w:cs="Arial"/>
          <w:sz w:val="22"/>
          <w:szCs w:val="22"/>
        </w:rPr>
        <w:t>A1:</w:t>
      </w:r>
      <w:r w:rsidRPr="0009691A">
        <w:rPr>
          <w:rFonts w:ascii="Arial" w:eastAsia="Times New Roman" w:hAnsi="Arial" w:cs="Arial"/>
          <w:sz w:val="22"/>
          <w:szCs w:val="22"/>
        </w:rPr>
        <w:tab/>
      </w:r>
      <w:r w:rsidR="00966FC3" w:rsidRPr="0009691A">
        <w:rPr>
          <w:rFonts w:ascii="Arial" w:eastAsia="Times New Roman" w:hAnsi="Arial" w:cs="Arial"/>
          <w:sz w:val="22"/>
          <w:szCs w:val="22"/>
        </w:rPr>
        <w:t xml:space="preserve">Overview of the work programming process for </w:t>
      </w:r>
      <w:r w:rsidR="00C563F4">
        <w:rPr>
          <w:rFonts w:ascii="Arial" w:eastAsia="Times New Roman" w:hAnsi="Arial" w:cs="Arial"/>
          <w:sz w:val="22"/>
          <w:szCs w:val="22"/>
        </w:rPr>
        <w:t>2020</w:t>
      </w:r>
      <w:bookmarkEnd w:id="3"/>
    </w:p>
    <w:p w14:paraId="12F931E8" w14:textId="77777777" w:rsidR="00966FC3" w:rsidRPr="0009691A" w:rsidRDefault="00966FC3" w:rsidP="00966FC3">
      <w:pPr>
        <w:spacing w:after="0" w:line="240" w:lineRule="auto"/>
        <w:contextualSpacing/>
        <w:jc w:val="both"/>
        <w:rPr>
          <w:rFonts w:ascii="Arial" w:eastAsia="Calibri" w:hAnsi="Arial" w:cs="Arial"/>
        </w:rPr>
      </w:pPr>
    </w:p>
    <w:p w14:paraId="7CFC4C52" w14:textId="77777777" w:rsidR="001744F3" w:rsidRPr="0009691A" w:rsidRDefault="001744F3" w:rsidP="00552CA2">
      <w:pPr>
        <w:pStyle w:val="ListParagraph"/>
        <w:numPr>
          <w:ilvl w:val="0"/>
          <w:numId w:val="4"/>
        </w:numPr>
        <w:tabs>
          <w:tab w:val="left" w:pos="720"/>
        </w:tabs>
        <w:ind w:left="0" w:firstLine="0"/>
        <w:jc w:val="both"/>
        <w:rPr>
          <w:rFonts w:ascii="Arial" w:eastAsia="Calibri" w:hAnsi="Arial" w:cs="Arial"/>
        </w:rPr>
      </w:pPr>
      <w:r w:rsidRPr="0009691A">
        <w:rPr>
          <w:rFonts w:ascii="Arial" w:eastAsia="Calibri" w:hAnsi="Arial" w:cs="Arial"/>
        </w:rPr>
        <w:t>COMESA strategic planning is guide</w:t>
      </w:r>
      <w:r w:rsidR="0009691A" w:rsidRPr="0009691A">
        <w:rPr>
          <w:rFonts w:ascii="Arial" w:eastAsia="Calibri" w:hAnsi="Arial" w:cs="Arial"/>
        </w:rPr>
        <w:t xml:space="preserve">d by the </w:t>
      </w:r>
      <w:proofErr w:type="gramStart"/>
      <w:r w:rsidR="0009691A" w:rsidRPr="0009691A">
        <w:rPr>
          <w:rFonts w:ascii="Arial" w:eastAsia="Calibri" w:hAnsi="Arial" w:cs="Arial"/>
        </w:rPr>
        <w:t xml:space="preserve">Medium </w:t>
      </w:r>
      <w:r w:rsidRPr="0009691A">
        <w:rPr>
          <w:rFonts w:ascii="Arial" w:eastAsia="Calibri" w:hAnsi="Arial" w:cs="Arial"/>
        </w:rPr>
        <w:t>Term</w:t>
      </w:r>
      <w:proofErr w:type="gramEnd"/>
      <w:r w:rsidRPr="0009691A">
        <w:rPr>
          <w:rFonts w:ascii="Arial" w:eastAsia="Calibri" w:hAnsi="Arial" w:cs="Arial"/>
        </w:rPr>
        <w:t xml:space="preserve"> </w:t>
      </w:r>
      <w:r w:rsidR="0009691A" w:rsidRPr="0009691A">
        <w:rPr>
          <w:rFonts w:ascii="Arial" w:eastAsia="Calibri" w:hAnsi="Arial" w:cs="Arial"/>
        </w:rPr>
        <w:t xml:space="preserve">Strategic Plan </w:t>
      </w:r>
      <w:r w:rsidRPr="0009691A">
        <w:rPr>
          <w:rFonts w:ascii="Arial" w:eastAsia="Calibri" w:hAnsi="Arial" w:cs="Arial"/>
        </w:rPr>
        <w:t>(MTS</w:t>
      </w:r>
      <w:r w:rsidR="0009691A" w:rsidRPr="0009691A">
        <w:rPr>
          <w:rFonts w:ascii="Arial" w:eastAsia="Calibri" w:hAnsi="Arial" w:cs="Arial"/>
        </w:rPr>
        <w:t>P</w:t>
      </w:r>
      <w:r w:rsidRPr="0009691A">
        <w:rPr>
          <w:rFonts w:ascii="Arial" w:eastAsia="Calibri" w:hAnsi="Arial" w:cs="Arial"/>
        </w:rPr>
        <w:t xml:space="preserve">) which provides strategic objectives for a five-year period. RISDP and SIPO as well as pronouncements of governing structures. The MTS provides guidance and serves as a framework for preparation of annual work programmes.  </w:t>
      </w:r>
    </w:p>
    <w:p w14:paraId="7608EB15" w14:textId="77777777" w:rsidR="001744F3" w:rsidRPr="0009691A" w:rsidRDefault="001744F3" w:rsidP="001744F3">
      <w:pPr>
        <w:pStyle w:val="ListParagraph"/>
        <w:tabs>
          <w:tab w:val="left" w:pos="720"/>
        </w:tabs>
        <w:ind w:left="0"/>
        <w:jc w:val="both"/>
        <w:rPr>
          <w:rFonts w:ascii="Arial" w:eastAsia="Calibri" w:hAnsi="Arial" w:cs="Arial"/>
        </w:rPr>
      </w:pPr>
    </w:p>
    <w:p w14:paraId="4F2F8A3A" w14:textId="52A211CD" w:rsidR="001744F3" w:rsidRPr="0009691A" w:rsidRDefault="008F2CB8" w:rsidP="00552CA2">
      <w:pPr>
        <w:pStyle w:val="ListParagraph"/>
        <w:numPr>
          <w:ilvl w:val="0"/>
          <w:numId w:val="4"/>
        </w:numPr>
        <w:tabs>
          <w:tab w:val="left" w:pos="720"/>
        </w:tabs>
        <w:ind w:left="0" w:firstLine="0"/>
        <w:jc w:val="both"/>
        <w:rPr>
          <w:rFonts w:ascii="Arial" w:eastAsia="Calibri" w:hAnsi="Arial" w:cs="Arial"/>
        </w:rPr>
      </w:pPr>
      <w:r>
        <w:rPr>
          <w:rFonts w:ascii="Arial" w:eastAsia="Calibri" w:hAnsi="Arial" w:cs="Arial"/>
        </w:rPr>
        <w:t>T</w:t>
      </w:r>
      <w:r w:rsidR="001744F3" w:rsidRPr="0009691A">
        <w:rPr>
          <w:rFonts w:ascii="Arial" w:eastAsia="Calibri" w:hAnsi="Arial" w:cs="Arial"/>
        </w:rPr>
        <w:t xml:space="preserve">he </w:t>
      </w:r>
      <w:r w:rsidR="00C563F4">
        <w:rPr>
          <w:rFonts w:ascii="Arial" w:eastAsia="Calibri" w:hAnsi="Arial" w:cs="Arial"/>
        </w:rPr>
        <w:t>2020</w:t>
      </w:r>
      <w:r w:rsidR="001744F3" w:rsidRPr="0009691A">
        <w:rPr>
          <w:rFonts w:ascii="Arial" w:eastAsia="Calibri" w:hAnsi="Arial" w:cs="Arial"/>
        </w:rPr>
        <w:t xml:space="preserve"> </w:t>
      </w:r>
      <w:r w:rsidRPr="0009691A">
        <w:rPr>
          <w:rFonts w:ascii="Arial" w:eastAsia="Calibri" w:hAnsi="Arial" w:cs="Arial"/>
        </w:rPr>
        <w:t xml:space="preserve">work programme </w:t>
      </w:r>
      <w:r>
        <w:rPr>
          <w:rFonts w:ascii="Arial" w:eastAsia="Calibri" w:hAnsi="Arial" w:cs="Arial"/>
        </w:rPr>
        <w:t xml:space="preserve">is the </w:t>
      </w:r>
      <w:r w:rsidR="00E71326">
        <w:rPr>
          <w:rFonts w:ascii="Arial" w:eastAsia="Calibri" w:hAnsi="Arial" w:cs="Arial"/>
        </w:rPr>
        <w:t xml:space="preserve">fifth </w:t>
      </w:r>
      <w:r>
        <w:rPr>
          <w:rFonts w:ascii="Arial" w:eastAsia="Calibri" w:hAnsi="Arial" w:cs="Arial"/>
        </w:rPr>
        <w:t xml:space="preserve">work programme under the current </w:t>
      </w:r>
      <w:r w:rsidRPr="0009691A">
        <w:rPr>
          <w:rFonts w:ascii="Arial" w:eastAsia="Calibri" w:hAnsi="Arial" w:cs="Arial"/>
        </w:rPr>
        <w:t>2016 to 20</w:t>
      </w:r>
      <w:r>
        <w:rPr>
          <w:rFonts w:ascii="Arial" w:eastAsia="Calibri" w:hAnsi="Arial" w:cs="Arial"/>
        </w:rPr>
        <w:t>20 Medium Term Strategic Plan.</w:t>
      </w:r>
    </w:p>
    <w:p w14:paraId="6DD6A7D0" w14:textId="77777777" w:rsidR="001744F3" w:rsidRPr="0009691A" w:rsidRDefault="001744F3" w:rsidP="001744F3">
      <w:pPr>
        <w:pStyle w:val="ListParagraph"/>
        <w:rPr>
          <w:rFonts w:ascii="Arial" w:eastAsia="Calibri" w:hAnsi="Arial" w:cs="Arial"/>
        </w:rPr>
      </w:pPr>
    </w:p>
    <w:p w14:paraId="5EF0C11C" w14:textId="77777777" w:rsidR="00966FC3" w:rsidRPr="004077AF" w:rsidRDefault="00966FC3" w:rsidP="00552CA2">
      <w:pPr>
        <w:pStyle w:val="ListParagraph"/>
        <w:numPr>
          <w:ilvl w:val="0"/>
          <w:numId w:val="4"/>
        </w:numPr>
        <w:tabs>
          <w:tab w:val="left" w:pos="720"/>
        </w:tabs>
        <w:ind w:left="0" w:firstLine="0"/>
        <w:jc w:val="both"/>
        <w:rPr>
          <w:rFonts w:ascii="Arial" w:eastAsia="Calibri" w:hAnsi="Arial" w:cs="Arial"/>
        </w:rPr>
      </w:pPr>
      <w:r w:rsidRPr="0009691A">
        <w:rPr>
          <w:rFonts w:ascii="Arial" w:eastAsia="Calibri" w:hAnsi="Arial" w:cs="Arial"/>
        </w:rPr>
        <w:t xml:space="preserve">The Secretariat </w:t>
      </w:r>
      <w:r w:rsidR="001744F3" w:rsidRPr="0009691A">
        <w:rPr>
          <w:rFonts w:ascii="Arial" w:eastAsia="Calibri" w:hAnsi="Arial" w:cs="Arial"/>
        </w:rPr>
        <w:t xml:space="preserve">annual work programme </w:t>
      </w:r>
      <w:r w:rsidRPr="0009691A">
        <w:rPr>
          <w:rFonts w:ascii="Arial" w:eastAsia="Calibri" w:hAnsi="Arial" w:cs="Arial"/>
        </w:rPr>
        <w:t>process is based on a results management framework.</w:t>
      </w:r>
      <w:r w:rsidR="004077AF">
        <w:rPr>
          <w:rFonts w:ascii="Arial" w:eastAsia="Calibri" w:hAnsi="Arial" w:cs="Arial"/>
        </w:rPr>
        <w:t xml:space="preserve"> </w:t>
      </w:r>
      <w:r w:rsidRPr="004077AF">
        <w:rPr>
          <w:rFonts w:ascii="Arial" w:eastAsia="Calibri" w:hAnsi="Arial" w:cs="Arial"/>
        </w:rPr>
        <w:t xml:space="preserve">The distinguishing features of the process are </w:t>
      </w:r>
      <w:r w:rsidR="001744F3" w:rsidRPr="004077AF">
        <w:rPr>
          <w:rFonts w:ascii="Arial" w:eastAsia="Calibri" w:hAnsi="Arial" w:cs="Arial"/>
        </w:rPr>
        <w:t xml:space="preserve">focus areas </w:t>
      </w:r>
      <w:r w:rsidRPr="004077AF">
        <w:rPr>
          <w:rFonts w:ascii="Arial" w:eastAsia="Calibri" w:hAnsi="Arial" w:cs="Arial"/>
        </w:rPr>
        <w:t>and programme orientation, participatory approach and result based reporting.</w:t>
      </w:r>
    </w:p>
    <w:p w14:paraId="552D3466" w14:textId="77777777" w:rsidR="00966FC3" w:rsidRPr="0009691A" w:rsidRDefault="00966FC3" w:rsidP="00966FC3">
      <w:pPr>
        <w:spacing w:after="0" w:line="240" w:lineRule="auto"/>
        <w:contextualSpacing/>
        <w:rPr>
          <w:rFonts w:ascii="Arial" w:eastAsia="Calibri" w:hAnsi="Arial" w:cs="Arial"/>
        </w:rPr>
      </w:pPr>
    </w:p>
    <w:p w14:paraId="4240161B" w14:textId="77777777" w:rsidR="00966FC3" w:rsidRPr="0009691A" w:rsidRDefault="000C6B33" w:rsidP="000C6B33">
      <w:pPr>
        <w:pStyle w:val="Heading2"/>
        <w:tabs>
          <w:tab w:val="left" w:pos="720"/>
        </w:tabs>
        <w:rPr>
          <w:rFonts w:ascii="Arial" w:eastAsia="Times New Roman" w:hAnsi="Arial" w:cs="Arial"/>
          <w:sz w:val="22"/>
          <w:szCs w:val="22"/>
        </w:rPr>
      </w:pPr>
      <w:bookmarkStart w:id="4" w:name="_Toc23006777"/>
      <w:r w:rsidRPr="0009691A">
        <w:rPr>
          <w:rFonts w:ascii="Arial" w:eastAsia="Times New Roman" w:hAnsi="Arial" w:cs="Arial"/>
          <w:sz w:val="22"/>
          <w:szCs w:val="22"/>
        </w:rPr>
        <w:t>A2:</w:t>
      </w:r>
      <w:r w:rsidRPr="0009691A">
        <w:rPr>
          <w:rFonts w:ascii="Arial" w:eastAsia="Times New Roman" w:hAnsi="Arial" w:cs="Arial"/>
          <w:sz w:val="22"/>
          <w:szCs w:val="22"/>
        </w:rPr>
        <w:tab/>
        <w:t>Guiding principles – annual work programming</w:t>
      </w:r>
      <w:bookmarkEnd w:id="4"/>
    </w:p>
    <w:p w14:paraId="2F9CD69D" w14:textId="77777777" w:rsidR="00966FC3" w:rsidRPr="0009691A" w:rsidRDefault="00966FC3" w:rsidP="00966FC3">
      <w:pPr>
        <w:keepNext/>
        <w:keepLines/>
        <w:spacing w:after="0" w:line="240" w:lineRule="auto"/>
        <w:outlineLvl w:val="1"/>
        <w:rPr>
          <w:rFonts w:ascii="Arial" w:eastAsia="Times New Roman" w:hAnsi="Arial" w:cs="Arial"/>
          <w:b/>
        </w:rPr>
      </w:pPr>
    </w:p>
    <w:p w14:paraId="2EE1FF7B" w14:textId="58D2CFF9" w:rsidR="000C6B33" w:rsidRPr="0009691A" w:rsidRDefault="000C6B33" w:rsidP="000C6B33">
      <w:pPr>
        <w:pStyle w:val="Heading3"/>
        <w:rPr>
          <w:sz w:val="22"/>
          <w:szCs w:val="22"/>
        </w:rPr>
      </w:pPr>
      <w:bookmarkStart w:id="5" w:name="_Toc23006778"/>
      <w:r w:rsidRPr="0009691A">
        <w:rPr>
          <w:sz w:val="22"/>
          <w:szCs w:val="22"/>
        </w:rPr>
        <w:t>2016-2020 Medium Term Strategic Plan</w:t>
      </w:r>
      <w:bookmarkEnd w:id="5"/>
    </w:p>
    <w:p w14:paraId="2F12DF3C" w14:textId="77777777" w:rsidR="000C6B33" w:rsidRPr="0009691A" w:rsidRDefault="000C6B33" w:rsidP="00552CA2">
      <w:pPr>
        <w:pStyle w:val="ListParagraph"/>
        <w:numPr>
          <w:ilvl w:val="0"/>
          <w:numId w:val="4"/>
        </w:numPr>
        <w:tabs>
          <w:tab w:val="left" w:pos="720"/>
        </w:tabs>
        <w:ind w:left="0" w:firstLine="0"/>
        <w:jc w:val="both"/>
        <w:rPr>
          <w:rFonts w:ascii="Arial" w:hAnsi="Arial" w:cs="Arial"/>
        </w:rPr>
      </w:pPr>
      <w:r w:rsidRPr="0009691A">
        <w:rPr>
          <w:rFonts w:ascii="Arial" w:hAnsi="Arial" w:cs="Arial"/>
        </w:rPr>
        <w:t xml:space="preserve">The 2016-2020 Medium Term Strategic Plan sets the policy framework for annual work programme. </w:t>
      </w:r>
    </w:p>
    <w:p w14:paraId="020ADA91" w14:textId="77777777" w:rsidR="000C6B33" w:rsidRPr="0009691A" w:rsidRDefault="000C6B33" w:rsidP="000C6B33">
      <w:pPr>
        <w:pStyle w:val="ListParagraph"/>
        <w:tabs>
          <w:tab w:val="left" w:pos="720"/>
        </w:tabs>
        <w:ind w:left="0"/>
        <w:jc w:val="both"/>
        <w:rPr>
          <w:rFonts w:ascii="Arial" w:hAnsi="Arial" w:cs="Arial"/>
        </w:rPr>
      </w:pPr>
    </w:p>
    <w:p w14:paraId="756F9103" w14:textId="277DC765" w:rsidR="000C6B33" w:rsidRDefault="000C6B33" w:rsidP="00552CA2">
      <w:pPr>
        <w:pStyle w:val="ListParagraph"/>
        <w:numPr>
          <w:ilvl w:val="0"/>
          <w:numId w:val="4"/>
        </w:numPr>
        <w:tabs>
          <w:tab w:val="left" w:pos="720"/>
        </w:tabs>
        <w:ind w:left="0" w:firstLine="0"/>
        <w:jc w:val="both"/>
        <w:rPr>
          <w:rFonts w:ascii="Arial" w:hAnsi="Arial" w:cs="Arial"/>
        </w:rPr>
      </w:pPr>
      <w:r w:rsidRPr="0009691A">
        <w:rPr>
          <w:rFonts w:ascii="Arial" w:hAnsi="Arial" w:cs="Arial"/>
        </w:rPr>
        <w:t xml:space="preserve">Priorities, interventions and outputs are proposed for </w:t>
      </w:r>
      <w:r w:rsidR="00C563F4">
        <w:rPr>
          <w:rFonts w:ascii="Arial" w:hAnsi="Arial" w:cs="Arial"/>
        </w:rPr>
        <w:t>2020</w:t>
      </w:r>
      <w:r w:rsidRPr="0009691A">
        <w:rPr>
          <w:rFonts w:ascii="Arial" w:hAnsi="Arial" w:cs="Arial"/>
        </w:rPr>
        <w:t xml:space="preserve"> work programme, based on their impact to the strategic objectives for the 2016-2020 Medium Term Strategic Plan. </w:t>
      </w:r>
    </w:p>
    <w:p w14:paraId="283F5D26" w14:textId="77777777" w:rsidR="00D315F7" w:rsidRPr="00D315F7" w:rsidRDefault="00D315F7" w:rsidP="00D315F7">
      <w:pPr>
        <w:pStyle w:val="ListParagraph"/>
        <w:rPr>
          <w:rFonts w:ascii="Arial" w:hAnsi="Arial" w:cs="Arial"/>
        </w:rPr>
      </w:pPr>
    </w:p>
    <w:p w14:paraId="35FB4E62" w14:textId="60B8EAD6" w:rsidR="00D315F7" w:rsidRDefault="00D315F7" w:rsidP="00552CA2">
      <w:pPr>
        <w:pStyle w:val="ListParagraph"/>
        <w:numPr>
          <w:ilvl w:val="0"/>
          <w:numId w:val="4"/>
        </w:numPr>
        <w:tabs>
          <w:tab w:val="left" w:pos="720"/>
        </w:tabs>
        <w:ind w:left="0" w:firstLine="0"/>
        <w:jc w:val="both"/>
        <w:rPr>
          <w:rFonts w:ascii="Arial" w:hAnsi="Arial" w:cs="Arial"/>
        </w:rPr>
      </w:pPr>
      <w:r>
        <w:rPr>
          <w:rFonts w:ascii="Arial" w:hAnsi="Arial" w:cs="Arial"/>
        </w:rPr>
        <w:t>The interim report pertaining to the on-going end of term evaluation</w:t>
      </w:r>
      <w:r w:rsidR="0018592C">
        <w:rPr>
          <w:rFonts w:ascii="Arial" w:hAnsi="Arial" w:cs="Arial"/>
        </w:rPr>
        <w:t xml:space="preserve"> of 2016-2020 Medium Term Strategic Plan, should give assurance of the relevance of the priorities, interventions and activities which shall continue to be implemented in 2020. </w:t>
      </w:r>
    </w:p>
    <w:p w14:paraId="04FADD0C" w14:textId="77777777" w:rsidR="00D315F7" w:rsidRPr="00D315F7" w:rsidRDefault="00D315F7" w:rsidP="00D315F7">
      <w:pPr>
        <w:pStyle w:val="ListParagraph"/>
        <w:rPr>
          <w:rFonts w:ascii="Arial" w:hAnsi="Arial" w:cs="Arial"/>
        </w:rPr>
      </w:pPr>
    </w:p>
    <w:p w14:paraId="303F9FA9" w14:textId="77777777" w:rsidR="000C6B33" w:rsidRPr="0009691A" w:rsidRDefault="00966FC3" w:rsidP="000C6B33">
      <w:pPr>
        <w:pStyle w:val="Heading3"/>
        <w:rPr>
          <w:sz w:val="22"/>
          <w:szCs w:val="22"/>
        </w:rPr>
      </w:pPr>
      <w:bookmarkStart w:id="6" w:name="_Toc23006779"/>
      <w:r w:rsidRPr="0009691A">
        <w:rPr>
          <w:sz w:val="22"/>
          <w:szCs w:val="22"/>
        </w:rPr>
        <w:t>Programme approach</w:t>
      </w:r>
      <w:bookmarkEnd w:id="6"/>
    </w:p>
    <w:p w14:paraId="13DCE393" w14:textId="77777777" w:rsidR="00966FC3" w:rsidRPr="0009691A" w:rsidRDefault="00966FC3" w:rsidP="00552CA2">
      <w:pPr>
        <w:pStyle w:val="ListParagraph"/>
        <w:numPr>
          <w:ilvl w:val="0"/>
          <w:numId w:val="4"/>
        </w:numPr>
        <w:tabs>
          <w:tab w:val="left" w:pos="720"/>
        </w:tabs>
        <w:ind w:left="0" w:firstLine="0"/>
        <w:jc w:val="both"/>
        <w:rPr>
          <w:rFonts w:ascii="Arial" w:hAnsi="Arial" w:cs="Arial"/>
        </w:rPr>
      </w:pPr>
      <w:r w:rsidRPr="0009691A">
        <w:rPr>
          <w:rFonts w:ascii="Arial" w:hAnsi="Arial" w:cs="Arial"/>
        </w:rPr>
        <w:t xml:space="preserve">Resources are provided by Member States and Cooperating Partners and these (resources) target the 2016-2020 Medium Term Strategic Plan. To ensure better </w:t>
      </w:r>
      <w:r w:rsidR="004077AF">
        <w:rPr>
          <w:rFonts w:ascii="Arial" w:hAnsi="Arial" w:cs="Arial"/>
        </w:rPr>
        <w:t xml:space="preserve">allocation </w:t>
      </w:r>
      <w:r w:rsidRPr="0009691A">
        <w:rPr>
          <w:rFonts w:ascii="Arial" w:hAnsi="Arial" w:cs="Arial"/>
        </w:rPr>
        <w:t>and impact of resources towards the MTSP</w:t>
      </w:r>
      <w:r w:rsidR="004077AF">
        <w:rPr>
          <w:rFonts w:ascii="Arial" w:hAnsi="Arial" w:cs="Arial"/>
        </w:rPr>
        <w:t xml:space="preserve"> priority areas</w:t>
      </w:r>
      <w:r w:rsidRPr="0009691A">
        <w:rPr>
          <w:rFonts w:ascii="Arial" w:hAnsi="Arial" w:cs="Arial"/>
        </w:rPr>
        <w:t xml:space="preserve">, the COMESA Secretariat has adopted a programme approach in planning, work programming and budgeting and reporting.  </w:t>
      </w:r>
    </w:p>
    <w:p w14:paraId="1C133554" w14:textId="77777777" w:rsidR="000C6B33" w:rsidRPr="0009691A" w:rsidRDefault="000C6B33" w:rsidP="000C6B33">
      <w:pPr>
        <w:pStyle w:val="ListParagraph"/>
        <w:tabs>
          <w:tab w:val="left" w:pos="720"/>
        </w:tabs>
        <w:ind w:left="0"/>
        <w:jc w:val="both"/>
        <w:rPr>
          <w:rFonts w:ascii="Arial" w:hAnsi="Arial" w:cs="Arial"/>
        </w:rPr>
      </w:pPr>
    </w:p>
    <w:p w14:paraId="27F19077" w14:textId="77777777" w:rsidR="00966FC3" w:rsidRPr="0009691A" w:rsidRDefault="00966FC3" w:rsidP="00552CA2">
      <w:pPr>
        <w:pStyle w:val="ListParagraph"/>
        <w:numPr>
          <w:ilvl w:val="0"/>
          <w:numId w:val="4"/>
        </w:numPr>
        <w:tabs>
          <w:tab w:val="left" w:pos="720"/>
        </w:tabs>
        <w:ind w:left="0" w:firstLine="0"/>
        <w:jc w:val="both"/>
        <w:rPr>
          <w:rFonts w:ascii="Arial" w:hAnsi="Arial" w:cs="Arial"/>
        </w:rPr>
      </w:pPr>
      <w:r w:rsidRPr="0009691A">
        <w:rPr>
          <w:rFonts w:ascii="Arial" w:hAnsi="Arial" w:cs="Arial"/>
        </w:rPr>
        <w:t xml:space="preserve">Changes are being made across the COMESA Secretariat and </w:t>
      </w:r>
      <w:r w:rsidR="004077AF">
        <w:rPr>
          <w:rFonts w:ascii="Arial" w:hAnsi="Arial" w:cs="Arial"/>
        </w:rPr>
        <w:t xml:space="preserve">its </w:t>
      </w:r>
      <w:r w:rsidRPr="0009691A">
        <w:rPr>
          <w:rFonts w:ascii="Arial" w:hAnsi="Arial" w:cs="Arial"/>
        </w:rPr>
        <w:t xml:space="preserve">Agencies to align systems and processes with </w:t>
      </w:r>
      <w:r w:rsidR="004077AF">
        <w:rPr>
          <w:rFonts w:ascii="Arial" w:hAnsi="Arial" w:cs="Arial"/>
        </w:rPr>
        <w:t xml:space="preserve">the programme </w:t>
      </w:r>
      <w:r w:rsidRPr="0009691A">
        <w:rPr>
          <w:rFonts w:ascii="Arial" w:hAnsi="Arial" w:cs="Arial"/>
        </w:rPr>
        <w:t xml:space="preserve">approach. Given the above change, the </w:t>
      </w:r>
      <w:r w:rsidR="00C563F4">
        <w:rPr>
          <w:rFonts w:ascii="Arial" w:hAnsi="Arial" w:cs="Arial"/>
        </w:rPr>
        <w:t>2020</w:t>
      </w:r>
      <w:r w:rsidRPr="0009691A">
        <w:rPr>
          <w:rFonts w:ascii="Arial" w:hAnsi="Arial" w:cs="Arial"/>
        </w:rPr>
        <w:t xml:space="preserve"> work programme and budget shall link proposed resources to </w:t>
      </w:r>
      <w:r w:rsidR="00C563F4">
        <w:rPr>
          <w:rFonts w:ascii="Arial" w:hAnsi="Arial" w:cs="Arial"/>
        </w:rPr>
        <w:t>2020</w:t>
      </w:r>
      <w:r w:rsidRPr="0009691A">
        <w:rPr>
          <w:rFonts w:ascii="Arial" w:hAnsi="Arial" w:cs="Arial"/>
        </w:rPr>
        <w:t xml:space="preserve"> milestones/goals and 2016-2020 Medium Term Strategic Plan.</w:t>
      </w:r>
    </w:p>
    <w:p w14:paraId="793FDA80" w14:textId="77777777" w:rsidR="000C6B33" w:rsidRPr="0009691A" w:rsidRDefault="000C6B33" w:rsidP="000C6B33">
      <w:pPr>
        <w:pStyle w:val="ListParagraph"/>
        <w:rPr>
          <w:rFonts w:ascii="Arial" w:hAnsi="Arial" w:cs="Arial"/>
        </w:rPr>
      </w:pPr>
    </w:p>
    <w:p w14:paraId="21AE6653" w14:textId="77777777" w:rsidR="000C6B33" w:rsidRPr="0009691A" w:rsidRDefault="00966FC3" w:rsidP="000C6B33">
      <w:pPr>
        <w:pStyle w:val="Heading3"/>
        <w:rPr>
          <w:sz w:val="22"/>
          <w:szCs w:val="22"/>
        </w:rPr>
      </w:pPr>
      <w:bookmarkStart w:id="7" w:name="_Toc23006780"/>
      <w:r w:rsidRPr="0009691A">
        <w:rPr>
          <w:sz w:val="22"/>
          <w:szCs w:val="22"/>
        </w:rPr>
        <w:t>Complementarity</w:t>
      </w:r>
      <w:bookmarkEnd w:id="7"/>
      <w:r w:rsidR="00AE35BE" w:rsidRPr="0009691A">
        <w:rPr>
          <w:sz w:val="22"/>
          <w:szCs w:val="22"/>
        </w:rPr>
        <w:tab/>
      </w:r>
    </w:p>
    <w:p w14:paraId="3A984183" w14:textId="77777777" w:rsidR="000C6B33" w:rsidRPr="0009691A" w:rsidRDefault="00966FC3" w:rsidP="00552CA2">
      <w:pPr>
        <w:pStyle w:val="ListParagraph"/>
        <w:numPr>
          <w:ilvl w:val="0"/>
          <w:numId w:val="4"/>
        </w:numPr>
        <w:tabs>
          <w:tab w:val="left" w:pos="720"/>
        </w:tabs>
        <w:ind w:left="0" w:firstLine="0"/>
        <w:jc w:val="both"/>
        <w:rPr>
          <w:rFonts w:ascii="Arial" w:eastAsia="Calibri" w:hAnsi="Arial" w:cs="Arial"/>
        </w:rPr>
      </w:pPr>
      <w:r w:rsidRPr="0009691A">
        <w:rPr>
          <w:rFonts w:ascii="Arial" w:eastAsia="Calibri" w:hAnsi="Arial" w:cs="Arial"/>
        </w:rPr>
        <w:t xml:space="preserve">With the adoption of programme approach in planning, programming, budgeting and reporting, measures have also been introduced to ensure complementarity in the use of Member States and Cooperating Partner funding. </w:t>
      </w:r>
    </w:p>
    <w:p w14:paraId="7E1623BD" w14:textId="77777777" w:rsidR="000C6B33" w:rsidRPr="0009691A" w:rsidRDefault="000C6B33" w:rsidP="000C6B33">
      <w:pPr>
        <w:pStyle w:val="ListParagraph"/>
        <w:tabs>
          <w:tab w:val="left" w:pos="720"/>
        </w:tabs>
        <w:ind w:left="0"/>
        <w:jc w:val="both"/>
        <w:rPr>
          <w:rFonts w:ascii="Arial" w:eastAsia="Calibri" w:hAnsi="Arial" w:cs="Arial"/>
        </w:rPr>
      </w:pPr>
    </w:p>
    <w:p w14:paraId="3266121B" w14:textId="77777777" w:rsidR="000C6B33" w:rsidRPr="0009691A" w:rsidRDefault="00966FC3" w:rsidP="00552CA2">
      <w:pPr>
        <w:pStyle w:val="ListParagraph"/>
        <w:numPr>
          <w:ilvl w:val="0"/>
          <w:numId w:val="4"/>
        </w:numPr>
        <w:tabs>
          <w:tab w:val="left" w:pos="720"/>
        </w:tabs>
        <w:ind w:left="0" w:firstLine="0"/>
        <w:jc w:val="both"/>
        <w:rPr>
          <w:rFonts w:ascii="Arial" w:eastAsia="Calibri" w:hAnsi="Arial" w:cs="Arial"/>
        </w:rPr>
      </w:pPr>
      <w:r w:rsidRPr="0009691A">
        <w:rPr>
          <w:rFonts w:ascii="Arial" w:eastAsia="Calibri" w:hAnsi="Arial" w:cs="Arial"/>
        </w:rPr>
        <w:t xml:space="preserve">Resources from Cooperating Partners should </w:t>
      </w:r>
      <w:r w:rsidR="004077AF">
        <w:rPr>
          <w:rFonts w:ascii="Arial" w:eastAsia="Calibri" w:hAnsi="Arial" w:cs="Arial"/>
        </w:rPr>
        <w:t xml:space="preserve">therefore </w:t>
      </w:r>
      <w:r w:rsidRPr="0009691A">
        <w:rPr>
          <w:rFonts w:ascii="Arial" w:eastAsia="Calibri" w:hAnsi="Arial" w:cs="Arial"/>
        </w:rPr>
        <w:t>compliment Member States’ commitments, thus ensuring strategic alignment. This will enhance ownership and sustainability of work COMESA programmes.</w:t>
      </w:r>
    </w:p>
    <w:p w14:paraId="10D166CF" w14:textId="77777777" w:rsidR="000C6B33" w:rsidRPr="0009691A" w:rsidRDefault="000C6B33" w:rsidP="000C6B33">
      <w:pPr>
        <w:pStyle w:val="ListParagraph"/>
        <w:rPr>
          <w:rFonts w:ascii="Arial" w:eastAsia="Calibri" w:hAnsi="Arial" w:cs="Arial"/>
        </w:rPr>
      </w:pPr>
    </w:p>
    <w:p w14:paraId="4C61D43D" w14:textId="77777777" w:rsidR="00966FC3" w:rsidRPr="0009691A" w:rsidRDefault="00966FC3" w:rsidP="00552CA2">
      <w:pPr>
        <w:pStyle w:val="ListParagraph"/>
        <w:numPr>
          <w:ilvl w:val="0"/>
          <w:numId w:val="4"/>
        </w:numPr>
        <w:tabs>
          <w:tab w:val="left" w:pos="720"/>
        </w:tabs>
        <w:ind w:left="0" w:firstLine="0"/>
        <w:jc w:val="both"/>
        <w:rPr>
          <w:rFonts w:ascii="Arial" w:eastAsia="Calibri" w:hAnsi="Arial" w:cs="Arial"/>
        </w:rPr>
      </w:pPr>
      <w:r w:rsidRPr="0009691A">
        <w:rPr>
          <w:rFonts w:ascii="Arial" w:eastAsia="Calibri" w:hAnsi="Arial" w:cs="Arial"/>
        </w:rPr>
        <w:t>Cooperating Partner funding should not be applied on activities, where there are no Member States’ commitments.  Existing instruments signed between COMESA Secretariat and Cooperating Partners should thus be reviewed and measures taken to align allocation of resources.</w:t>
      </w:r>
    </w:p>
    <w:p w14:paraId="27D57834" w14:textId="77777777" w:rsidR="00E71326" w:rsidRDefault="00E71326" w:rsidP="000C6B33">
      <w:pPr>
        <w:pStyle w:val="Heading3"/>
        <w:rPr>
          <w:sz w:val="22"/>
          <w:szCs w:val="22"/>
        </w:rPr>
      </w:pPr>
    </w:p>
    <w:p w14:paraId="122321EB" w14:textId="2E91BB91" w:rsidR="000C6B33" w:rsidRPr="0009691A" w:rsidRDefault="000C6B33" w:rsidP="000C6B33">
      <w:pPr>
        <w:pStyle w:val="Heading3"/>
        <w:rPr>
          <w:sz w:val="22"/>
          <w:szCs w:val="22"/>
        </w:rPr>
      </w:pPr>
      <w:bookmarkStart w:id="8" w:name="_Toc23006781"/>
      <w:r w:rsidRPr="0009691A">
        <w:rPr>
          <w:sz w:val="22"/>
          <w:szCs w:val="22"/>
        </w:rPr>
        <w:t>Division of labour</w:t>
      </w:r>
      <w:r w:rsidR="00AE35BE" w:rsidRPr="0009691A">
        <w:rPr>
          <w:sz w:val="22"/>
          <w:szCs w:val="22"/>
        </w:rPr>
        <w:t xml:space="preserve"> within COMESA</w:t>
      </w:r>
      <w:bookmarkEnd w:id="8"/>
    </w:p>
    <w:p w14:paraId="68D8F9AD" w14:textId="77777777" w:rsidR="00966FC3" w:rsidRPr="0009691A" w:rsidRDefault="00966FC3" w:rsidP="00552CA2">
      <w:pPr>
        <w:pStyle w:val="ListParagraph"/>
        <w:numPr>
          <w:ilvl w:val="0"/>
          <w:numId w:val="4"/>
        </w:numPr>
        <w:tabs>
          <w:tab w:val="left" w:pos="720"/>
        </w:tabs>
        <w:ind w:left="0" w:firstLine="0"/>
        <w:jc w:val="both"/>
        <w:rPr>
          <w:rFonts w:ascii="Arial" w:eastAsia="Calibri" w:hAnsi="Arial" w:cs="Arial"/>
          <w:color w:val="000000"/>
        </w:rPr>
      </w:pPr>
      <w:r w:rsidRPr="0009691A">
        <w:rPr>
          <w:rFonts w:ascii="Arial" w:eastAsia="Calibri" w:hAnsi="Arial" w:cs="Arial"/>
          <w:b/>
        </w:rPr>
        <w:t>Subsidiarity</w:t>
      </w:r>
      <w:r w:rsidRPr="0009691A">
        <w:rPr>
          <w:rFonts w:ascii="Arial" w:eastAsia="Calibri" w:hAnsi="Arial" w:cs="Arial"/>
        </w:rPr>
        <w:t xml:space="preserve">:  </w:t>
      </w:r>
      <w:r w:rsidRPr="0009691A">
        <w:rPr>
          <w:rFonts w:ascii="Arial" w:eastAsia="Calibri" w:hAnsi="Arial" w:cs="Arial"/>
          <w:color w:val="000000"/>
        </w:rPr>
        <w:t>2016-2020 Medium Term Strategic Plan calls for implementation based on princ</w:t>
      </w:r>
      <w:r w:rsidR="000C6B33" w:rsidRPr="0009691A">
        <w:rPr>
          <w:rFonts w:ascii="Arial" w:eastAsia="Calibri" w:hAnsi="Arial" w:cs="Arial"/>
          <w:color w:val="000000"/>
        </w:rPr>
        <w:t>iple of subsidiarity principle, as follows: -</w:t>
      </w:r>
    </w:p>
    <w:p w14:paraId="66EF62B9" w14:textId="77777777" w:rsidR="000C6B33" w:rsidRPr="0009691A" w:rsidRDefault="000C6B33" w:rsidP="000C6B33">
      <w:pPr>
        <w:pStyle w:val="ListParagraph"/>
        <w:tabs>
          <w:tab w:val="left" w:pos="720"/>
        </w:tabs>
        <w:ind w:left="0"/>
        <w:jc w:val="both"/>
        <w:rPr>
          <w:rFonts w:ascii="Arial" w:eastAsia="Calibri" w:hAnsi="Arial" w:cs="Arial"/>
          <w:color w:val="000000"/>
        </w:rPr>
      </w:pPr>
    </w:p>
    <w:p w14:paraId="08AB3D3C" w14:textId="77777777" w:rsidR="00966FC3" w:rsidRPr="0009691A" w:rsidRDefault="00966FC3" w:rsidP="00966FC3">
      <w:pPr>
        <w:tabs>
          <w:tab w:val="left" w:pos="1440"/>
        </w:tabs>
        <w:autoSpaceDE w:val="0"/>
        <w:autoSpaceDN w:val="0"/>
        <w:adjustRightInd w:val="0"/>
        <w:spacing w:after="0" w:line="240" w:lineRule="auto"/>
        <w:ind w:left="720"/>
        <w:contextualSpacing/>
        <w:jc w:val="both"/>
        <w:rPr>
          <w:rFonts w:ascii="Arial" w:eastAsia="Calibri" w:hAnsi="Arial" w:cs="Arial"/>
          <w:color w:val="000000"/>
        </w:rPr>
      </w:pPr>
    </w:p>
    <w:p w14:paraId="2C58DB19" w14:textId="77777777" w:rsidR="00966FC3" w:rsidRPr="0009691A" w:rsidRDefault="00966FC3" w:rsidP="00552CA2">
      <w:pPr>
        <w:numPr>
          <w:ilvl w:val="0"/>
          <w:numId w:val="3"/>
        </w:numPr>
        <w:tabs>
          <w:tab w:val="left" w:pos="2160"/>
        </w:tabs>
        <w:autoSpaceDE w:val="0"/>
        <w:autoSpaceDN w:val="0"/>
        <w:adjustRightInd w:val="0"/>
        <w:spacing w:after="0" w:line="240" w:lineRule="auto"/>
        <w:ind w:left="1440" w:hanging="720"/>
        <w:contextualSpacing/>
        <w:jc w:val="both"/>
        <w:rPr>
          <w:rFonts w:ascii="Arial" w:eastAsia="Calibri" w:hAnsi="Arial" w:cs="Arial"/>
          <w:color w:val="000000"/>
        </w:rPr>
      </w:pPr>
      <w:r w:rsidRPr="0009691A">
        <w:rPr>
          <w:rFonts w:ascii="Arial" w:eastAsia="Calibri" w:hAnsi="Arial" w:cs="Arial"/>
          <w:b/>
          <w:color w:val="000000"/>
        </w:rPr>
        <w:lastRenderedPageBreak/>
        <w:t>COMESA Secretariat:</w:t>
      </w:r>
      <w:r w:rsidRPr="0009691A">
        <w:rPr>
          <w:rFonts w:ascii="Arial" w:eastAsia="Calibri" w:hAnsi="Arial" w:cs="Arial"/>
          <w:color w:val="000000"/>
        </w:rPr>
        <w:t xml:space="preserve"> to provide technical assistance and capacity building to Member States. COMESA Secretariat should also provide interface between COMESA and external stakeholders as well as to provide Member States with a platform relevant to achieve mutually acceptable formal cooperation. Such policy dialogue is key to shaping interventions. Further, the Secretariat will continue its role in resource mobilization, facilitating, coordinating and monitoring regional operations, with its capacity strengthened. </w:t>
      </w:r>
    </w:p>
    <w:p w14:paraId="67DA1FAD" w14:textId="77777777" w:rsidR="00966FC3" w:rsidRPr="0009691A" w:rsidRDefault="00966FC3" w:rsidP="000C6B33">
      <w:pPr>
        <w:tabs>
          <w:tab w:val="left" w:pos="2160"/>
        </w:tabs>
        <w:autoSpaceDE w:val="0"/>
        <w:autoSpaceDN w:val="0"/>
        <w:adjustRightInd w:val="0"/>
        <w:spacing w:after="0" w:line="240" w:lineRule="auto"/>
        <w:ind w:left="1440" w:hanging="720"/>
        <w:contextualSpacing/>
        <w:jc w:val="both"/>
        <w:rPr>
          <w:rFonts w:ascii="Arial" w:eastAsia="Calibri" w:hAnsi="Arial" w:cs="Arial"/>
          <w:color w:val="000000"/>
        </w:rPr>
      </w:pPr>
    </w:p>
    <w:p w14:paraId="35FE28A2" w14:textId="77777777" w:rsidR="00966FC3" w:rsidRPr="0009691A" w:rsidRDefault="00966FC3" w:rsidP="00552CA2">
      <w:pPr>
        <w:numPr>
          <w:ilvl w:val="0"/>
          <w:numId w:val="3"/>
        </w:numPr>
        <w:tabs>
          <w:tab w:val="left" w:pos="2160"/>
        </w:tabs>
        <w:autoSpaceDE w:val="0"/>
        <w:autoSpaceDN w:val="0"/>
        <w:adjustRightInd w:val="0"/>
        <w:spacing w:after="0" w:line="240" w:lineRule="auto"/>
        <w:ind w:left="1440" w:hanging="720"/>
        <w:contextualSpacing/>
        <w:jc w:val="both"/>
        <w:rPr>
          <w:rFonts w:ascii="Arial" w:eastAsia="Calibri" w:hAnsi="Arial" w:cs="Arial"/>
          <w:color w:val="000000"/>
        </w:rPr>
      </w:pPr>
      <w:r w:rsidRPr="0009691A">
        <w:rPr>
          <w:rFonts w:ascii="Arial" w:eastAsia="Calibri" w:hAnsi="Arial" w:cs="Arial"/>
          <w:b/>
          <w:color w:val="000000"/>
        </w:rPr>
        <w:t>COMESA Institutions</w:t>
      </w:r>
      <w:r w:rsidRPr="0009691A">
        <w:rPr>
          <w:rFonts w:ascii="Arial" w:eastAsia="Calibri" w:hAnsi="Arial" w:cs="Arial"/>
          <w:color w:val="000000"/>
        </w:rPr>
        <w:t xml:space="preserve">: implementation agencies with delegated mandate from policy organs through the Secretariat in line with specific provisions of the Treaty. Given their technical focus, institutions provide guidance, technical support and implement decisions of the Policy Organs. The COMESA institutions will also play a key role in implementing the MTSP. </w:t>
      </w:r>
    </w:p>
    <w:p w14:paraId="7269A132" w14:textId="77777777" w:rsidR="00966FC3" w:rsidRPr="0009691A" w:rsidRDefault="00966FC3" w:rsidP="000C6B33">
      <w:pPr>
        <w:ind w:left="1440" w:hanging="720"/>
        <w:contextualSpacing/>
        <w:rPr>
          <w:rFonts w:ascii="Arial" w:eastAsia="Calibri" w:hAnsi="Arial" w:cs="Arial"/>
          <w:b/>
          <w:color w:val="000000"/>
        </w:rPr>
      </w:pPr>
    </w:p>
    <w:p w14:paraId="5959ECE7" w14:textId="77777777" w:rsidR="00966FC3" w:rsidRPr="0009691A" w:rsidRDefault="00966FC3" w:rsidP="00552CA2">
      <w:pPr>
        <w:numPr>
          <w:ilvl w:val="0"/>
          <w:numId w:val="3"/>
        </w:numPr>
        <w:tabs>
          <w:tab w:val="left" w:pos="2160"/>
        </w:tabs>
        <w:autoSpaceDE w:val="0"/>
        <w:autoSpaceDN w:val="0"/>
        <w:adjustRightInd w:val="0"/>
        <w:spacing w:after="0" w:line="240" w:lineRule="auto"/>
        <w:ind w:left="1440" w:hanging="720"/>
        <w:contextualSpacing/>
        <w:jc w:val="both"/>
        <w:rPr>
          <w:rFonts w:ascii="Arial" w:eastAsia="Calibri" w:hAnsi="Arial" w:cs="Arial"/>
          <w:color w:val="000000"/>
        </w:rPr>
      </w:pPr>
      <w:r w:rsidRPr="0009691A">
        <w:rPr>
          <w:rFonts w:ascii="Arial" w:eastAsia="Calibri" w:hAnsi="Arial" w:cs="Arial"/>
          <w:b/>
          <w:color w:val="000000"/>
        </w:rPr>
        <w:t>Co-operating Partners</w:t>
      </w:r>
      <w:r w:rsidRPr="0009691A">
        <w:rPr>
          <w:rFonts w:ascii="Arial" w:eastAsia="Calibri" w:hAnsi="Arial" w:cs="Arial"/>
          <w:color w:val="000000"/>
        </w:rPr>
        <w:t xml:space="preserve">: to provide financial and technical support for achievement of the strategic objectives, support aid effectiveness by promoting harmonization, coherence, rationalization, alignment and ownership of development partner assistance; and require mutual accountability in relation to the commitment, provision, utilization and reporting on all adjustment support and regional integration resources. </w:t>
      </w:r>
    </w:p>
    <w:p w14:paraId="69E24FEE" w14:textId="77777777" w:rsidR="00966FC3" w:rsidRPr="0009691A" w:rsidRDefault="00966FC3" w:rsidP="000C6B33">
      <w:pPr>
        <w:ind w:left="1440" w:hanging="720"/>
        <w:contextualSpacing/>
        <w:rPr>
          <w:rFonts w:ascii="Arial" w:eastAsia="Calibri" w:hAnsi="Arial" w:cs="Arial"/>
          <w:b/>
          <w:color w:val="000000"/>
        </w:rPr>
      </w:pPr>
    </w:p>
    <w:p w14:paraId="2A213A86" w14:textId="445D7FF7" w:rsidR="00966FC3" w:rsidRPr="0009691A" w:rsidRDefault="00966FC3" w:rsidP="00552CA2">
      <w:pPr>
        <w:numPr>
          <w:ilvl w:val="0"/>
          <w:numId w:val="3"/>
        </w:numPr>
        <w:tabs>
          <w:tab w:val="left" w:pos="2160"/>
        </w:tabs>
        <w:autoSpaceDE w:val="0"/>
        <w:autoSpaceDN w:val="0"/>
        <w:adjustRightInd w:val="0"/>
        <w:spacing w:after="0" w:line="240" w:lineRule="auto"/>
        <w:ind w:left="1440" w:hanging="720"/>
        <w:contextualSpacing/>
        <w:jc w:val="both"/>
        <w:rPr>
          <w:rFonts w:ascii="Arial" w:eastAsia="Calibri" w:hAnsi="Arial" w:cs="Arial"/>
          <w:color w:val="000000"/>
        </w:rPr>
      </w:pPr>
      <w:r w:rsidRPr="0009691A">
        <w:rPr>
          <w:rFonts w:ascii="Arial" w:eastAsia="Calibri" w:hAnsi="Arial" w:cs="Arial"/>
          <w:b/>
          <w:color w:val="000000"/>
        </w:rPr>
        <w:t>Member States</w:t>
      </w:r>
      <w:r w:rsidRPr="0009691A">
        <w:rPr>
          <w:rFonts w:ascii="Arial" w:eastAsia="Calibri" w:hAnsi="Arial" w:cs="Arial"/>
          <w:color w:val="000000"/>
        </w:rPr>
        <w:t xml:space="preserve">: state and non-state actors with specific roles and responsibilities. The implementation of this plan calls for close collaboration and participation between these actors. State actors provide the political leadership necessary for the formulation and implementation of sound regional policies and programmes. Non-state actors bring with them increased financial discipline, capital injection, new management styles and a stronger commercial orientation. During implementation, there will be </w:t>
      </w:r>
      <w:r w:rsidR="0091344E">
        <w:rPr>
          <w:rFonts w:ascii="Arial" w:eastAsia="Calibri" w:hAnsi="Arial" w:cs="Arial"/>
          <w:color w:val="000000"/>
        </w:rPr>
        <w:t xml:space="preserve">a </w:t>
      </w:r>
      <w:r w:rsidRPr="0009691A">
        <w:rPr>
          <w:rFonts w:ascii="Arial" w:eastAsia="Calibri" w:hAnsi="Arial" w:cs="Arial"/>
          <w:color w:val="000000"/>
        </w:rPr>
        <w:t>need to align national, regional and global agendas, policies and plans to the Medium</w:t>
      </w:r>
      <w:r w:rsidR="0091344E">
        <w:rPr>
          <w:rFonts w:ascii="Arial" w:eastAsia="Calibri" w:hAnsi="Arial" w:cs="Arial"/>
          <w:color w:val="000000"/>
        </w:rPr>
        <w:t>-</w:t>
      </w:r>
      <w:r w:rsidRPr="0009691A">
        <w:rPr>
          <w:rFonts w:ascii="Arial" w:eastAsia="Calibri" w:hAnsi="Arial" w:cs="Arial"/>
          <w:color w:val="000000"/>
        </w:rPr>
        <w:t>Term Strategic Plan, model policies, laws and protocols.</w:t>
      </w:r>
    </w:p>
    <w:p w14:paraId="57CEF115" w14:textId="77777777" w:rsidR="00966FC3" w:rsidRPr="0009691A" w:rsidRDefault="00966FC3" w:rsidP="000C6B33">
      <w:pPr>
        <w:ind w:left="1440" w:hanging="720"/>
        <w:contextualSpacing/>
        <w:rPr>
          <w:rFonts w:ascii="Arial" w:eastAsia="Calibri" w:hAnsi="Arial" w:cs="Arial"/>
          <w:color w:val="000000"/>
        </w:rPr>
      </w:pPr>
    </w:p>
    <w:p w14:paraId="39039AA1" w14:textId="77777777" w:rsidR="005D1EBD" w:rsidRPr="0009691A" w:rsidRDefault="005D1EBD" w:rsidP="00552CA2">
      <w:pPr>
        <w:pStyle w:val="ListParagraph"/>
        <w:numPr>
          <w:ilvl w:val="0"/>
          <w:numId w:val="4"/>
        </w:numPr>
        <w:tabs>
          <w:tab w:val="left" w:pos="720"/>
        </w:tabs>
        <w:ind w:left="0" w:firstLine="0"/>
        <w:jc w:val="both"/>
        <w:rPr>
          <w:rFonts w:ascii="Arial" w:eastAsia="Calibri" w:hAnsi="Arial" w:cs="Arial"/>
          <w:color w:val="000000"/>
        </w:rPr>
      </w:pPr>
      <w:r w:rsidRPr="0009691A">
        <w:rPr>
          <w:rFonts w:ascii="Arial" w:eastAsia="Calibri" w:hAnsi="Arial" w:cs="Arial"/>
          <w:color w:val="000000"/>
        </w:rPr>
        <w:t xml:space="preserve">Separation of roles between the Secretariat and Member States: </w:t>
      </w:r>
    </w:p>
    <w:p w14:paraId="5A4FF0D2" w14:textId="77777777" w:rsidR="005D1EBD" w:rsidRPr="0009691A" w:rsidRDefault="005D1EBD" w:rsidP="005D1EBD">
      <w:pPr>
        <w:pStyle w:val="ListParagraph"/>
        <w:tabs>
          <w:tab w:val="left" w:pos="720"/>
        </w:tabs>
        <w:jc w:val="both"/>
        <w:rPr>
          <w:rFonts w:ascii="Arial" w:eastAsia="Calibri" w:hAnsi="Arial" w:cs="Arial"/>
          <w:color w:val="000000"/>
        </w:rPr>
      </w:pPr>
    </w:p>
    <w:p w14:paraId="47D69C6E" w14:textId="77777777" w:rsidR="005D1EBD" w:rsidRPr="0009691A" w:rsidRDefault="005D1EBD" w:rsidP="00552CA2">
      <w:pPr>
        <w:pStyle w:val="ListParagraph"/>
        <w:numPr>
          <w:ilvl w:val="0"/>
          <w:numId w:val="11"/>
        </w:numPr>
        <w:tabs>
          <w:tab w:val="left" w:pos="720"/>
        </w:tabs>
        <w:jc w:val="both"/>
        <w:rPr>
          <w:rFonts w:ascii="Arial" w:eastAsia="Calibri" w:hAnsi="Arial" w:cs="Arial"/>
          <w:color w:val="000000"/>
        </w:rPr>
      </w:pPr>
      <w:r w:rsidRPr="0009691A">
        <w:rPr>
          <w:rFonts w:ascii="Arial" w:eastAsia="Calibri" w:hAnsi="Arial" w:cs="Arial"/>
          <w:color w:val="000000"/>
        </w:rPr>
        <w:t xml:space="preserve">the Secretariat’s primary role relates to coordination, resource mobilisation, think tank, monitoring and evaluation of COMESA programmes: and  </w:t>
      </w:r>
    </w:p>
    <w:p w14:paraId="0F3BF045" w14:textId="77777777" w:rsidR="005D1EBD" w:rsidRPr="0009691A" w:rsidRDefault="005D1EBD" w:rsidP="005D1EBD">
      <w:pPr>
        <w:pStyle w:val="ListParagraph"/>
        <w:tabs>
          <w:tab w:val="left" w:pos="720"/>
        </w:tabs>
        <w:ind w:left="1440"/>
        <w:jc w:val="both"/>
        <w:rPr>
          <w:rFonts w:ascii="Arial" w:eastAsia="Calibri" w:hAnsi="Arial" w:cs="Arial"/>
          <w:color w:val="000000"/>
        </w:rPr>
      </w:pPr>
    </w:p>
    <w:p w14:paraId="097D4569" w14:textId="77777777" w:rsidR="005D1EBD" w:rsidRPr="0009691A" w:rsidRDefault="005D1EBD" w:rsidP="00552CA2">
      <w:pPr>
        <w:pStyle w:val="ListParagraph"/>
        <w:numPr>
          <w:ilvl w:val="0"/>
          <w:numId w:val="11"/>
        </w:numPr>
        <w:tabs>
          <w:tab w:val="left" w:pos="720"/>
        </w:tabs>
        <w:jc w:val="both"/>
        <w:rPr>
          <w:rFonts w:ascii="Arial" w:eastAsia="Calibri" w:hAnsi="Arial" w:cs="Arial"/>
          <w:color w:val="000000"/>
        </w:rPr>
      </w:pPr>
      <w:r w:rsidRPr="0009691A">
        <w:rPr>
          <w:rFonts w:ascii="Arial" w:eastAsia="Calibri" w:hAnsi="Arial" w:cs="Arial"/>
          <w:color w:val="000000"/>
        </w:rPr>
        <w:t>Member States and other Actors established under the concept of subsidiarity principle carry out actual implementation of COMESA programmes.</w:t>
      </w:r>
    </w:p>
    <w:p w14:paraId="25DC856B" w14:textId="77777777" w:rsidR="005D1EBD" w:rsidRPr="0009691A" w:rsidRDefault="005D1EBD" w:rsidP="005D1EBD">
      <w:pPr>
        <w:pStyle w:val="ListParagraph"/>
        <w:rPr>
          <w:rFonts w:ascii="Arial" w:eastAsia="Calibri" w:hAnsi="Arial" w:cs="Arial"/>
          <w:color w:val="000000"/>
        </w:rPr>
      </w:pPr>
    </w:p>
    <w:p w14:paraId="17F71D29" w14:textId="77777777" w:rsidR="00AE35BE" w:rsidRPr="0009691A" w:rsidRDefault="001D67CD" w:rsidP="00552CA2">
      <w:pPr>
        <w:pStyle w:val="ListParagraph"/>
        <w:numPr>
          <w:ilvl w:val="0"/>
          <w:numId w:val="4"/>
        </w:numPr>
        <w:tabs>
          <w:tab w:val="left" w:pos="720"/>
        </w:tabs>
        <w:ind w:left="0" w:firstLine="0"/>
        <w:jc w:val="both"/>
        <w:rPr>
          <w:rFonts w:ascii="Arial" w:eastAsia="Calibri" w:hAnsi="Arial" w:cs="Arial"/>
          <w:color w:val="000000"/>
        </w:rPr>
      </w:pPr>
      <w:r w:rsidRPr="0009691A">
        <w:rPr>
          <w:rFonts w:ascii="Arial" w:eastAsia="Calibri" w:hAnsi="Arial" w:cs="Arial"/>
          <w:color w:val="000000"/>
        </w:rPr>
        <w:t xml:space="preserve">The roles and responsibilities that each of the above stakeholders have in the implementation of </w:t>
      </w:r>
      <w:r w:rsidR="00AE35BE" w:rsidRPr="0009691A">
        <w:rPr>
          <w:rFonts w:ascii="Arial" w:eastAsia="Calibri" w:hAnsi="Arial" w:cs="Arial"/>
          <w:color w:val="000000"/>
        </w:rPr>
        <w:t xml:space="preserve">2016-2020 </w:t>
      </w:r>
      <w:r w:rsidRPr="0009691A">
        <w:rPr>
          <w:rFonts w:ascii="Arial" w:eastAsia="Calibri" w:hAnsi="Arial" w:cs="Arial"/>
          <w:color w:val="000000"/>
        </w:rPr>
        <w:t xml:space="preserve">Medium Term Strategic Plan are translated in their own Plans. Hence, a review of what each stakeholder has planned to carry out is necessary to have a holistic view of the status and adequacy of COMESA work programmes. </w:t>
      </w:r>
    </w:p>
    <w:p w14:paraId="7E2665B6" w14:textId="77777777" w:rsidR="001D67CD" w:rsidRPr="0009691A" w:rsidRDefault="001D67CD" w:rsidP="001D67CD">
      <w:pPr>
        <w:pStyle w:val="ListParagraph"/>
        <w:tabs>
          <w:tab w:val="left" w:pos="720"/>
        </w:tabs>
        <w:ind w:left="0"/>
        <w:jc w:val="both"/>
        <w:rPr>
          <w:rFonts w:ascii="Arial" w:eastAsia="Calibri" w:hAnsi="Arial" w:cs="Arial"/>
          <w:color w:val="000000"/>
        </w:rPr>
      </w:pPr>
    </w:p>
    <w:p w14:paraId="221903AF" w14:textId="77777777" w:rsidR="001D67CD" w:rsidRPr="0009691A" w:rsidRDefault="001D67CD" w:rsidP="00552CA2">
      <w:pPr>
        <w:pStyle w:val="ListParagraph"/>
        <w:numPr>
          <w:ilvl w:val="0"/>
          <w:numId w:val="4"/>
        </w:numPr>
        <w:tabs>
          <w:tab w:val="left" w:pos="720"/>
        </w:tabs>
        <w:ind w:left="0" w:firstLine="0"/>
        <w:jc w:val="both"/>
        <w:rPr>
          <w:rFonts w:ascii="Arial" w:eastAsia="Calibri" w:hAnsi="Arial" w:cs="Arial"/>
          <w:color w:val="000000"/>
        </w:rPr>
      </w:pPr>
      <w:r w:rsidRPr="0009691A">
        <w:rPr>
          <w:rFonts w:ascii="Arial" w:eastAsia="Calibri" w:hAnsi="Arial" w:cs="Arial"/>
          <w:color w:val="000000"/>
        </w:rPr>
        <w:t>In compliance with subsidiarity principle, COMESA has operationalized instruments relating to: -</w:t>
      </w:r>
    </w:p>
    <w:p w14:paraId="34AF2120" w14:textId="77777777" w:rsidR="001D67CD" w:rsidRPr="0009691A" w:rsidRDefault="001D67CD" w:rsidP="001D67CD">
      <w:pPr>
        <w:pStyle w:val="ListParagraph"/>
        <w:rPr>
          <w:rFonts w:ascii="Arial" w:eastAsia="Calibri" w:hAnsi="Arial" w:cs="Arial"/>
          <w:color w:val="000000"/>
        </w:rPr>
      </w:pPr>
    </w:p>
    <w:p w14:paraId="3D968637" w14:textId="77777777" w:rsidR="001D67CD" w:rsidRPr="0009691A" w:rsidRDefault="001D67CD" w:rsidP="00552CA2">
      <w:pPr>
        <w:pStyle w:val="ListParagraph"/>
        <w:numPr>
          <w:ilvl w:val="0"/>
          <w:numId w:val="5"/>
        </w:numPr>
        <w:tabs>
          <w:tab w:val="left" w:pos="720"/>
        </w:tabs>
        <w:jc w:val="both"/>
        <w:rPr>
          <w:rFonts w:ascii="Arial" w:eastAsia="Calibri" w:hAnsi="Arial" w:cs="Arial"/>
          <w:color w:val="000000"/>
        </w:rPr>
      </w:pPr>
      <w:r w:rsidRPr="0009691A">
        <w:rPr>
          <w:rFonts w:ascii="Arial" w:eastAsia="Calibri" w:hAnsi="Arial" w:cs="Arial"/>
          <w:color w:val="000000"/>
        </w:rPr>
        <w:t>Provision of grants to support implementation of COMESA work programmes; and</w:t>
      </w:r>
    </w:p>
    <w:p w14:paraId="0B230688" w14:textId="77777777" w:rsidR="001D67CD" w:rsidRPr="0009691A" w:rsidRDefault="001D67CD" w:rsidP="00552CA2">
      <w:pPr>
        <w:pStyle w:val="ListParagraph"/>
        <w:numPr>
          <w:ilvl w:val="0"/>
          <w:numId w:val="5"/>
        </w:numPr>
        <w:tabs>
          <w:tab w:val="left" w:pos="720"/>
        </w:tabs>
        <w:jc w:val="both"/>
        <w:rPr>
          <w:rFonts w:ascii="Arial" w:eastAsia="Calibri" w:hAnsi="Arial" w:cs="Arial"/>
          <w:color w:val="000000"/>
        </w:rPr>
      </w:pPr>
      <w:r w:rsidRPr="0009691A">
        <w:rPr>
          <w:rFonts w:ascii="Arial" w:eastAsia="Calibri" w:hAnsi="Arial" w:cs="Arial"/>
          <w:color w:val="000000"/>
        </w:rPr>
        <w:t>Sub delegation of the implementation of COMESA work programmes</w:t>
      </w:r>
    </w:p>
    <w:p w14:paraId="59BE437B" w14:textId="6684CE06" w:rsidR="00AE35BE" w:rsidRDefault="00AE35BE" w:rsidP="00AE35BE">
      <w:pPr>
        <w:pStyle w:val="ListParagraph"/>
        <w:tabs>
          <w:tab w:val="left" w:pos="720"/>
        </w:tabs>
        <w:ind w:left="0"/>
        <w:jc w:val="both"/>
        <w:rPr>
          <w:rFonts w:ascii="Arial" w:eastAsia="Calibri" w:hAnsi="Arial" w:cs="Arial"/>
          <w:color w:val="000000"/>
        </w:rPr>
      </w:pPr>
    </w:p>
    <w:p w14:paraId="74DEC8CF" w14:textId="05812821" w:rsidR="00E71326" w:rsidRPr="0009691A" w:rsidRDefault="00E71326" w:rsidP="00E71326">
      <w:pPr>
        <w:pStyle w:val="Heading3"/>
        <w:rPr>
          <w:sz w:val="22"/>
          <w:szCs w:val="22"/>
        </w:rPr>
      </w:pPr>
      <w:bookmarkStart w:id="9" w:name="_Toc23006782"/>
      <w:r>
        <w:rPr>
          <w:sz w:val="22"/>
          <w:szCs w:val="22"/>
        </w:rPr>
        <w:t>Non-fungibility of funding under grant contracts</w:t>
      </w:r>
      <w:bookmarkEnd w:id="9"/>
    </w:p>
    <w:p w14:paraId="00780480" w14:textId="7263B426" w:rsidR="00105CBD" w:rsidRDefault="00E71326" w:rsidP="00552CA2">
      <w:pPr>
        <w:pStyle w:val="ListParagraph"/>
        <w:numPr>
          <w:ilvl w:val="0"/>
          <w:numId w:val="4"/>
        </w:numPr>
        <w:tabs>
          <w:tab w:val="left" w:pos="720"/>
        </w:tabs>
        <w:ind w:left="0" w:firstLine="0"/>
        <w:jc w:val="both"/>
        <w:rPr>
          <w:rFonts w:ascii="Arial" w:eastAsia="Calibri" w:hAnsi="Arial" w:cs="Arial"/>
        </w:rPr>
      </w:pPr>
      <w:r>
        <w:rPr>
          <w:rFonts w:ascii="Arial" w:eastAsia="Calibri" w:hAnsi="Arial" w:cs="Arial"/>
        </w:rPr>
        <w:t xml:space="preserve">The rigidities that come with resources provided by Cooperating Partners translate into lack of flexibility. </w:t>
      </w:r>
      <w:r w:rsidRPr="00E71326">
        <w:rPr>
          <w:rFonts w:ascii="Arial" w:eastAsia="Calibri" w:hAnsi="Arial" w:cs="Arial"/>
        </w:rPr>
        <w:t>Resources availed on a grant contract cannot be switched</w:t>
      </w:r>
      <w:r>
        <w:rPr>
          <w:rFonts w:ascii="Arial" w:eastAsia="Calibri" w:hAnsi="Arial" w:cs="Arial"/>
        </w:rPr>
        <w:t xml:space="preserve">, neither </w:t>
      </w:r>
      <w:r w:rsidRPr="00E71326">
        <w:rPr>
          <w:rFonts w:ascii="Arial" w:eastAsia="Calibri" w:hAnsi="Arial" w:cs="Arial"/>
        </w:rPr>
        <w:t xml:space="preserve">inter-changed with </w:t>
      </w:r>
      <w:r w:rsidRPr="00E71326">
        <w:rPr>
          <w:rFonts w:ascii="Arial" w:eastAsia="Calibri" w:hAnsi="Arial" w:cs="Arial"/>
        </w:rPr>
        <w:lastRenderedPageBreak/>
        <w:t>resources availed on another grant contract and or indeed with activities, which are not provided for within grant contract result areas and or grant contract budget lines</w:t>
      </w:r>
      <w:r>
        <w:rPr>
          <w:rFonts w:ascii="Arial" w:eastAsia="Calibri" w:hAnsi="Arial" w:cs="Arial"/>
        </w:rPr>
        <w:t>.</w:t>
      </w:r>
    </w:p>
    <w:p w14:paraId="7602FB68" w14:textId="77777777" w:rsidR="00E71326" w:rsidRDefault="00E71326" w:rsidP="00E71326">
      <w:pPr>
        <w:pStyle w:val="ListParagraph"/>
        <w:tabs>
          <w:tab w:val="left" w:pos="720"/>
        </w:tabs>
        <w:ind w:left="0"/>
        <w:jc w:val="both"/>
        <w:rPr>
          <w:rFonts w:ascii="Arial" w:eastAsia="Calibri" w:hAnsi="Arial" w:cs="Arial"/>
        </w:rPr>
      </w:pPr>
    </w:p>
    <w:p w14:paraId="169878EC" w14:textId="60725072" w:rsidR="00E71326" w:rsidRPr="00E71326" w:rsidRDefault="003F4C85" w:rsidP="00552CA2">
      <w:pPr>
        <w:pStyle w:val="ListParagraph"/>
        <w:numPr>
          <w:ilvl w:val="0"/>
          <w:numId w:val="4"/>
        </w:numPr>
        <w:tabs>
          <w:tab w:val="left" w:pos="720"/>
        </w:tabs>
        <w:ind w:left="0" w:firstLine="0"/>
        <w:jc w:val="both"/>
        <w:rPr>
          <w:rFonts w:ascii="Arial" w:eastAsia="Calibri" w:hAnsi="Arial" w:cs="Arial"/>
        </w:rPr>
      </w:pPr>
      <w:r>
        <w:rPr>
          <w:rFonts w:ascii="Arial" w:eastAsia="Calibri" w:hAnsi="Arial" w:cs="Arial"/>
        </w:rPr>
        <w:t>COMESA engages its Cooperating Partners, at all levels to ensure continuous alignment of support from Cooperating Partners with COMESA’s Medium</w:t>
      </w:r>
      <w:r w:rsidR="0018592C">
        <w:rPr>
          <w:rFonts w:ascii="Arial" w:eastAsia="Calibri" w:hAnsi="Arial" w:cs="Arial"/>
        </w:rPr>
        <w:t>-</w:t>
      </w:r>
      <w:r>
        <w:rPr>
          <w:rFonts w:ascii="Arial" w:eastAsia="Calibri" w:hAnsi="Arial" w:cs="Arial"/>
        </w:rPr>
        <w:t>Term Strategic Plan strategic objectives</w:t>
      </w:r>
      <w:r w:rsidR="0018592C">
        <w:rPr>
          <w:rFonts w:ascii="Arial" w:eastAsia="Calibri" w:hAnsi="Arial" w:cs="Arial"/>
        </w:rPr>
        <w:t xml:space="preserve">, </w:t>
      </w:r>
      <w:r>
        <w:rPr>
          <w:rFonts w:ascii="Arial" w:eastAsia="Calibri" w:hAnsi="Arial" w:cs="Arial"/>
        </w:rPr>
        <w:t>priorities</w:t>
      </w:r>
      <w:r w:rsidR="0018592C">
        <w:rPr>
          <w:rFonts w:ascii="Arial" w:eastAsia="Calibri" w:hAnsi="Arial" w:cs="Arial"/>
        </w:rPr>
        <w:t xml:space="preserve"> and interventions</w:t>
      </w:r>
      <w:r>
        <w:rPr>
          <w:rFonts w:ascii="Arial" w:eastAsia="Calibri" w:hAnsi="Arial" w:cs="Arial"/>
        </w:rPr>
        <w:t xml:space="preserve">. </w:t>
      </w:r>
    </w:p>
    <w:p w14:paraId="170DE8A0" w14:textId="0BA1F7DA" w:rsidR="00105CBD" w:rsidRDefault="00105CBD" w:rsidP="00AE35BE">
      <w:pPr>
        <w:pStyle w:val="ListParagraph"/>
        <w:tabs>
          <w:tab w:val="left" w:pos="720"/>
        </w:tabs>
        <w:ind w:left="0"/>
        <w:jc w:val="both"/>
        <w:rPr>
          <w:rFonts w:ascii="Arial" w:eastAsia="Calibri" w:hAnsi="Arial" w:cs="Arial"/>
          <w:color w:val="000000"/>
        </w:rPr>
      </w:pPr>
    </w:p>
    <w:p w14:paraId="440AB198" w14:textId="77777777" w:rsidR="00B04DFC" w:rsidRPr="00B04DFC" w:rsidRDefault="0009691A" w:rsidP="00B04DFC">
      <w:pPr>
        <w:pStyle w:val="Heading2"/>
        <w:tabs>
          <w:tab w:val="left" w:pos="720"/>
        </w:tabs>
        <w:rPr>
          <w:rFonts w:ascii="Arial" w:eastAsia="Times New Roman" w:hAnsi="Arial" w:cs="Arial"/>
          <w:sz w:val="22"/>
          <w:szCs w:val="22"/>
        </w:rPr>
      </w:pPr>
      <w:bookmarkStart w:id="10" w:name="_Toc23006783"/>
      <w:r>
        <w:rPr>
          <w:rFonts w:ascii="Arial" w:eastAsia="Times New Roman" w:hAnsi="Arial" w:cs="Arial"/>
          <w:sz w:val="22"/>
          <w:szCs w:val="22"/>
        </w:rPr>
        <w:t>A3:</w:t>
      </w:r>
      <w:r>
        <w:rPr>
          <w:rFonts w:ascii="Arial" w:eastAsia="Times New Roman" w:hAnsi="Arial" w:cs="Arial"/>
          <w:sz w:val="22"/>
          <w:szCs w:val="22"/>
        </w:rPr>
        <w:tab/>
      </w:r>
      <w:r w:rsidR="00BC083D" w:rsidRPr="00B04DFC">
        <w:rPr>
          <w:rFonts w:ascii="Arial" w:eastAsia="Times New Roman" w:hAnsi="Arial" w:cs="Arial"/>
          <w:sz w:val="22"/>
          <w:szCs w:val="22"/>
        </w:rPr>
        <w:t>Overall Environment Scan for COMESA Region</w:t>
      </w:r>
      <w:bookmarkEnd w:id="10"/>
      <w:r w:rsidR="00B04DFC" w:rsidRPr="00B04DFC">
        <w:rPr>
          <w:rFonts w:ascii="Arial" w:eastAsia="Times New Roman" w:hAnsi="Arial" w:cs="Arial"/>
          <w:sz w:val="22"/>
          <w:szCs w:val="22"/>
        </w:rPr>
        <w:t xml:space="preserve"> </w:t>
      </w:r>
    </w:p>
    <w:p w14:paraId="79CFF1FF" w14:textId="00B58ABD" w:rsidR="0018592C" w:rsidRPr="0018592C" w:rsidRDefault="00B04DFC" w:rsidP="00552CA2">
      <w:pPr>
        <w:pStyle w:val="ListParagraph"/>
        <w:numPr>
          <w:ilvl w:val="0"/>
          <w:numId w:val="4"/>
        </w:numPr>
        <w:tabs>
          <w:tab w:val="left" w:pos="720"/>
        </w:tabs>
        <w:ind w:left="0" w:firstLine="0"/>
        <w:jc w:val="both"/>
        <w:rPr>
          <w:rFonts w:ascii="Arial" w:hAnsi="Arial" w:cs="Arial"/>
          <w:lang w:val="en-GB" w:eastAsia="x-none"/>
        </w:rPr>
      </w:pPr>
      <w:r w:rsidRPr="00721E95">
        <w:rPr>
          <w:rFonts w:ascii="Arial" w:hAnsi="Arial" w:cs="Arial"/>
        </w:rPr>
        <w:t>The economic accomplishments of</w:t>
      </w:r>
      <w:r>
        <w:rPr>
          <w:rFonts w:ascii="Arial" w:hAnsi="Arial" w:cs="Arial"/>
        </w:rPr>
        <w:t xml:space="preserve"> the region remain low with </w:t>
      </w:r>
      <w:r w:rsidRPr="00721E95">
        <w:rPr>
          <w:rFonts w:ascii="Arial" w:hAnsi="Arial" w:cs="Arial"/>
        </w:rPr>
        <w:t>COMESA region’s ave</w:t>
      </w:r>
      <w:r>
        <w:rPr>
          <w:rFonts w:ascii="Arial" w:hAnsi="Arial" w:cs="Arial"/>
        </w:rPr>
        <w:t xml:space="preserve">rage growth </w:t>
      </w:r>
      <w:r w:rsidRPr="0018592C">
        <w:rPr>
          <w:rFonts w:ascii="Arial" w:hAnsi="Arial" w:cs="Arial"/>
        </w:rPr>
        <w:t>decelerating to 4.7% in 2018 from 7.5% in 2017 and is projected to decrease to 3.5% in 2019, which is as a result of the decrease in growth in a number of Member States. However, growth in some Member States namely; Djibouti, Egypt, Ethiopia, Kenya, Madagascar, Rwanda, and Uganda higher than 5% was supported mainly by increased public and private construction investment, improved conditions for doing business; improved global environment and growth in agricultural production in countries where weather conditions remained favourable. Despite improved growth in some member countries, current growth rates are not adequate to eradicate poverty or achieve the other SDGs in the region by 2030.</w:t>
      </w:r>
      <w:r w:rsidR="0018592C" w:rsidRPr="0018592C">
        <w:rPr>
          <w:rFonts w:ascii="Arial" w:hAnsi="Arial" w:cs="Arial"/>
        </w:rPr>
        <w:t xml:space="preserve">  </w:t>
      </w:r>
      <w:r w:rsidR="0018592C" w:rsidRPr="0018592C">
        <w:rPr>
          <w:rFonts w:ascii="Arial" w:hAnsi="Arial" w:cs="Arial"/>
          <w:lang w:val="en-GB"/>
        </w:rPr>
        <w:t>Table 3 below shows the Real GDP Growth (</w:t>
      </w:r>
      <w:r w:rsidR="0018592C" w:rsidRPr="0018592C">
        <w:rPr>
          <w:rFonts w:ascii="Arial" w:hAnsi="Arial" w:cs="Arial"/>
          <w:i/>
          <w:lang w:val="en-GB"/>
        </w:rPr>
        <w:t>percent</w:t>
      </w:r>
      <w:r w:rsidR="0018592C" w:rsidRPr="0018592C">
        <w:rPr>
          <w:rFonts w:ascii="Arial" w:hAnsi="Arial" w:cs="Arial"/>
          <w:lang w:val="en-GB"/>
        </w:rPr>
        <w:t>), from 2013 to projections for 2019.</w:t>
      </w:r>
    </w:p>
    <w:p w14:paraId="07C1759E" w14:textId="77777777" w:rsidR="00B04DFC" w:rsidRPr="00721E95" w:rsidRDefault="00B04DFC" w:rsidP="00B04DFC">
      <w:pPr>
        <w:pStyle w:val="ListParagraph"/>
        <w:tabs>
          <w:tab w:val="left" w:pos="720"/>
        </w:tabs>
        <w:ind w:left="0"/>
        <w:jc w:val="both"/>
        <w:rPr>
          <w:rFonts w:ascii="Arial" w:hAnsi="Arial" w:cs="Arial"/>
          <w:lang w:val="en-GB" w:eastAsia="x-none"/>
        </w:rPr>
      </w:pPr>
    </w:p>
    <w:p w14:paraId="23C9E53F" w14:textId="28CCB63C" w:rsidR="00B04DFC" w:rsidRPr="0018592C" w:rsidRDefault="00B04DFC" w:rsidP="00B04DFC">
      <w:pPr>
        <w:pStyle w:val="NoSpacing"/>
        <w:ind w:left="720"/>
        <w:rPr>
          <w:b/>
          <w:lang w:val="en-GB"/>
        </w:rPr>
      </w:pPr>
      <w:r w:rsidRPr="0018592C">
        <w:rPr>
          <w:b/>
          <w:lang w:val="en-GB"/>
        </w:rPr>
        <w:t xml:space="preserve">Table </w:t>
      </w:r>
      <w:r w:rsidR="0018592C" w:rsidRPr="0018592C">
        <w:rPr>
          <w:b/>
          <w:lang w:val="en-GB"/>
        </w:rPr>
        <w:t>3</w:t>
      </w:r>
      <w:r w:rsidRPr="0018592C">
        <w:rPr>
          <w:b/>
          <w:lang w:val="en-GB"/>
        </w:rPr>
        <w:t>: Real GDP Growth (</w:t>
      </w:r>
      <w:r w:rsidRPr="0018592C">
        <w:rPr>
          <w:b/>
          <w:i/>
          <w:lang w:val="en-GB"/>
        </w:rPr>
        <w:t>percent</w:t>
      </w:r>
      <w:r w:rsidRPr="0018592C">
        <w:rPr>
          <w:b/>
          <w:lang w:val="en-GB"/>
        </w:rPr>
        <w:t>)</w:t>
      </w:r>
    </w:p>
    <w:tbl>
      <w:tblPr>
        <w:tblW w:w="8680" w:type="dxa"/>
        <w:tblInd w:w="93" w:type="dxa"/>
        <w:tblLook w:val="04A0" w:firstRow="1" w:lastRow="0" w:firstColumn="1" w:lastColumn="0" w:noHBand="0" w:noVBand="1"/>
      </w:tblPr>
      <w:tblGrid>
        <w:gridCol w:w="1960"/>
        <w:gridCol w:w="960"/>
        <w:gridCol w:w="960"/>
        <w:gridCol w:w="960"/>
        <w:gridCol w:w="960"/>
        <w:gridCol w:w="960"/>
        <w:gridCol w:w="960"/>
        <w:gridCol w:w="960"/>
      </w:tblGrid>
      <w:tr w:rsidR="00B04DFC" w:rsidRPr="0018592C" w14:paraId="42FFEC72" w14:textId="77777777" w:rsidTr="00B04DFC">
        <w:trPr>
          <w:trHeight w:val="300"/>
          <w:tblHeader/>
        </w:trPr>
        <w:tc>
          <w:tcPr>
            <w:tcW w:w="1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99E2D4" w14:textId="77777777" w:rsidR="00B04DFC" w:rsidRPr="0018592C" w:rsidRDefault="00B04DFC" w:rsidP="00D063A1">
            <w:pPr>
              <w:spacing w:after="0" w:line="240" w:lineRule="auto"/>
              <w:rPr>
                <w:rFonts w:ascii="Arial Narrow" w:eastAsia="Times New Roman" w:hAnsi="Arial Narrow" w:cs="Arial"/>
                <w:b/>
                <w:bCs/>
                <w:sz w:val="20"/>
                <w:szCs w:val="20"/>
              </w:rPr>
            </w:pPr>
            <w:r w:rsidRPr="0018592C">
              <w:rPr>
                <w:rFonts w:ascii="Arial Narrow" w:eastAsia="Times New Roman" w:hAnsi="Arial Narrow" w:cs="Arial"/>
                <w:b/>
                <w:bCs/>
                <w:sz w:val="20"/>
                <w:szCs w:val="20"/>
                <w:lang w:val="en-GB"/>
              </w:rPr>
              <w:t>Country</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19FBE1B" w14:textId="77777777" w:rsidR="00B04DFC" w:rsidRPr="0018592C" w:rsidRDefault="00B04DFC" w:rsidP="00D063A1">
            <w:pPr>
              <w:spacing w:after="0" w:line="240" w:lineRule="auto"/>
              <w:jc w:val="center"/>
              <w:rPr>
                <w:rFonts w:ascii="Arial Narrow" w:eastAsia="Times New Roman" w:hAnsi="Arial Narrow" w:cs="Arial"/>
                <w:b/>
                <w:bCs/>
                <w:sz w:val="20"/>
                <w:szCs w:val="20"/>
              </w:rPr>
            </w:pPr>
            <w:r w:rsidRPr="0018592C">
              <w:rPr>
                <w:rFonts w:ascii="Arial Narrow" w:eastAsia="Times New Roman" w:hAnsi="Arial Narrow" w:cs="Arial"/>
                <w:b/>
                <w:bCs/>
                <w:sz w:val="20"/>
                <w:szCs w:val="20"/>
                <w:lang w:val="en-GB"/>
              </w:rPr>
              <w:t>2013</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4CB22D" w14:textId="77777777" w:rsidR="00B04DFC" w:rsidRPr="0018592C" w:rsidRDefault="00B04DFC" w:rsidP="00D063A1">
            <w:pPr>
              <w:spacing w:after="0" w:line="240" w:lineRule="auto"/>
              <w:jc w:val="center"/>
              <w:rPr>
                <w:rFonts w:ascii="Arial Narrow" w:eastAsia="Times New Roman" w:hAnsi="Arial Narrow" w:cs="Arial"/>
                <w:b/>
                <w:bCs/>
                <w:sz w:val="20"/>
                <w:szCs w:val="20"/>
              </w:rPr>
            </w:pPr>
            <w:r w:rsidRPr="0018592C">
              <w:rPr>
                <w:rFonts w:ascii="Arial Narrow" w:eastAsia="Times New Roman" w:hAnsi="Arial Narrow" w:cs="Arial"/>
                <w:b/>
                <w:bCs/>
                <w:sz w:val="20"/>
                <w:szCs w:val="20"/>
                <w:lang w:val="en-GB"/>
              </w:rPr>
              <w:t>2014</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5C542B" w14:textId="77777777" w:rsidR="00B04DFC" w:rsidRPr="0018592C" w:rsidRDefault="00B04DFC" w:rsidP="00D063A1">
            <w:pPr>
              <w:spacing w:after="0" w:line="240" w:lineRule="auto"/>
              <w:jc w:val="center"/>
              <w:rPr>
                <w:rFonts w:ascii="Arial Narrow" w:eastAsia="Times New Roman" w:hAnsi="Arial Narrow" w:cs="Arial"/>
                <w:b/>
                <w:bCs/>
                <w:sz w:val="20"/>
                <w:szCs w:val="20"/>
              </w:rPr>
            </w:pPr>
            <w:r w:rsidRPr="0018592C">
              <w:rPr>
                <w:rFonts w:ascii="Arial Narrow" w:eastAsia="Times New Roman" w:hAnsi="Arial Narrow" w:cs="Arial"/>
                <w:b/>
                <w:bCs/>
                <w:sz w:val="20"/>
                <w:szCs w:val="20"/>
                <w:lang w:val="en-GB"/>
              </w:rPr>
              <w:t>2015</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15E989" w14:textId="77777777" w:rsidR="00B04DFC" w:rsidRPr="0018592C" w:rsidRDefault="00B04DFC" w:rsidP="00D063A1">
            <w:pPr>
              <w:spacing w:after="0" w:line="240" w:lineRule="auto"/>
              <w:jc w:val="center"/>
              <w:rPr>
                <w:rFonts w:ascii="Arial Narrow" w:eastAsia="Times New Roman" w:hAnsi="Arial Narrow" w:cs="Arial"/>
                <w:b/>
                <w:bCs/>
                <w:sz w:val="20"/>
                <w:szCs w:val="20"/>
              </w:rPr>
            </w:pPr>
            <w:r w:rsidRPr="0018592C">
              <w:rPr>
                <w:rFonts w:ascii="Arial Narrow" w:eastAsia="Times New Roman" w:hAnsi="Arial Narrow" w:cs="Arial"/>
                <w:b/>
                <w:bCs/>
                <w:sz w:val="20"/>
                <w:szCs w:val="20"/>
                <w:lang w:val="en-GB"/>
              </w:rPr>
              <w:t>2016</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AD0689" w14:textId="77777777" w:rsidR="00B04DFC" w:rsidRPr="0018592C" w:rsidRDefault="00B04DFC" w:rsidP="00D063A1">
            <w:pPr>
              <w:spacing w:after="0" w:line="240" w:lineRule="auto"/>
              <w:jc w:val="center"/>
              <w:rPr>
                <w:rFonts w:ascii="Arial Narrow" w:eastAsia="Times New Roman" w:hAnsi="Arial Narrow" w:cs="Arial"/>
                <w:b/>
                <w:bCs/>
                <w:sz w:val="20"/>
                <w:szCs w:val="20"/>
              </w:rPr>
            </w:pPr>
            <w:r w:rsidRPr="0018592C">
              <w:rPr>
                <w:rFonts w:ascii="Arial Narrow" w:eastAsia="Times New Roman" w:hAnsi="Arial Narrow" w:cs="Arial"/>
                <w:b/>
                <w:bCs/>
                <w:sz w:val="20"/>
                <w:szCs w:val="20"/>
                <w:lang w:val="en-GB"/>
              </w:rPr>
              <w:t>2017</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E0807A" w14:textId="77777777" w:rsidR="00B04DFC" w:rsidRPr="0018592C" w:rsidRDefault="00B04DFC" w:rsidP="00D063A1">
            <w:pPr>
              <w:spacing w:after="0" w:line="240" w:lineRule="auto"/>
              <w:jc w:val="center"/>
              <w:rPr>
                <w:rFonts w:ascii="Arial Narrow" w:eastAsia="Times New Roman" w:hAnsi="Arial Narrow" w:cs="Arial"/>
                <w:b/>
                <w:bCs/>
                <w:sz w:val="20"/>
                <w:szCs w:val="20"/>
              </w:rPr>
            </w:pPr>
            <w:r w:rsidRPr="0018592C">
              <w:rPr>
                <w:rFonts w:ascii="Arial Narrow" w:eastAsia="Times New Roman" w:hAnsi="Arial Narrow" w:cs="Arial"/>
                <w:b/>
                <w:bCs/>
                <w:sz w:val="20"/>
                <w:szCs w:val="20"/>
                <w:lang w:val="en-GB"/>
              </w:rPr>
              <w:t>2018</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8AD7F78" w14:textId="77777777" w:rsidR="00B04DFC" w:rsidRPr="0018592C" w:rsidRDefault="00B04DFC" w:rsidP="00D063A1">
            <w:pPr>
              <w:spacing w:after="0" w:line="240" w:lineRule="auto"/>
              <w:jc w:val="center"/>
              <w:rPr>
                <w:rFonts w:ascii="Arial Narrow" w:eastAsia="Times New Roman" w:hAnsi="Arial Narrow" w:cs="Arial"/>
                <w:b/>
                <w:bCs/>
                <w:sz w:val="20"/>
                <w:szCs w:val="20"/>
              </w:rPr>
            </w:pPr>
            <w:r w:rsidRPr="0018592C">
              <w:rPr>
                <w:rFonts w:ascii="Arial Narrow" w:eastAsia="Times New Roman" w:hAnsi="Arial Narrow" w:cs="Arial"/>
                <w:b/>
                <w:bCs/>
                <w:sz w:val="20"/>
                <w:szCs w:val="20"/>
                <w:lang w:val="en-GB"/>
              </w:rPr>
              <w:t>2019(p)</w:t>
            </w:r>
          </w:p>
        </w:tc>
      </w:tr>
      <w:tr w:rsidR="00B04DFC" w:rsidRPr="0018592C" w14:paraId="29567EF7" w14:textId="77777777" w:rsidTr="00D063A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F1EA0B0" w14:textId="77777777" w:rsidR="00B04DFC" w:rsidRPr="0018592C" w:rsidRDefault="00B04DFC" w:rsidP="00D063A1">
            <w:pPr>
              <w:spacing w:after="0" w:line="240" w:lineRule="auto"/>
              <w:rPr>
                <w:rFonts w:ascii="Arial Narrow" w:eastAsia="Times New Roman" w:hAnsi="Arial Narrow" w:cs="Arial"/>
                <w:sz w:val="20"/>
                <w:szCs w:val="20"/>
              </w:rPr>
            </w:pPr>
            <w:r w:rsidRPr="0018592C">
              <w:rPr>
                <w:rFonts w:ascii="Arial Narrow" w:eastAsia="Times New Roman" w:hAnsi="Arial Narrow" w:cs="Arial"/>
                <w:sz w:val="20"/>
                <w:szCs w:val="20"/>
                <w:lang w:val="en-GB"/>
              </w:rPr>
              <w:t>Burundi</w:t>
            </w:r>
          </w:p>
        </w:tc>
        <w:tc>
          <w:tcPr>
            <w:tcW w:w="960" w:type="dxa"/>
            <w:tcBorders>
              <w:top w:val="nil"/>
              <w:left w:val="nil"/>
              <w:bottom w:val="single" w:sz="4" w:space="0" w:color="auto"/>
              <w:right w:val="single" w:sz="4" w:space="0" w:color="auto"/>
            </w:tcBorders>
            <w:shd w:val="clear" w:color="auto" w:fill="auto"/>
            <w:vAlign w:val="center"/>
            <w:hideMark/>
          </w:tcPr>
          <w:p w14:paraId="05076086"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4.5</w:t>
            </w:r>
          </w:p>
        </w:tc>
        <w:tc>
          <w:tcPr>
            <w:tcW w:w="960" w:type="dxa"/>
            <w:tcBorders>
              <w:top w:val="nil"/>
              <w:left w:val="nil"/>
              <w:bottom w:val="single" w:sz="4" w:space="0" w:color="auto"/>
              <w:right w:val="single" w:sz="4" w:space="0" w:color="auto"/>
            </w:tcBorders>
            <w:shd w:val="clear" w:color="auto" w:fill="auto"/>
            <w:vAlign w:val="center"/>
            <w:hideMark/>
          </w:tcPr>
          <w:p w14:paraId="070EAD67"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4.7</w:t>
            </w:r>
          </w:p>
        </w:tc>
        <w:tc>
          <w:tcPr>
            <w:tcW w:w="960" w:type="dxa"/>
            <w:tcBorders>
              <w:top w:val="nil"/>
              <w:left w:val="nil"/>
              <w:bottom w:val="single" w:sz="4" w:space="0" w:color="auto"/>
              <w:right w:val="single" w:sz="4" w:space="0" w:color="auto"/>
            </w:tcBorders>
            <w:shd w:val="clear" w:color="auto" w:fill="auto"/>
            <w:vAlign w:val="center"/>
            <w:hideMark/>
          </w:tcPr>
          <w:p w14:paraId="591F0F26"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-3.9</w:t>
            </w:r>
          </w:p>
        </w:tc>
        <w:tc>
          <w:tcPr>
            <w:tcW w:w="960" w:type="dxa"/>
            <w:tcBorders>
              <w:top w:val="nil"/>
              <w:left w:val="nil"/>
              <w:bottom w:val="single" w:sz="4" w:space="0" w:color="auto"/>
              <w:right w:val="single" w:sz="4" w:space="0" w:color="auto"/>
            </w:tcBorders>
            <w:shd w:val="clear" w:color="auto" w:fill="auto"/>
            <w:vAlign w:val="center"/>
            <w:hideMark/>
          </w:tcPr>
          <w:p w14:paraId="179510A1"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-0.9</w:t>
            </w:r>
          </w:p>
        </w:tc>
        <w:tc>
          <w:tcPr>
            <w:tcW w:w="960" w:type="dxa"/>
            <w:tcBorders>
              <w:top w:val="nil"/>
              <w:left w:val="nil"/>
              <w:bottom w:val="single" w:sz="4" w:space="0" w:color="auto"/>
              <w:right w:val="single" w:sz="4" w:space="0" w:color="auto"/>
            </w:tcBorders>
            <w:shd w:val="clear" w:color="auto" w:fill="auto"/>
            <w:vAlign w:val="center"/>
            <w:hideMark/>
          </w:tcPr>
          <w:p w14:paraId="4CABB293"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0</w:t>
            </w:r>
          </w:p>
        </w:tc>
        <w:tc>
          <w:tcPr>
            <w:tcW w:w="960" w:type="dxa"/>
            <w:tcBorders>
              <w:top w:val="nil"/>
              <w:left w:val="nil"/>
              <w:bottom w:val="single" w:sz="4" w:space="0" w:color="auto"/>
              <w:right w:val="single" w:sz="4" w:space="0" w:color="auto"/>
            </w:tcBorders>
            <w:shd w:val="clear" w:color="auto" w:fill="auto"/>
            <w:vAlign w:val="center"/>
            <w:hideMark/>
          </w:tcPr>
          <w:p w14:paraId="71EE932E"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0.1</w:t>
            </w:r>
          </w:p>
        </w:tc>
        <w:tc>
          <w:tcPr>
            <w:tcW w:w="960" w:type="dxa"/>
            <w:tcBorders>
              <w:top w:val="nil"/>
              <w:left w:val="nil"/>
              <w:bottom w:val="single" w:sz="4" w:space="0" w:color="auto"/>
              <w:right w:val="single" w:sz="4" w:space="0" w:color="auto"/>
            </w:tcBorders>
            <w:shd w:val="clear" w:color="auto" w:fill="auto"/>
            <w:vAlign w:val="center"/>
            <w:hideMark/>
          </w:tcPr>
          <w:p w14:paraId="68914D7C"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0.42</w:t>
            </w:r>
          </w:p>
        </w:tc>
      </w:tr>
      <w:tr w:rsidR="00B04DFC" w:rsidRPr="0018592C" w14:paraId="36859919" w14:textId="77777777" w:rsidTr="00D063A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651994D" w14:textId="77777777" w:rsidR="00B04DFC" w:rsidRPr="0018592C" w:rsidRDefault="00B04DFC" w:rsidP="00D063A1">
            <w:pPr>
              <w:spacing w:after="0" w:line="240" w:lineRule="auto"/>
              <w:rPr>
                <w:rFonts w:ascii="Arial Narrow" w:eastAsia="Times New Roman" w:hAnsi="Arial Narrow" w:cs="Arial"/>
                <w:sz w:val="20"/>
                <w:szCs w:val="20"/>
              </w:rPr>
            </w:pPr>
            <w:r w:rsidRPr="0018592C">
              <w:rPr>
                <w:rFonts w:ascii="Arial Narrow" w:eastAsia="Times New Roman" w:hAnsi="Arial Narrow" w:cs="Arial"/>
                <w:sz w:val="20"/>
                <w:szCs w:val="20"/>
                <w:lang w:val="en-GB"/>
              </w:rPr>
              <w:t>Comoros</w:t>
            </w:r>
          </w:p>
        </w:tc>
        <w:tc>
          <w:tcPr>
            <w:tcW w:w="960" w:type="dxa"/>
            <w:tcBorders>
              <w:top w:val="nil"/>
              <w:left w:val="nil"/>
              <w:bottom w:val="single" w:sz="4" w:space="0" w:color="auto"/>
              <w:right w:val="single" w:sz="4" w:space="0" w:color="auto"/>
            </w:tcBorders>
            <w:shd w:val="clear" w:color="auto" w:fill="auto"/>
            <w:vAlign w:val="center"/>
            <w:hideMark/>
          </w:tcPr>
          <w:p w14:paraId="33731B6E"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3.5</w:t>
            </w:r>
          </w:p>
        </w:tc>
        <w:tc>
          <w:tcPr>
            <w:tcW w:w="960" w:type="dxa"/>
            <w:tcBorders>
              <w:top w:val="nil"/>
              <w:left w:val="nil"/>
              <w:bottom w:val="single" w:sz="4" w:space="0" w:color="auto"/>
              <w:right w:val="single" w:sz="4" w:space="0" w:color="auto"/>
            </w:tcBorders>
            <w:shd w:val="clear" w:color="auto" w:fill="auto"/>
            <w:vAlign w:val="center"/>
            <w:hideMark/>
          </w:tcPr>
          <w:p w14:paraId="61F0198F"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2</w:t>
            </w:r>
          </w:p>
        </w:tc>
        <w:tc>
          <w:tcPr>
            <w:tcW w:w="960" w:type="dxa"/>
            <w:tcBorders>
              <w:top w:val="nil"/>
              <w:left w:val="nil"/>
              <w:bottom w:val="single" w:sz="4" w:space="0" w:color="auto"/>
              <w:right w:val="single" w:sz="4" w:space="0" w:color="auto"/>
            </w:tcBorders>
            <w:shd w:val="clear" w:color="auto" w:fill="auto"/>
            <w:vAlign w:val="center"/>
            <w:hideMark/>
          </w:tcPr>
          <w:p w14:paraId="5311718B"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1</w:t>
            </w:r>
          </w:p>
        </w:tc>
        <w:tc>
          <w:tcPr>
            <w:tcW w:w="960" w:type="dxa"/>
            <w:tcBorders>
              <w:top w:val="nil"/>
              <w:left w:val="nil"/>
              <w:bottom w:val="single" w:sz="4" w:space="0" w:color="auto"/>
              <w:right w:val="single" w:sz="4" w:space="0" w:color="auto"/>
            </w:tcBorders>
            <w:shd w:val="clear" w:color="auto" w:fill="auto"/>
            <w:vAlign w:val="center"/>
            <w:hideMark/>
          </w:tcPr>
          <w:p w14:paraId="5F3DBF3B"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2.2</w:t>
            </w:r>
          </w:p>
        </w:tc>
        <w:tc>
          <w:tcPr>
            <w:tcW w:w="960" w:type="dxa"/>
            <w:tcBorders>
              <w:top w:val="nil"/>
              <w:left w:val="nil"/>
              <w:bottom w:val="single" w:sz="4" w:space="0" w:color="auto"/>
              <w:right w:val="single" w:sz="4" w:space="0" w:color="auto"/>
            </w:tcBorders>
            <w:shd w:val="clear" w:color="auto" w:fill="auto"/>
            <w:vAlign w:val="center"/>
            <w:hideMark/>
          </w:tcPr>
          <w:p w14:paraId="5EDE1D30"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2.5</w:t>
            </w:r>
          </w:p>
        </w:tc>
        <w:tc>
          <w:tcPr>
            <w:tcW w:w="960" w:type="dxa"/>
            <w:tcBorders>
              <w:top w:val="nil"/>
              <w:left w:val="nil"/>
              <w:bottom w:val="single" w:sz="4" w:space="0" w:color="auto"/>
              <w:right w:val="single" w:sz="4" w:space="0" w:color="auto"/>
            </w:tcBorders>
            <w:shd w:val="clear" w:color="auto" w:fill="auto"/>
            <w:vAlign w:val="center"/>
            <w:hideMark/>
          </w:tcPr>
          <w:p w14:paraId="0A12A3B7"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2.8</w:t>
            </w:r>
          </w:p>
        </w:tc>
        <w:tc>
          <w:tcPr>
            <w:tcW w:w="960" w:type="dxa"/>
            <w:tcBorders>
              <w:top w:val="nil"/>
              <w:left w:val="nil"/>
              <w:bottom w:val="single" w:sz="4" w:space="0" w:color="auto"/>
              <w:right w:val="single" w:sz="4" w:space="0" w:color="auto"/>
            </w:tcBorders>
            <w:shd w:val="clear" w:color="auto" w:fill="auto"/>
            <w:vAlign w:val="center"/>
            <w:hideMark/>
          </w:tcPr>
          <w:p w14:paraId="081F5ED4"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2.8</w:t>
            </w:r>
          </w:p>
        </w:tc>
      </w:tr>
      <w:tr w:rsidR="00B04DFC" w:rsidRPr="0018592C" w14:paraId="499005F8" w14:textId="77777777" w:rsidTr="00D063A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4F22C2" w14:textId="77777777" w:rsidR="00B04DFC" w:rsidRPr="0018592C" w:rsidRDefault="00B04DFC" w:rsidP="00D063A1">
            <w:pPr>
              <w:spacing w:after="0" w:line="240" w:lineRule="auto"/>
              <w:rPr>
                <w:rFonts w:ascii="Arial Narrow" w:eastAsia="Times New Roman" w:hAnsi="Arial Narrow" w:cs="Arial"/>
                <w:sz w:val="20"/>
                <w:szCs w:val="20"/>
              </w:rPr>
            </w:pPr>
            <w:r w:rsidRPr="0018592C">
              <w:rPr>
                <w:rFonts w:ascii="Arial Narrow" w:eastAsia="Times New Roman" w:hAnsi="Arial Narrow" w:cs="Arial"/>
                <w:sz w:val="20"/>
                <w:szCs w:val="20"/>
                <w:lang w:val="en-GB"/>
              </w:rPr>
              <w:t>Congo, Dem. Rep.</w:t>
            </w:r>
          </w:p>
        </w:tc>
        <w:tc>
          <w:tcPr>
            <w:tcW w:w="960" w:type="dxa"/>
            <w:tcBorders>
              <w:top w:val="nil"/>
              <w:left w:val="nil"/>
              <w:bottom w:val="single" w:sz="4" w:space="0" w:color="auto"/>
              <w:right w:val="single" w:sz="4" w:space="0" w:color="auto"/>
            </w:tcBorders>
            <w:shd w:val="clear" w:color="auto" w:fill="auto"/>
            <w:vAlign w:val="center"/>
            <w:hideMark/>
          </w:tcPr>
          <w:p w14:paraId="7CF53BAC"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8.5</w:t>
            </w:r>
          </w:p>
        </w:tc>
        <w:tc>
          <w:tcPr>
            <w:tcW w:w="960" w:type="dxa"/>
            <w:tcBorders>
              <w:top w:val="nil"/>
              <w:left w:val="nil"/>
              <w:bottom w:val="single" w:sz="4" w:space="0" w:color="auto"/>
              <w:right w:val="single" w:sz="4" w:space="0" w:color="auto"/>
            </w:tcBorders>
            <w:shd w:val="clear" w:color="auto" w:fill="auto"/>
            <w:vAlign w:val="center"/>
            <w:hideMark/>
          </w:tcPr>
          <w:p w14:paraId="66FF3576"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9.2</w:t>
            </w:r>
          </w:p>
        </w:tc>
        <w:tc>
          <w:tcPr>
            <w:tcW w:w="960" w:type="dxa"/>
            <w:tcBorders>
              <w:top w:val="nil"/>
              <w:left w:val="nil"/>
              <w:bottom w:val="single" w:sz="4" w:space="0" w:color="auto"/>
              <w:right w:val="single" w:sz="4" w:space="0" w:color="auto"/>
            </w:tcBorders>
            <w:shd w:val="clear" w:color="auto" w:fill="auto"/>
            <w:vAlign w:val="center"/>
            <w:hideMark/>
          </w:tcPr>
          <w:p w14:paraId="67B2D2FF"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8.5</w:t>
            </w:r>
          </w:p>
        </w:tc>
        <w:tc>
          <w:tcPr>
            <w:tcW w:w="960" w:type="dxa"/>
            <w:tcBorders>
              <w:top w:val="nil"/>
              <w:left w:val="nil"/>
              <w:bottom w:val="single" w:sz="4" w:space="0" w:color="auto"/>
              <w:right w:val="single" w:sz="4" w:space="0" w:color="auto"/>
            </w:tcBorders>
            <w:shd w:val="clear" w:color="auto" w:fill="auto"/>
            <w:vAlign w:val="center"/>
            <w:hideMark/>
          </w:tcPr>
          <w:p w14:paraId="52556663"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6.9</w:t>
            </w:r>
          </w:p>
        </w:tc>
        <w:tc>
          <w:tcPr>
            <w:tcW w:w="960" w:type="dxa"/>
            <w:tcBorders>
              <w:top w:val="nil"/>
              <w:left w:val="nil"/>
              <w:bottom w:val="single" w:sz="4" w:space="0" w:color="auto"/>
              <w:right w:val="single" w:sz="4" w:space="0" w:color="auto"/>
            </w:tcBorders>
            <w:shd w:val="clear" w:color="auto" w:fill="auto"/>
            <w:vAlign w:val="center"/>
            <w:hideMark/>
          </w:tcPr>
          <w:p w14:paraId="3145D76E"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3.4</w:t>
            </w:r>
          </w:p>
        </w:tc>
        <w:tc>
          <w:tcPr>
            <w:tcW w:w="960" w:type="dxa"/>
            <w:tcBorders>
              <w:top w:val="nil"/>
              <w:left w:val="nil"/>
              <w:bottom w:val="single" w:sz="4" w:space="0" w:color="auto"/>
              <w:right w:val="single" w:sz="4" w:space="0" w:color="auto"/>
            </w:tcBorders>
            <w:shd w:val="clear" w:color="auto" w:fill="auto"/>
            <w:vAlign w:val="center"/>
            <w:hideMark/>
          </w:tcPr>
          <w:p w14:paraId="5F666D47"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3.9</w:t>
            </w:r>
          </w:p>
        </w:tc>
        <w:tc>
          <w:tcPr>
            <w:tcW w:w="960" w:type="dxa"/>
            <w:tcBorders>
              <w:top w:val="nil"/>
              <w:left w:val="nil"/>
              <w:bottom w:val="single" w:sz="4" w:space="0" w:color="auto"/>
              <w:right w:val="single" w:sz="4" w:space="0" w:color="auto"/>
            </w:tcBorders>
            <w:shd w:val="clear" w:color="auto" w:fill="auto"/>
            <w:vAlign w:val="center"/>
            <w:hideMark/>
          </w:tcPr>
          <w:p w14:paraId="777B2038"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4.34</w:t>
            </w:r>
          </w:p>
        </w:tc>
      </w:tr>
      <w:tr w:rsidR="00B04DFC" w:rsidRPr="0018592C" w14:paraId="3D348589" w14:textId="77777777" w:rsidTr="00D063A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41DE3A" w14:textId="77777777" w:rsidR="00B04DFC" w:rsidRPr="0018592C" w:rsidRDefault="00B04DFC" w:rsidP="00D063A1">
            <w:pPr>
              <w:spacing w:after="0" w:line="240" w:lineRule="auto"/>
              <w:rPr>
                <w:rFonts w:ascii="Arial Narrow" w:eastAsia="Times New Roman" w:hAnsi="Arial Narrow" w:cs="Arial"/>
                <w:sz w:val="20"/>
                <w:szCs w:val="20"/>
              </w:rPr>
            </w:pPr>
            <w:r w:rsidRPr="0018592C">
              <w:rPr>
                <w:rFonts w:ascii="Arial Narrow" w:eastAsia="Times New Roman" w:hAnsi="Arial Narrow" w:cs="Arial"/>
                <w:sz w:val="20"/>
                <w:szCs w:val="20"/>
                <w:lang w:val="en-GB"/>
              </w:rPr>
              <w:t>Djibouti</w:t>
            </w:r>
          </w:p>
        </w:tc>
        <w:tc>
          <w:tcPr>
            <w:tcW w:w="960" w:type="dxa"/>
            <w:tcBorders>
              <w:top w:val="nil"/>
              <w:left w:val="nil"/>
              <w:bottom w:val="single" w:sz="4" w:space="0" w:color="auto"/>
              <w:right w:val="single" w:sz="4" w:space="0" w:color="auto"/>
            </w:tcBorders>
            <w:shd w:val="clear" w:color="auto" w:fill="auto"/>
            <w:vAlign w:val="center"/>
            <w:hideMark/>
          </w:tcPr>
          <w:p w14:paraId="3AF71676"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5</w:t>
            </w:r>
          </w:p>
        </w:tc>
        <w:tc>
          <w:tcPr>
            <w:tcW w:w="960" w:type="dxa"/>
            <w:tcBorders>
              <w:top w:val="nil"/>
              <w:left w:val="nil"/>
              <w:bottom w:val="single" w:sz="4" w:space="0" w:color="auto"/>
              <w:right w:val="single" w:sz="4" w:space="0" w:color="auto"/>
            </w:tcBorders>
            <w:shd w:val="clear" w:color="auto" w:fill="auto"/>
            <w:vAlign w:val="center"/>
            <w:hideMark/>
          </w:tcPr>
          <w:p w14:paraId="342579F8"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6</w:t>
            </w:r>
          </w:p>
        </w:tc>
        <w:tc>
          <w:tcPr>
            <w:tcW w:w="960" w:type="dxa"/>
            <w:tcBorders>
              <w:top w:val="nil"/>
              <w:left w:val="nil"/>
              <w:bottom w:val="single" w:sz="4" w:space="0" w:color="auto"/>
              <w:right w:val="single" w:sz="4" w:space="0" w:color="auto"/>
            </w:tcBorders>
            <w:shd w:val="clear" w:color="auto" w:fill="auto"/>
            <w:vAlign w:val="center"/>
            <w:hideMark/>
          </w:tcPr>
          <w:p w14:paraId="1CC4F56A"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6.5</w:t>
            </w:r>
          </w:p>
        </w:tc>
        <w:tc>
          <w:tcPr>
            <w:tcW w:w="960" w:type="dxa"/>
            <w:tcBorders>
              <w:top w:val="nil"/>
              <w:left w:val="nil"/>
              <w:bottom w:val="single" w:sz="4" w:space="0" w:color="auto"/>
              <w:right w:val="single" w:sz="4" w:space="0" w:color="auto"/>
            </w:tcBorders>
            <w:shd w:val="clear" w:color="auto" w:fill="auto"/>
            <w:vAlign w:val="center"/>
            <w:hideMark/>
          </w:tcPr>
          <w:p w14:paraId="4B07A093"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6.5</w:t>
            </w:r>
          </w:p>
        </w:tc>
        <w:tc>
          <w:tcPr>
            <w:tcW w:w="960" w:type="dxa"/>
            <w:tcBorders>
              <w:top w:val="nil"/>
              <w:left w:val="nil"/>
              <w:bottom w:val="single" w:sz="4" w:space="0" w:color="auto"/>
              <w:right w:val="single" w:sz="4" w:space="0" w:color="auto"/>
            </w:tcBorders>
            <w:shd w:val="clear" w:color="auto" w:fill="auto"/>
            <w:vAlign w:val="center"/>
            <w:hideMark/>
          </w:tcPr>
          <w:p w14:paraId="7EA802A9"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6.7</w:t>
            </w:r>
          </w:p>
        </w:tc>
        <w:tc>
          <w:tcPr>
            <w:tcW w:w="960" w:type="dxa"/>
            <w:tcBorders>
              <w:top w:val="nil"/>
              <w:left w:val="nil"/>
              <w:bottom w:val="single" w:sz="4" w:space="0" w:color="auto"/>
              <w:right w:val="single" w:sz="4" w:space="0" w:color="auto"/>
            </w:tcBorders>
            <w:shd w:val="clear" w:color="auto" w:fill="auto"/>
            <w:vAlign w:val="center"/>
            <w:hideMark/>
          </w:tcPr>
          <w:p w14:paraId="0E7B16BE"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rPr>
              <w:t>6.7</w:t>
            </w:r>
          </w:p>
        </w:tc>
        <w:tc>
          <w:tcPr>
            <w:tcW w:w="960" w:type="dxa"/>
            <w:tcBorders>
              <w:top w:val="nil"/>
              <w:left w:val="nil"/>
              <w:bottom w:val="single" w:sz="4" w:space="0" w:color="auto"/>
              <w:right w:val="single" w:sz="4" w:space="0" w:color="auto"/>
            </w:tcBorders>
            <w:shd w:val="clear" w:color="auto" w:fill="auto"/>
            <w:vAlign w:val="center"/>
            <w:hideMark/>
          </w:tcPr>
          <w:p w14:paraId="2324288E"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rPr>
              <w:t>6.7</w:t>
            </w:r>
          </w:p>
        </w:tc>
      </w:tr>
      <w:tr w:rsidR="00B04DFC" w:rsidRPr="0018592C" w14:paraId="240531D4" w14:textId="77777777" w:rsidTr="00D063A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2F3AA38" w14:textId="77777777" w:rsidR="00B04DFC" w:rsidRPr="0018592C" w:rsidRDefault="00B04DFC" w:rsidP="00D063A1">
            <w:pPr>
              <w:spacing w:after="0" w:line="240" w:lineRule="auto"/>
              <w:rPr>
                <w:rFonts w:ascii="Arial Narrow" w:eastAsia="Times New Roman" w:hAnsi="Arial Narrow" w:cs="Arial"/>
                <w:sz w:val="20"/>
                <w:szCs w:val="20"/>
              </w:rPr>
            </w:pPr>
            <w:r w:rsidRPr="0018592C">
              <w:rPr>
                <w:rFonts w:ascii="Arial Narrow" w:eastAsia="Times New Roman" w:hAnsi="Arial Narrow" w:cs="Arial"/>
                <w:sz w:val="20"/>
                <w:szCs w:val="20"/>
                <w:lang w:val="en-GB"/>
              </w:rPr>
              <w:t>Egypt, Arab Rep.</w:t>
            </w:r>
          </w:p>
        </w:tc>
        <w:tc>
          <w:tcPr>
            <w:tcW w:w="960" w:type="dxa"/>
            <w:tcBorders>
              <w:top w:val="nil"/>
              <w:left w:val="nil"/>
              <w:bottom w:val="single" w:sz="4" w:space="0" w:color="auto"/>
              <w:right w:val="single" w:sz="4" w:space="0" w:color="auto"/>
            </w:tcBorders>
            <w:shd w:val="clear" w:color="auto" w:fill="auto"/>
            <w:vAlign w:val="center"/>
            <w:hideMark/>
          </w:tcPr>
          <w:p w14:paraId="78D5EAD3"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2.1</w:t>
            </w:r>
          </w:p>
        </w:tc>
        <w:tc>
          <w:tcPr>
            <w:tcW w:w="960" w:type="dxa"/>
            <w:tcBorders>
              <w:top w:val="nil"/>
              <w:left w:val="nil"/>
              <w:bottom w:val="single" w:sz="4" w:space="0" w:color="auto"/>
              <w:right w:val="single" w:sz="4" w:space="0" w:color="auto"/>
            </w:tcBorders>
            <w:shd w:val="clear" w:color="auto" w:fill="auto"/>
            <w:vAlign w:val="center"/>
            <w:hideMark/>
          </w:tcPr>
          <w:p w14:paraId="419EA19B"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2.2</w:t>
            </w:r>
          </w:p>
        </w:tc>
        <w:tc>
          <w:tcPr>
            <w:tcW w:w="960" w:type="dxa"/>
            <w:tcBorders>
              <w:top w:val="nil"/>
              <w:left w:val="nil"/>
              <w:bottom w:val="single" w:sz="4" w:space="0" w:color="auto"/>
              <w:right w:val="single" w:sz="4" w:space="0" w:color="auto"/>
            </w:tcBorders>
            <w:shd w:val="clear" w:color="auto" w:fill="auto"/>
            <w:vAlign w:val="center"/>
            <w:hideMark/>
          </w:tcPr>
          <w:p w14:paraId="7DAA8202"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4.4</w:t>
            </w:r>
          </w:p>
        </w:tc>
        <w:tc>
          <w:tcPr>
            <w:tcW w:w="960" w:type="dxa"/>
            <w:tcBorders>
              <w:top w:val="nil"/>
              <w:left w:val="nil"/>
              <w:bottom w:val="single" w:sz="4" w:space="0" w:color="auto"/>
              <w:right w:val="single" w:sz="4" w:space="0" w:color="auto"/>
            </w:tcBorders>
            <w:shd w:val="clear" w:color="auto" w:fill="auto"/>
            <w:vAlign w:val="center"/>
            <w:hideMark/>
          </w:tcPr>
          <w:p w14:paraId="114A8A9B"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4.3</w:t>
            </w:r>
          </w:p>
        </w:tc>
        <w:tc>
          <w:tcPr>
            <w:tcW w:w="960" w:type="dxa"/>
            <w:tcBorders>
              <w:top w:val="nil"/>
              <w:left w:val="nil"/>
              <w:bottom w:val="single" w:sz="4" w:space="0" w:color="auto"/>
              <w:right w:val="single" w:sz="4" w:space="0" w:color="auto"/>
            </w:tcBorders>
            <w:shd w:val="clear" w:color="auto" w:fill="auto"/>
            <w:vAlign w:val="center"/>
            <w:hideMark/>
          </w:tcPr>
          <w:p w14:paraId="73B403CB"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4.2</w:t>
            </w:r>
          </w:p>
        </w:tc>
        <w:tc>
          <w:tcPr>
            <w:tcW w:w="960" w:type="dxa"/>
            <w:tcBorders>
              <w:top w:val="nil"/>
              <w:left w:val="nil"/>
              <w:bottom w:val="single" w:sz="4" w:space="0" w:color="auto"/>
              <w:right w:val="single" w:sz="4" w:space="0" w:color="auto"/>
            </w:tcBorders>
            <w:shd w:val="clear" w:color="auto" w:fill="auto"/>
            <w:vAlign w:val="center"/>
            <w:hideMark/>
          </w:tcPr>
          <w:p w14:paraId="5C027862"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rPr>
              <w:t xml:space="preserve">5.3 </w:t>
            </w:r>
          </w:p>
        </w:tc>
        <w:tc>
          <w:tcPr>
            <w:tcW w:w="960" w:type="dxa"/>
            <w:tcBorders>
              <w:top w:val="nil"/>
              <w:left w:val="nil"/>
              <w:bottom w:val="single" w:sz="4" w:space="0" w:color="auto"/>
              <w:right w:val="single" w:sz="4" w:space="0" w:color="auto"/>
            </w:tcBorders>
            <w:shd w:val="clear" w:color="auto" w:fill="auto"/>
            <w:vAlign w:val="center"/>
            <w:hideMark/>
          </w:tcPr>
          <w:p w14:paraId="65D12855"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rPr>
              <w:t xml:space="preserve">5.5 </w:t>
            </w:r>
          </w:p>
        </w:tc>
      </w:tr>
      <w:tr w:rsidR="00B04DFC" w:rsidRPr="0018592C" w14:paraId="5AB441E6" w14:textId="77777777" w:rsidTr="00D063A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6554989" w14:textId="77777777" w:rsidR="00B04DFC" w:rsidRPr="0018592C" w:rsidRDefault="00B04DFC" w:rsidP="00D063A1">
            <w:pPr>
              <w:spacing w:after="0" w:line="240" w:lineRule="auto"/>
              <w:rPr>
                <w:rFonts w:ascii="Arial Narrow" w:eastAsia="Times New Roman" w:hAnsi="Arial Narrow" w:cs="Arial"/>
                <w:sz w:val="20"/>
                <w:szCs w:val="20"/>
              </w:rPr>
            </w:pPr>
            <w:r w:rsidRPr="0018592C">
              <w:rPr>
                <w:rFonts w:ascii="Arial Narrow" w:eastAsia="Times New Roman" w:hAnsi="Arial Narrow" w:cs="Arial"/>
                <w:sz w:val="20"/>
                <w:szCs w:val="20"/>
                <w:lang w:val="en-GB"/>
              </w:rPr>
              <w:t>Eritrea</w:t>
            </w:r>
          </w:p>
        </w:tc>
        <w:tc>
          <w:tcPr>
            <w:tcW w:w="960" w:type="dxa"/>
            <w:tcBorders>
              <w:top w:val="nil"/>
              <w:left w:val="nil"/>
              <w:bottom w:val="single" w:sz="4" w:space="0" w:color="auto"/>
              <w:right w:val="single" w:sz="4" w:space="0" w:color="auto"/>
            </w:tcBorders>
            <w:shd w:val="clear" w:color="auto" w:fill="auto"/>
            <w:vAlign w:val="center"/>
            <w:hideMark/>
          </w:tcPr>
          <w:p w14:paraId="40F2FD76"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3.1</w:t>
            </w:r>
          </w:p>
        </w:tc>
        <w:tc>
          <w:tcPr>
            <w:tcW w:w="960" w:type="dxa"/>
            <w:tcBorders>
              <w:top w:val="nil"/>
              <w:left w:val="nil"/>
              <w:bottom w:val="single" w:sz="4" w:space="0" w:color="auto"/>
              <w:right w:val="single" w:sz="4" w:space="0" w:color="auto"/>
            </w:tcBorders>
            <w:shd w:val="clear" w:color="auto" w:fill="auto"/>
            <w:vAlign w:val="center"/>
            <w:hideMark/>
          </w:tcPr>
          <w:p w14:paraId="44F278E6"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5</w:t>
            </w:r>
          </w:p>
        </w:tc>
        <w:tc>
          <w:tcPr>
            <w:tcW w:w="960" w:type="dxa"/>
            <w:tcBorders>
              <w:top w:val="nil"/>
              <w:left w:val="nil"/>
              <w:bottom w:val="single" w:sz="4" w:space="0" w:color="auto"/>
              <w:right w:val="single" w:sz="4" w:space="0" w:color="auto"/>
            </w:tcBorders>
            <w:shd w:val="clear" w:color="auto" w:fill="auto"/>
            <w:vAlign w:val="center"/>
            <w:hideMark/>
          </w:tcPr>
          <w:p w14:paraId="2514F203"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4.8</w:t>
            </w:r>
          </w:p>
        </w:tc>
        <w:tc>
          <w:tcPr>
            <w:tcW w:w="960" w:type="dxa"/>
            <w:tcBorders>
              <w:top w:val="nil"/>
              <w:left w:val="nil"/>
              <w:bottom w:val="single" w:sz="4" w:space="0" w:color="auto"/>
              <w:right w:val="single" w:sz="4" w:space="0" w:color="auto"/>
            </w:tcBorders>
            <w:shd w:val="clear" w:color="auto" w:fill="auto"/>
            <w:vAlign w:val="center"/>
            <w:hideMark/>
          </w:tcPr>
          <w:p w14:paraId="2F952A7E"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3.7</w:t>
            </w:r>
          </w:p>
        </w:tc>
        <w:tc>
          <w:tcPr>
            <w:tcW w:w="960" w:type="dxa"/>
            <w:tcBorders>
              <w:top w:val="nil"/>
              <w:left w:val="nil"/>
              <w:bottom w:val="single" w:sz="4" w:space="0" w:color="auto"/>
              <w:right w:val="single" w:sz="4" w:space="0" w:color="auto"/>
            </w:tcBorders>
            <w:shd w:val="clear" w:color="auto" w:fill="auto"/>
            <w:vAlign w:val="center"/>
            <w:hideMark/>
          </w:tcPr>
          <w:p w14:paraId="088BEF9B"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5</w:t>
            </w:r>
          </w:p>
        </w:tc>
        <w:tc>
          <w:tcPr>
            <w:tcW w:w="960" w:type="dxa"/>
            <w:tcBorders>
              <w:top w:val="nil"/>
              <w:left w:val="nil"/>
              <w:bottom w:val="single" w:sz="4" w:space="0" w:color="auto"/>
              <w:right w:val="single" w:sz="4" w:space="0" w:color="auto"/>
            </w:tcBorders>
            <w:shd w:val="clear" w:color="auto" w:fill="auto"/>
            <w:vAlign w:val="center"/>
            <w:hideMark/>
          </w:tcPr>
          <w:p w14:paraId="7B73B9E3"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4.2</w:t>
            </w:r>
          </w:p>
        </w:tc>
        <w:tc>
          <w:tcPr>
            <w:tcW w:w="960" w:type="dxa"/>
            <w:tcBorders>
              <w:top w:val="nil"/>
              <w:left w:val="nil"/>
              <w:bottom w:val="single" w:sz="4" w:space="0" w:color="auto"/>
              <w:right w:val="single" w:sz="4" w:space="0" w:color="auto"/>
            </w:tcBorders>
            <w:shd w:val="clear" w:color="auto" w:fill="auto"/>
            <w:vAlign w:val="center"/>
            <w:hideMark/>
          </w:tcPr>
          <w:p w14:paraId="21AF3C97"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3.77</w:t>
            </w:r>
          </w:p>
        </w:tc>
      </w:tr>
      <w:tr w:rsidR="00B04DFC" w:rsidRPr="0018592C" w14:paraId="42EA0B92" w14:textId="77777777" w:rsidTr="00D063A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050F49D" w14:textId="77777777" w:rsidR="00B04DFC" w:rsidRPr="0018592C" w:rsidRDefault="00B04DFC" w:rsidP="00D063A1">
            <w:pPr>
              <w:spacing w:after="0" w:line="240" w:lineRule="auto"/>
              <w:rPr>
                <w:rFonts w:ascii="Arial Narrow" w:eastAsia="Times New Roman" w:hAnsi="Arial Narrow" w:cs="Arial"/>
                <w:sz w:val="20"/>
                <w:szCs w:val="20"/>
              </w:rPr>
            </w:pPr>
            <w:r w:rsidRPr="0018592C">
              <w:rPr>
                <w:rFonts w:ascii="Arial Narrow" w:eastAsia="Times New Roman" w:hAnsi="Arial Narrow" w:cs="Arial"/>
                <w:sz w:val="20"/>
                <w:szCs w:val="20"/>
                <w:lang w:val="en-GB"/>
              </w:rPr>
              <w:t>Ethiopia</w:t>
            </w:r>
          </w:p>
        </w:tc>
        <w:tc>
          <w:tcPr>
            <w:tcW w:w="960" w:type="dxa"/>
            <w:tcBorders>
              <w:top w:val="nil"/>
              <w:left w:val="nil"/>
              <w:bottom w:val="single" w:sz="4" w:space="0" w:color="auto"/>
              <w:right w:val="single" w:sz="4" w:space="0" w:color="auto"/>
            </w:tcBorders>
            <w:shd w:val="clear" w:color="auto" w:fill="auto"/>
            <w:vAlign w:val="center"/>
            <w:hideMark/>
          </w:tcPr>
          <w:p w14:paraId="4CC4FFA1"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9.9</w:t>
            </w:r>
          </w:p>
        </w:tc>
        <w:tc>
          <w:tcPr>
            <w:tcW w:w="960" w:type="dxa"/>
            <w:tcBorders>
              <w:top w:val="nil"/>
              <w:left w:val="nil"/>
              <w:bottom w:val="single" w:sz="4" w:space="0" w:color="auto"/>
              <w:right w:val="single" w:sz="4" w:space="0" w:color="auto"/>
            </w:tcBorders>
            <w:shd w:val="clear" w:color="auto" w:fill="auto"/>
            <w:vAlign w:val="center"/>
            <w:hideMark/>
          </w:tcPr>
          <w:p w14:paraId="3C8FA01A"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10.3</w:t>
            </w:r>
          </w:p>
        </w:tc>
        <w:tc>
          <w:tcPr>
            <w:tcW w:w="960" w:type="dxa"/>
            <w:tcBorders>
              <w:top w:val="nil"/>
              <w:left w:val="nil"/>
              <w:bottom w:val="single" w:sz="4" w:space="0" w:color="auto"/>
              <w:right w:val="single" w:sz="4" w:space="0" w:color="auto"/>
            </w:tcBorders>
            <w:shd w:val="clear" w:color="auto" w:fill="auto"/>
            <w:vAlign w:val="center"/>
            <w:hideMark/>
          </w:tcPr>
          <w:p w14:paraId="6CFDCC66"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10.4</w:t>
            </w:r>
          </w:p>
        </w:tc>
        <w:tc>
          <w:tcPr>
            <w:tcW w:w="960" w:type="dxa"/>
            <w:tcBorders>
              <w:top w:val="nil"/>
              <w:left w:val="nil"/>
              <w:bottom w:val="single" w:sz="4" w:space="0" w:color="auto"/>
              <w:right w:val="single" w:sz="4" w:space="0" w:color="auto"/>
            </w:tcBorders>
            <w:shd w:val="clear" w:color="auto" w:fill="auto"/>
            <w:vAlign w:val="center"/>
            <w:hideMark/>
          </w:tcPr>
          <w:p w14:paraId="5F9765C8"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8</w:t>
            </w:r>
          </w:p>
        </w:tc>
        <w:tc>
          <w:tcPr>
            <w:tcW w:w="960" w:type="dxa"/>
            <w:tcBorders>
              <w:top w:val="nil"/>
              <w:left w:val="nil"/>
              <w:bottom w:val="single" w:sz="4" w:space="0" w:color="auto"/>
              <w:right w:val="single" w:sz="4" w:space="0" w:color="auto"/>
            </w:tcBorders>
            <w:shd w:val="clear" w:color="auto" w:fill="auto"/>
            <w:vAlign w:val="center"/>
            <w:hideMark/>
          </w:tcPr>
          <w:p w14:paraId="4E2885E4"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10.9</w:t>
            </w:r>
          </w:p>
        </w:tc>
        <w:tc>
          <w:tcPr>
            <w:tcW w:w="960" w:type="dxa"/>
            <w:tcBorders>
              <w:top w:val="nil"/>
              <w:left w:val="nil"/>
              <w:bottom w:val="single" w:sz="4" w:space="0" w:color="auto"/>
              <w:right w:val="single" w:sz="4" w:space="0" w:color="auto"/>
            </w:tcBorders>
            <w:shd w:val="clear" w:color="auto" w:fill="auto"/>
            <w:vAlign w:val="center"/>
            <w:hideMark/>
          </w:tcPr>
          <w:p w14:paraId="03A56CAD"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7.7</w:t>
            </w:r>
          </w:p>
        </w:tc>
        <w:tc>
          <w:tcPr>
            <w:tcW w:w="960" w:type="dxa"/>
            <w:tcBorders>
              <w:top w:val="nil"/>
              <w:left w:val="nil"/>
              <w:bottom w:val="single" w:sz="4" w:space="0" w:color="auto"/>
              <w:right w:val="single" w:sz="4" w:space="0" w:color="auto"/>
            </w:tcBorders>
            <w:shd w:val="clear" w:color="auto" w:fill="auto"/>
            <w:vAlign w:val="center"/>
            <w:hideMark/>
          </w:tcPr>
          <w:p w14:paraId="7C46CB16"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7.72</w:t>
            </w:r>
          </w:p>
        </w:tc>
      </w:tr>
      <w:tr w:rsidR="00B04DFC" w:rsidRPr="0018592C" w14:paraId="06FF5A57" w14:textId="77777777" w:rsidTr="00D063A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7CAAE31" w14:textId="77777777" w:rsidR="00B04DFC" w:rsidRPr="0018592C" w:rsidRDefault="00B04DFC" w:rsidP="00D063A1">
            <w:pPr>
              <w:spacing w:after="0" w:line="240" w:lineRule="auto"/>
              <w:rPr>
                <w:rFonts w:ascii="Arial Narrow" w:eastAsia="Times New Roman" w:hAnsi="Arial Narrow" w:cs="Arial"/>
                <w:sz w:val="20"/>
                <w:szCs w:val="20"/>
              </w:rPr>
            </w:pPr>
            <w:r w:rsidRPr="0018592C">
              <w:rPr>
                <w:rFonts w:ascii="Arial Narrow" w:eastAsia="Times New Roman" w:hAnsi="Arial Narrow" w:cs="Arial"/>
                <w:sz w:val="20"/>
                <w:szCs w:val="20"/>
                <w:lang w:val="en-GB"/>
              </w:rPr>
              <w:t>Eswatini</w:t>
            </w:r>
          </w:p>
        </w:tc>
        <w:tc>
          <w:tcPr>
            <w:tcW w:w="960" w:type="dxa"/>
            <w:tcBorders>
              <w:top w:val="nil"/>
              <w:left w:val="nil"/>
              <w:bottom w:val="single" w:sz="4" w:space="0" w:color="auto"/>
              <w:right w:val="single" w:sz="4" w:space="0" w:color="auto"/>
            </w:tcBorders>
            <w:shd w:val="clear" w:color="auto" w:fill="auto"/>
            <w:vAlign w:val="center"/>
            <w:hideMark/>
          </w:tcPr>
          <w:p w14:paraId="25895296"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6.4</w:t>
            </w:r>
          </w:p>
        </w:tc>
        <w:tc>
          <w:tcPr>
            <w:tcW w:w="960" w:type="dxa"/>
            <w:tcBorders>
              <w:top w:val="nil"/>
              <w:left w:val="nil"/>
              <w:bottom w:val="single" w:sz="4" w:space="0" w:color="auto"/>
              <w:right w:val="single" w:sz="4" w:space="0" w:color="auto"/>
            </w:tcBorders>
            <w:shd w:val="clear" w:color="auto" w:fill="auto"/>
            <w:vAlign w:val="center"/>
            <w:hideMark/>
          </w:tcPr>
          <w:p w14:paraId="20321498"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1.9</w:t>
            </w:r>
          </w:p>
        </w:tc>
        <w:tc>
          <w:tcPr>
            <w:tcW w:w="960" w:type="dxa"/>
            <w:tcBorders>
              <w:top w:val="nil"/>
              <w:left w:val="nil"/>
              <w:bottom w:val="single" w:sz="4" w:space="0" w:color="auto"/>
              <w:right w:val="single" w:sz="4" w:space="0" w:color="auto"/>
            </w:tcBorders>
            <w:shd w:val="clear" w:color="auto" w:fill="auto"/>
            <w:vAlign w:val="center"/>
            <w:hideMark/>
          </w:tcPr>
          <w:p w14:paraId="3C4CC55D"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0.4</w:t>
            </w:r>
          </w:p>
        </w:tc>
        <w:tc>
          <w:tcPr>
            <w:tcW w:w="960" w:type="dxa"/>
            <w:tcBorders>
              <w:top w:val="nil"/>
              <w:left w:val="nil"/>
              <w:bottom w:val="single" w:sz="4" w:space="0" w:color="auto"/>
              <w:right w:val="single" w:sz="4" w:space="0" w:color="auto"/>
            </w:tcBorders>
            <w:shd w:val="clear" w:color="auto" w:fill="auto"/>
            <w:vAlign w:val="center"/>
            <w:hideMark/>
          </w:tcPr>
          <w:p w14:paraId="683C58D3"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3.2</w:t>
            </w:r>
          </w:p>
        </w:tc>
        <w:tc>
          <w:tcPr>
            <w:tcW w:w="960" w:type="dxa"/>
            <w:tcBorders>
              <w:top w:val="nil"/>
              <w:left w:val="nil"/>
              <w:bottom w:val="single" w:sz="4" w:space="0" w:color="auto"/>
              <w:right w:val="single" w:sz="4" w:space="0" w:color="auto"/>
            </w:tcBorders>
            <w:shd w:val="clear" w:color="auto" w:fill="auto"/>
            <w:vAlign w:val="center"/>
            <w:hideMark/>
          </w:tcPr>
          <w:p w14:paraId="6E2880E6"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1.9</w:t>
            </w:r>
          </w:p>
        </w:tc>
        <w:tc>
          <w:tcPr>
            <w:tcW w:w="960" w:type="dxa"/>
            <w:tcBorders>
              <w:top w:val="nil"/>
              <w:left w:val="nil"/>
              <w:bottom w:val="single" w:sz="4" w:space="0" w:color="auto"/>
              <w:right w:val="single" w:sz="4" w:space="0" w:color="auto"/>
            </w:tcBorders>
            <w:shd w:val="clear" w:color="auto" w:fill="auto"/>
            <w:vAlign w:val="center"/>
            <w:hideMark/>
          </w:tcPr>
          <w:p w14:paraId="22E5E720"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0.2</w:t>
            </w:r>
          </w:p>
        </w:tc>
        <w:tc>
          <w:tcPr>
            <w:tcW w:w="960" w:type="dxa"/>
            <w:tcBorders>
              <w:top w:val="nil"/>
              <w:left w:val="nil"/>
              <w:bottom w:val="single" w:sz="4" w:space="0" w:color="auto"/>
              <w:right w:val="single" w:sz="4" w:space="0" w:color="auto"/>
            </w:tcBorders>
            <w:shd w:val="clear" w:color="auto" w:fill="auto"/>
            <w:vAlign w:val="center"/>
            <w:hideMark/>
          </w:tcPr>
          <w:p w14:paraId="68E07BEE"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-0.44</w:t>
            </w:r>
          </w:p>
        </w:tc>
      </w:tr>
      <w:tr w:rsidR="00B04DFC" w:rsidRPr="0018592C" w14:paraId="3B99573D" w14:textId="77777777" w:rsidTr="00D063A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397F45" w14:textId="77777777" w:rsidR="00B04DFC" w:rsidRPr="0018592C" w:rsidRDefault="00B04DFC" w:rsidP="00D063A1">
            <w:pPr>
              <w:spacing w:after="0" w:line="240" w:lineRule="auto"/>
              <w:rPr>
                <w:rFonts w:ascii="Arial Narrow" w:eastAsia="Times New Roman" w:hAnsi="Arial Narrow" w:cs="Arial"/>
                <w:sz w:val="20"/>
                <w:szCs w:val="20"/>
              </w:rPr>
            </w:pPr>
            <w:r w:rsidRPr="0018592C">
              <w:rPr>
                <w:rFonts w:ascii="Arial Narrow" w:eastAsia="Times New Roman" w:hAnsi="Arial Narrow" w:cs="Arial"/>
                <w:sz w:val="20"/>
                <w:szCs w:val="20"/>
                <w:lang w:val="en-GB"/>
              </w:rPr>
              <w:t>Kenya</w:t>
            </w:r>
          </w:p>
        </w:tc>
        <w:tc>
          <w:tcPr>
            <w:tcW w:w="960" w:type="dxa"/>
            <w:tcBorders>
              <w:top w:val="nil"/>
              <w:left w:val="nil"/>
              <w:bottom w:val="single" w:sz="4" w:space="0" w:color="auto"/>
              <w:right w:val="single" w:sz="4" w:space="0" w:color="auto"/>
            </w:tcBorders>
            <w:shd w:val="clear" w:color="auto" w:fill="auto"/>
            <w:vAlign w:val="center"/>
            <w:hideMark/>
          </w:tcPr>
          <w:p w14:paraId="71D42E5D"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5.7</w:t>
            </w:r>
          </w:p>
        </w:tc>
        <w:tc>
          <w:tcPr>
            <w:tcW w:w="960" w:type="dxa"/>
            <w:tcBorders>
              <w:top w:val="nil"/>
              <w:left w:val="nil"/>
              <w:bottom w:val="single" w:sz="4" w:space="0" w:color="auto"/>
              <w:right w:val="single" w:sz="4" w:space="0" w:color="auto"/>
            </w:tcBorders>
            <w:shd w:val="clear" w:color="auto" w:fill="auto"/>
            <w:vAlign w:val="center"/>
            <w:hideMark/>
          </w:tcPr>
          <w:p w14:paraId="74039DBE"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5.3</w:t>
            </w:r>
          </w:p>
        </w:tc>
        <w:tc>
          <w:tcPr>
            <w:tcW w:w="960" w:type="dxa"/>
            <w:tcBorders>
              <w:top w:val="nil"/>
              <w:left w:val="nil"/>
              <w:bottom w:val="single" w:sz="4" w:space="0" w:color="auto"/>
              <w:right w:val="single" w:sz="4" w:space="0" w:color="auto"/>
            </w:tcBorders>
            <w:shd w:val="clear" w:color="auto" w:fill="auto"/>
            <w:vAlign w:val="center"/>
            <w:hideMark/>
          </w:tcPr>
          <w:p w14:paraId="49C77AE2"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5.7</w:t>
            </w:r>
          </w:p>
        </w:tc>
        <w:tc>
          <w:tcPr>
            <w:tcW w:w="960" w:type="dxa"/>
            <w:tcBorders>
              <w:top w:val="nil"/>
              <w:left w:val="nil"/>
              <w:bottom w:val="single" w:sz="4" w:space="0" w:color="auto"/>
              <w:right w:val="single" w:sz="4" w:space="0" w:color="auto"/>
            </w:tcBorders>
            <w:shd w:val="clear" w:color="auto" w:fill="auto"/>
            <w:vAlign w:val="center"/>
            <w:hideMark/>
          </w:tcPr>
          <w:p w14:paraId="04C2097F"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5.9</w:t>
            </w:r>
          </w:p>
        </w:tc>
        <w:tc>
          <w:tcPr>
            <w:tcW w:w="960" w:type="dxa"/>
            <w:tcBorders>
              <w:top w:val="nil"/>
              <w:left w:val="nil"/>
              <w:bottom w:val="single" w:sz="4" w:space="0" w:color="auto"/>
              <w:right w:val="single" w:sz="4" w:space="0" w:color="auto"/>
            </w:tcBorders>
            <w:shd w:val="clear" w:color="auto" w:fill="auto"/>
            <w:vAlign w:val="center"/>
            <w:hideMark/>
          </w:tcPr>
          <w:p w14:paraId="22F2F500"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4.9</w:t>
            </w:r>
          </w:p>
        </w:tc>
        <w:tc>
          <w:tcPr>
            <w:tcW w:w="960" w:type="dxa"/>
            <w:tcBorders>
              <w:top w:val="nil"/>
              <w:left w:val="nil"/>
              <w:bottom w:val="single" w:sz="4" w:space="0" w:color="auto"/>
              <w:right w:val="single" w:sz="4" w:space="0" w:color="auto"/>
            </w:tcBorders>
            <w:shd w:val="clear" w:color="auto" w:fill="auto"/>
            <w:vAlign w:val="center"/>
            <w:hideMark/>
          </w:tcPr>
          <w:p w14:paraId="5DADCCC0"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6</w:t>
            </w:r>
          </w:p>
        </w:tc>
        <w:tc>
          <w:tcPr>
            <w:tcW w:w="960" w:type="dxa"/>
            <w:tcBorders>
              <w:top w:val="nil"/>
              <w:left w:val="nil"/>
              <w:bottom w:val="single" w:sz="4" w:space="0" w:color="auto"/>
              <w:right w:val="single" w:sz="4" w:space="0" w:color="auto"/>
            </w:tcBorders>
            <w:shd w:val="clear" w:color="auto" w:fill="auto"/>
            <w:vAlign w:val="center"/>
            <w:hideMark/>
          </w:tcPr>
          <w:p w14:paraId="6F94D417"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5.84</w:t>
            </w:r>
          </w:p>
        </w:tc>
      </w:tr>
      <w:tr w:rsidR="00B04DFC" w:rsidRPr="0018592C" w14:paraId="4C502793" w14:textId="77777777" w:rsidTr="00D063A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B493C2" w14:textId="77777777" w:rsidR="00B04DFC" w:rsidRPr="0018592C" w:rsidRDefault="00B04DFC" w:rsidP="00D063A1">
            <w:pPr>
              <w:spacing w:after="0" w:line="240" w:lineRule="auto"/>
              <w:rPr>
                <w:rFonts w:ascii="Arial Narrow" w:eastAsia="Times New Roman" w:hAnsi="Arial Narrow" w:cs="Arial"/>
                <w:sz w:val="20"/>
                <w:szCs w:val="20"/>
              </w:rPr>
            </w:pPr>
            <w:r w:rsidRPr="0018592C">
              <w:rPr>
                <w:rFonts w:ascii="Arial Narrow" w:eastAsia="Times New Roman" w:hAnsi="Arial Narrow" w:cs="Arial"/>
                <w:sz w:val="20"/>
                <w:szCs w:val="20"/>
                <w:lang w:val="en-GB"/>
              </w:rPr>
              <w:t>Libya</w:t>
            </w:r>
          </w:p>
        </w:tc>
        <w:tc>
          <w:tcPr>
            <w:tcW w:w="960" w:type="dxa"/>
            <w:tcBorders>
              <w:top w:val="nil"/>
              <w:left w:val="nil"/>
              <w:bottom w:val="single" w:sz="4" w:space="0" w:color="auto"/>
              <w:right w:val="single" w:sz="4" w:space="0" w:color="auto"/>
            </w:tcBorders>
            <w:shd w:val="clear" w:color="auto" w:fill="auto"/>
            <w:vAlign w:val="center"/>
            <w:hideMark/>
          </w:tcPr>
          <w:p w14:paraId="1E952FBA"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4.3</w:t>
            </w:r>
          </w:p>
        </w:tc>
        <w:tc>
          <w:tcPr>
            <w:tcW w:w="960" w:type="dxa"/>
            <w:tcBorders>
              <w:top w:val="nil"/>
              <w:left w:val="nil"/>
              <w:bottom w:val="single" w:sz="4" w:space="0" w:color="auto"/>
              <w:right w:val="single" w:sz="4" w:space="0" w:color="auto"/>
            </w:tcBorders>
            <w:shd w:val="clear" w:color="auto" w:fill="auto"/>
            <w:vAlign w:val="center"/>
            <w:hideMark/>
          </w:tcPr>
          <w:p w14:paraId="5C54B987"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-53</w:t>
            </w:r>
          </w:p>
        </w:tc>
        <w:tc>
          <w:tcPr>
            <w:tcW w:w="960" w:type="dxa"/>
            <w:tcBorders>
              <w:top w:val="nil"/>
              <w:left w:val="nil"/>
              <w:bottom w:val="single" w:sz="4" w:space="0" w:color="auto"/>
              <w:right w:val="single" w:sz="4" w:space="0" w:color="auto"/>
            </w:tcBorders>
            <w:shd w:val="clear" w:color="auto" w:fill="auto"/>
            <w:vAlign w:val="center"/>
            <w:hideMark/>
          </w:tcPr>
          <w:p w14:paraId="395E4A68"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-10.3</w:t>
            </w:r>
          </w:p>
        </w:tc>
        <w:tc>
          <w:tcPr>
            <w:tcW w:w="960" w:type="dxa"/>
            <w:tcBorders>
              <w:top w:val="nil"/>
              <w:left w:val="nil"/>
              <w:bottom w:val="single" w:sz="4" w:space="0" w:color="auto"/>
              <w:right w:val="single" w:sz="4" w:space="0" w:color="auto"/>
            </w:tcBorders>
            <w:shd w:val="clear" w:color="auto" w:fill="auto"/>
            <w:vAlign w:val="center"/>
            <w:hideMark/>
          </w:tcPr>
          <w:p w14:paraId="715953DE"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rPr>
              <w:t>(7.39)</w:t>
            </w:r>
          </w:p>
        </w:tc>
        <w:tc>
          <w:tcPr>
            <w:tcW w:w="960" w:type="dxa"/>
            <w:tcBorders>
              <w:top w:val="nil"/>
              <w:left w:val="nil"/>
              <w:bottom w:val="single" w:sz="4" w:space="0" w:color="auto"/>
              <w:right w:val="single" w:sz="4" w:space="0" w:color="auto"/>
            </w:tcBorders>
            <w:shd w:val="clear" w:color="auto" w:fill="auto"/>
            <w:vAlign w:val="center"/>
            <w:hideMark/>
          </w:tcPr>
          <w:p w14:paraId="0AF34E8F"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rPr>
              <w:t xml:space="preserve">64.01 </w:t>
            </w:r>
          </w:p>
        </w:tc>
        <w:tc>
          <w:tcPr>
            <w:tcW w:w="960" w:type="dxa"/>
            <w:tcBorders>
              <w:top w:val="nil"/>
              <w:left w:val="nil"/>
              <w:bottom w:val="single" w:sz="4" w:space="0" w:color="auto"/>
              <w:right w:val="single" w:sz="4" w:space="0" w:color="auto"/>
            </w:tcBorders>
            <w:shd w:val="clear" w:color="auto" w:fill="auto"/>
            <w:vAlign w:val="center"/>
            <w:hideMark/>
          </w:tcPr>
          <w:p w14:paraId="33196E6F"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rPr>
              <w:t xml:space="preserve">17.88 </w:t>
            </w:r>
          </w:p>
        </w:tc>
        <w:tc>
          <w:tcPr>
            <w:tcW w:w="960" w:type="dxa"/>
            <w:tcBorders>
              <w:top w:val="nil"/>
              <w:left w:val="nil"/>
              <w:bottom w:val="single" w:sz="4" w:space="0" w:color="auto"/>
              <w:right w:val="single" w:sz="4" w:space="0" w:color="auto"/>
            </w:tcBorders>
            <w:shd w:val="clear" w:color="auto" w:fill="auto"/>
            <w:vAlign w:val="center"/>
            <w:hideMark/>
          </w:tcPr>
          <w:p w14:paraId="71AE71C9"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rPr>
              <w:t xml:space="preserve">4.27 </w:t>
            </w:r>
          </w:p>
        </w:tc>
      </w:tr>
      <w:tr w:rsidR="00B04DFC" w:rsidRPr="0018592C" w14:paraId="36DA24D5" w14:textId="77777777" w:rsidTr="00D063A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A0B2079" w14:textId="77777777" w:rsidR="00B04DFC" w:rsidRPr="0018592C" w:rsidRDefault="00B04DFC" w:rsidP="00D063A1">
            <w:pPr>
              <w:spacing w:after="0" w:line="240" w:lineRule="auto"/>
              <w:rPr>
                <w:rFonts w:ascii="Arial Narrow" w:eastAsia="Times New Roman" w:hAnsi="Arial Narrow" w:cs="Arial"/>
                <w:sz w:val="20"/>
                <w:szCs w:val="20"/>
              </w:rPr>
            </w:pPr>
            <w:r w:rsidRPr="0018592C">
              <w:rPr>
                <w:rFonts w:ascii="Arial Narrow" w:eastAsia="Times New Roman" w:hAnsi="Arial Narrow" w:cs="Arial"/>
                <w:sz w:val="20"/>
                <w:szCs w:val="20"/>
                <w:lang w:val="en-GB"/>
              </w:rPr>
              <w:t>Madagascar</w:t>
            </w:r>
          </w:p>
        </w:tc>
        <w:tc>
          <w:tcPr>
            <w:tcW w:w="960" w:type="dxa"/>
            <w:tcBorders>
              <w:top w:val="nil"/>
              <w:left w:val="nil"/>
              <w:bottom w:val="single" w:sz="4" w:space="0" w:color="auto"/>
              <w:right w:val="single" w:sz="4" w:space="0" w:color="auto"/>
            </w:tcBorders>
            <w:shd w:val="clear" w:color="auto" w:fill="auto"/>
            <w:vAlign w:val="center"/>
            <w:hideMark/>
          </w:tcPr>
          <w:p w14:paraId="57E99547"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2.3</w:t>
            </w:r>
          </w:p>
        </w:tc>
        <w:tc>
          <w:tcPr>
            <w:tcW w:w="960" w:type="dxa"/>
            <w:tcBorders>
              <w:top w:val="nil"/>
              <w:left w:val="nil"/>
              <w:bottom w:val="single" w:sz="4" w:space="0" w:color="auto"/>
              <w:right w:val="single" w:sz="4" w:space="0" w:color="auto"/>
            </w:tcBorders>
            <w:shd w:val="clear" w:color="auto" w:fill="auto"/>
            <w:vAlign w:val="center"/>
            <w:hideMark/>
          </w:tcPr>
          <w:p w14:paraId="37109E09"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3.3</w:t>
            </w:r>
          </w:p>
        </w:tc>
        <w:tc>
          <w:tcPr>
            <w:tcW w:w="960" w:type="dxa"/>
            <w:tcBorders>
              <w:top w:val="nil"/>
              <w:left w:val="nil"/>
              <w:bottom w:val="single" w:sz="4" w:space="0" w:color="auto"/>
              <w:right w:val="single" w:sz="4" w:space="0" w:color="auto"/>
            </w:tcBorders>
            <w:shd w:val="clear" w:color="auto" w:fill="auto"/>
            <w:vAlign w:val="center"/>
            <w:hideMark/>
          </w:tcPr>
          <w:p w14:paraId="138B7F90"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3.1</w:t>
            </w:r>
          </w:p>
        </w:tc>
        <w:tc>
          <w:tcPr>
            <w:tcW w:w="960" w:type="dxa"/>
            <w:tcBorders>
              <w:top w:val="nil"/>
              <w:left w:val="nil"/>
              <w:bottom w:val="single" w:sz="4" w:space="0" w:color="auto"/>
              <w:right w:val="single" w:sz="4" w:space="0" w:color="auto"/>
            </w:tcBorders>
            <w:shd w:val="clear" w:color="auto" w:fill="auto"/>
            <w:vAlign w:val="center"/>
            <w:hideMark/>
          </w:tcPr>
          <w:p w14:paraId="69A964F1"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4.2</w:t>
            </w:r>
          </w:p>
        </w:tc>
        <w:tc>
          <w:tcPr>
            <w:tcW w:w="960" w:type="dxa"/>
            <w:tcBorders>
              <w:top w:val="nil"/>
              <w:left w:val="nil"/>
              <w:bottom w:val="single" w:sz="4" w:space="0" w:color="auto"/>
              <w:right w:val="single" w:sz="4" w:space="0" w:color="auto"/>
            </w:tcBorders>
            <w:shd w:val="clear" w:color="auto" w:fill="auto"/>
            <w:vAlign w:val="center"/>
            <w:hideMark/>
          </w:tcPr>
          <w:p w14:paraId="22926325"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4.3</w:t>
            </w:r>
          </w:p>
        </w:tc>
        <w:tc>
          <w:tcPr>
            <w:tcW w:w="960" w:type="dxa"/>
            <w:tcBorders>
              <w:top w:val="nil"/>
              <w:left w:val="nil"/>
              <w:bottom w:val="single" w:sz="4" w:space="0" w:color="auto"/>
              <w:right w:val="single" w:sz="4" w:space="0" w:color="auto"/>
            </w:tcBorders>
            <w:shd w:val="clear" w:color="auto" w:fill="auto"/>
            <w:vAlign w:val="center"/>
            <w:hideMark/>
          </w:tcPr>
          <w:p w14:paraId="64F24400"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5.2</w:t>
            </w:r>
          </w:p>
        </w:tc>
        <w:tc>
          <w:tcPr>
            <w:tcW w:w="960" w:type="dxa"/>
            <w:tcBorders>
              <w:top w:val="nil"/>
              <w:left w:val="nil"/>
              <w:bottom w:val="single" w:sz="4" w:space="0" w:color="auto"/>
              <w:right w:val="single" w:sz="4" w:space="0" w:color="auto"/>
            </w:tcBorders>
            <w:shd w:val="clear" w:color="auto" w:fill="auto"/>
            <w:vAlign w:val="center"/>
            <w:hideMark/>
          </w:tcPr>
          <w:p w14:paraId="3D27B1BB"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5.19</w:t>
            </w:r>
          </w:p>
        </w:tc>
      </w:tr>
      <w:tr w:rsidR="00B04DFC" w:rsidRPr="0018592C" w14:paraId="3F3B16F6" w14:textId="77777777" w:rsidTr="00D063A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C3C74F" w14:textId="77777777" w:rsidR="00B04DFC" w:rsidRPr="0018592C" w:rsidRDefault="00B04DFC" w:rsidP="00D063A1">
            <w:pPr>
              <w:spacing w:after="0" w:line="240" w:lineRule="auto"/>
              <w:rPr>
                <w:rFonts w:ascii="Arial Narrow" w:eastAsia="Times New Roman" w:hAnsi="Arial Narrow" w:cs="Arial"/>
                <w:sz w:val="20"/>
                <w:szCs w:val="20"/>
              </w:rPr>
            </w:pPr>
            <w:r w:rsidRPr="0018592C">
              <w:rPr>
                <w:rFonts w:ascii="Arial Narrow" w:eastAsia="Times New Roman" w:hAnsi="Arial Narrow" w:cs="Arial"/>
                <w:sz w:val="20"/>
                <w:szCs w:val="20"/>
                <w:lang w:val="en-GB"/>
              </w:rPr>
              <w:t>Malawi</w:t>
            </w:r>
          </w:p>
        </w:tc>
        <w:tc>
          <w:tcPr>
            <w:tcW w:w="960" w:type="dxa"/>
            <w:tcBorders>
              <w:top w:val="nil"/>
              <w:left w:val="nil"/>
              <w:bottom w:val="single" w:sz="4" w:space="0" w:color="auto"/>
              <w:right w:val="single" w:sz="4" w:space="0" w:color="auto"/>
            </w:tcBorders>
            <w:shd w:val="clear" w:color="auto" w:fill="auto"/>
            <w:vAlign w:val="center"/>
            <w:hideMark/>
          </w:tcPr>
          <w:p w14:paraId="16C209ED"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5.2</w:t>
            </w:r>
          </w:p>
        </w:tc>
        <w:tc>
          <w:tcPr>
            <w:tcW w:w="960" w:type="dxa"/>
            <w:tcBorders>
              <w:top w:val="nil"/>
              <w:left w:val="nil"/>
              <w:bottom w:val="single" w:sz="4" w:space="0" w:color="auto"/>
              <w:right w:val="single" w:sz="4" w:space="0" w:color="auto"/>
            </w:tcBorders>
            <w:shd w:val="clear" w:color="auto" w:fill="auto"/>
            <w:vAlign w:val="center"/>
            <w:hideMark/>
          </w:tcPr>
          <w:p w14:paraId="2D0395FA"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5.7</w:t>
            </w:r>
          </w:p>
        </w:tc>
        <w:tc>
          <w:tcPr>
            <w:tcW w:w="960" w:type="dxa"/>
            <w:tcBorders>
              <w:top w:val="nil"/>
              <w:left w:val="nil"/>
              <w:bottom w:val="single" w:sz="4" w:space="0" w:color="auto"/>
              <w:right w:val="single" w:sz="4" w:space="0" w:color="auto"/>
            </w:tcBorders>
            <w:shd w:val="clear" w:color="auto" w:fill="auto"/>
            <w:vAlign w:val="center"/>
            <w:hideMark/>
          </w:tcPr>
          <w:p w14:paraId="7D9D593B"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2.9</w:t>
            </w:r>
          </w:p>
        </w:tc>
        <w:tc>
          <w:tcPr>
            <w:tcW w:w="960" w:type="dxa"/>
            <w:tcBorders>
              <w:top w:val="nil"/>
              <w:left w:val="nil"/>
              <w:bottom w:val="single" w:sz="4" w:space="0" w:color="auto"/>
              <w:right w:val="single" w:sz="4" w:space="0" w:color="auto"/>
            </w:tcBorders>
            <w:shd w:val="clear" w:color="auto" w:fill="auto"/>
            <w:vAlign w:val="center"/>
            <w:hideMark/>
          </w:tcPr>
          <w:p w14:paraId="18751C3B"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2.3</w:t>
            </w:r>
          </w:p>
        </w:tc>
        <w:tc>
          <w:tcPr>
            <w:tcW w:w="960" w:type="dxa"/>
            <w:tcBorders>
              <w:top w:val="nil"/>
              <w:left w:val="nil"/>
              <w:bottom w:val="single" w:sz="4" w:space="0" w:color="auto"/>
              <w:right w:val="single" w:sz="4" w:space="0" w:color="auto"/>
            </w:tcBorders>
            <w:shd w:val="clear" w:color="auto" w:fill="auto"/>
            <w:vAlign w:val="center"/>
            <w:hideMark/>
          </w:tcPr>
          <w:p w14:paraId="5FC8B735"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4</w:t>
            </w:r>
          </w:p>
        </w:tc>
        <w:tc>
          <w:tcPr>
            <w:tcW w:w="960" w:type="dxa"/>
            <w:tcBorders>
              <w:top w:val="nil"/>
              <w:left w:val="nil"/>
              <w:bottom w:val="single" w:sz="4" w:space="0" w:color="auto"/>
              <w:right w:val="single" w:sz="4" w:space="0" w:color="auto"/>
            </w:tcBorders>
            <w:shd w:val="clear" w:color="auto" w:fill="auto"/>
            <w:vAlign w:val="center"/>
            <w:hideMark/>
          </w:tcPr>
          <w:p w14:paraId="322959CD"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3.2</w:t>
            </w:r>
          </w:p>
        </w:tc>
        <w:tc>
          <w:tcPr>
            <w:tcW w:w="960" w:type="dxa"/>
            <w:tcBorders>
              <w:top w:val="nil"/>
              <w:left w:val="nil"/>
              <w:bottom w:val="single" w:sz="4" w:space="0" w:color="auto"/>
              <w:right w:val="single" w:sz="4" w:space="0" w:color="auto"/>
            </w:tcBorders>
            <w:shd w:val="clear" w:color="auto" w:fill="auto"/>
            <w:vAlign w:val="center"/>
            <w:hideMark/>
          </w:tcPr>
          <w:p w14:paraId="7766D660"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4</w:t>
            </w:r>
          </w:p>
        </w:tc>
      </w:tr>
      <w:tr w:rsidR="00B04DFC" w:rsidRPr="0018592C" w14:paraId="6F948742" w14:textId="77777777" w:rsidTr="00D063A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ECBF65" w14:textId="77777777" w:rsidR="00B04DFC" w:rsidRPr="0018592C" w:rsidRDefault="00B04DFC" w:rsidP="00D063A1">
            <w:pPr>
              <w:spacing w:after="0" w:line="240" w:lineRule="auto"/>
              <w:rPr>
                <w:rFonts w:ascii="Arial Narrow" w:eastAsia="Times New Roman" w:hAnsi="Arial Narrow" w:cs="Arial"/>
                <w:sz w:val="20"/>
                <w:szCs w:val="20"/>
              </w:rPr>
            </w:pPr>
            <w:r w:rsidRPr="0018592C">
              <w:rPr>
                <w:rFonts w:ascii="Arial Narrow" w:eastAsia="Times New Roman" w:hAnsi="Arial Narrow" w:cs="Arial"/>
                <w:sz w:val="20"/>
                <w:szCs w:val="20"/>
                <w:lang w:val="en-GB"/>
              </w:rPr>
              <w:t>Mauritius</w:t>
            </w:r>
          </w:p>
        </w:tc>
        <w:tc>
          <w:tcPr>
            <w:tcW w:w="960" w:type="dxa"/>
            <w:tcBorders>
              <w:top w:val="nil"/>
              <w:left w:val="nil"/>
              <w:bottom w:val="single" w:sz="4" w:space="0" w:color="auto"/>
              <w:right w:val="single" w:sz="4" w:space="0" w:color="auto"/>
            </w:tcBorders>
            <w:shd w:val="clear" w:color="auto" w:fill="auto"/>
            <w:vAlign w:val="center"/>
            <w:hideMark/>
          </w:tcPr>
          <w:p w14:paraId="0D777257"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3.4</w:t>
            </w:r>
          </w:p>
        </w:tc>
        <w:tc>
          <w:tcPr>
            <w:tcW w:w="960" w:type="dxa"/>
            <w:tcBorders>
              <w:top w:val="nil"/>
              <w:left w:val="nil"/>
              <w:bottom w:val="single" w:sz="4" w:space="0" w:color="auto"/>
              <w:right w:val="single" w:sz="4" w:space="0" w:color="auto"/>
            </w:tcBorders>
            <w:shd w:val="clear" w:color="auto" w:fill="auto"/>
            <w:vAlign w:val="center"/>
            <w:hideMark/>
          </w:tcPr>
          <w:p w14:paraId="3A6A359E"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3.7</w:t>
            </w:r>
          </w:p>
        </w:tc>
        <w:tc>
          <w:tcPr>
            <w:tcW w:w="960" w:type="dxa"/>
            <w:tcBorders>
              <w:top w:val="nil"/>
              <w:left w:val="nil"/>
              <w:bottom w:val="single" w:sz="4" w:space="0" w:color="auto"/>
              <w:right w:val="single" w:sz="4" w:space="0" w:color="auto"/>
            </w:tcBorders>
            <w:shd w:val="clear" w:color="auto" w:fill="auto"/>
            <w:vAlign w:val="center"/>
            <w:hideMark/>
          </w:tcPr>
          <w:p w14:paraId="1797C937"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3.6</w:t>
            </w:r>
          </w:p>
        </w:tc>
        <w:tc>
          <w:tcPr>
            <w:tcW w:w="960" w:type="dxa"/>
            <w:tcBorders>
              <w:top w:val="nil"/>
              <w:left w:val="nil"/>
              <w:bottom w:val="single" w:sz="4" w:space="0" w:color="auto"/>
              <w:right w:val="single" w:sz="4" w:space="0" w:color="auto"/>
            </w:tcBorders>
            <w:shd w:val="clear" w:color="auto" w:fill="auto"/>
            <w:vAlign w:val="center"/>
            <w:hideMark/>
          </w:tcPr>
          <w:p w14:paraId="350EFC27"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3.8</w:t>
            </w:r>
          </w:p>
        </w:tc>
        <w:tc>
          <w:tcPr>
            <w:tcW w:w="960" w:type="dxa"/>
            <w:tcBorders>
              <w:top w:val="nil"/>
              <w:left w:val="nil"/>
              <w:bottom w:val="single" w:sz="4" w:space="0" w:color="auto"/>
              <w:right w:val="single" w:sz="4" w:space="0" w:color="auto"/>
            </w:tcBorders>
            <w:shd w:val="clear" w:color="auto" w:fill="auto"/>
            <w:vAlign w:val="center"/>
            <w:hideMark/>
          </w:tcPr>
          <w:p w14:paraId="1AEC2E59"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3.8</w:t>
            </w:r>
          </w:p>
        </w:tc>
        <w:tc>
          <w:tcPr>
            <w:tcW w:w="960" w:type="dxa"/>
            <w:tcBorders>
              <w:top w:val="nil"/>
              <w:left w:val="nil"/>
              <w:bottom w:val="single" w:sz="4" w:space="0" w:color="auto"/>
              <w:right w:val="single" w:sz="4" w:space="0" w:color="auto"/>
            </w:tcBorders>
            <w:shd w:val="clear" w:color="auto" w:fill="auto"/>
            <w:vAlign w:val="center"/>
            <w:hideMark/>
          </w:tcPr>
          <w:p w14:paraId="71BADF6D"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3.8</w:t>
            </w:r>
          </w:p>
        </w:tc>
        <w:tc>
          <w:tcPr>
            <w:tcW w:w="960" w:type="dxa"/>
            <w:tcBorders>
              <w:top w:val="nil"/>
              <w:left w:val="nil"/>
              <w:bottom w:val="single" w:sz="4" w:space="0" w:color="auto"/>
              <w:right w:val="single" w:sz="4" w:space="0" w:color="auto"/>
            </w:tcBorders>
            <w:shd w:val="clear" w:color="auto" w:fill="auto"/>
            <w:vAlign w:val="center"/>
            <w:hideMark/>
          </w:tcPr>
          <w:p w14:paraId="291A434C"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3.86</w:t>
            </w:r>
          </w:p>
        </w:tc>
      </w:tr>
      <w:tr w:rsidR="00B04DFC" w:rsidRPr="0018592C" w14:paraId="23089ED2" w14:textId="77777777" w:rsidTr="00D063A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15E836" w14:textId="77777777" w:rsidR="00B04DFC" w:rsidRPr="0018592C" w:rsidRDefault="00B04DFC" w:rsidP="00D063A1">
            <w:pPr>
              <w:spacing w:after="0" w:line="240" w:lineRule="auto"/>
              <w:rPr>
                <w:rFonts w:ascii="Arial Narrow" w:eastAsia="Times New Roman" w:hAnsi="Arial Narrow" w:cs="Arial"/>
                <w:sz w:val="20"/>
                <w:szCs w:val="20"/>
              </w:rPr>
            </w:pPr>
            <w:r w:rsidRPr="0018592C">
              <w:rPr>
                <w:rFonts w:ascii="Arial Narrow" w:eastAsia="Times New Roman" w:hAnsi="Arial Narrow" w:cs="Arial"/>
                <w:sz w:val="20"/>
                <w:szCs w:val="20"/>
                <w:lang w:val="en-GB"/>
              </w:rPr>
              <w:t>Rwanda</w:t>
            </w:r>
          </w:p>
        </w:tc>
        <w:tc>
          <w:tcPr>
            <w:tcW w:w="960" w:type="dxa"/>
            <w:tcBorders>
              <w:top w:val="nil"/>
              <w:left w:val="nil"/>
              <w:bottom w:val="single" w:sz="4" w:space="0" w:color="auto"/>
              <w:right w:val="single" w:sz="4" w:space="0" w:color="auto"/>
            </w:tcBorders>
            <w:shd w:val="clear" w:color="auto" w:fill="auto"/>
            <w:vAlign w:val="center"/>
            <w:hideMark/>
          </w:tcPr>
          <w:p w14:paraId="537A358F"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4.7</w:t>
            </w:r>
          </w:p>
        </w:tc>
        <w:tc>
          <w:tcPr>
            <w:tcW w:w="960" w:type="dxa"/>
            <w:tcBorders>
              <w:top w:val="nil"/>
              <w:left w:val="nil"/>
              <w:bottom w:val="single" w:sz="4" w:space="0" w:color="auto"/>
              <w:right w:val="single" w:sz="4" w:space="0" w:color="auto"/>
            </w:tcBorders>
            <w:shd w:val="clear" w:color="auto" w:fill="auto"/>
            <w:vAlign w:val="center"/>
            <w:hideMark/>
          </w:tcPr>
          <w:p w14:paraId="126595E7"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7.6</w:t>
            </w:r>
          </w:p>
        </w:tc>
        <w:tc>
          <w:tcPr>
            <w:tcW w:w="960" w:type="dxa"/>
            <w:tcBorders>
              <w:top w:val="nil"/>
              <w:left w:val="nil"/>
              <w:bottom w:val="single" w:sz="4" w:space="0" w:color="auto"/>
              <w:right w:val="single" w:sz="4" w:space="0" w:color="auto"/>
            </w:tcBorders>
            <w:shd w:val="clear" w:color="auto" w:fill="auto"/>
            <w:vAlign w:val="center"/>
            <w:hideMark/>
          </w:tcPr>
          <w:p w14:paraId="5E34886C"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8.9</w:t>
            </w:r>
          </w:p>
        </w:tc>
        <w:tc>
          <w:tcPr>
            <w:tcW w:w="960" w:type="dxa"/>
            <w:tcBorders>
              <w:top w:val="nil"/>
              <w:left w:val="nil"/>
              <w:bottom w:val="single" w:sz="4" w:space="0" w:color="auto"/>
              <w:right w:val="single" w:sz="4" w:space="0" w:color="auto"/>
            </w:tcBorders>
            <w:shd w:val="clear" w:color="auto" w:fill="auto"/>
            <w:vAlign w:val="center"/>
            <w:hideMark/>
          </w:tcPr>
          <w:p w14:paraId="20627858"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6</w:t>
            </w:r>
          </w:p>
        </w:tc>
        <w:tc>
          <w:tcPr>
            <w:tcW w:w="960" w:type="dxa"/>
            <w:tcBorders>
              <w:top w:val="nil"/>
              <w:left w:val="nil"/>
              <w:bottom w:val="single" w:sz="4" w:space="0" w:color="auto"/>
              <w:right w:val="single" w:sz="4" w:space="0" w:color="auto"/>
            </w:tcBorders>
            <w:shd w:val="clear" w:color="auto" w:fill="auto"/>
            <w:vAlign w:val="center"/>
            <w:hideMark/>
          </w:tcPr>
          <w:p w14:paraId="7CAF8B07"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6.2</w:t>
            </w:r>
          </w:p>
        </w:tc>
        <w:tc>
          <w:tcPr>
            <w:tcW w:w="960" w:type="dxa"/>
            <w:tcBorders>
              <w:top w:val="nil"/>
              <w:left w:val="nil"/>
              <w:bottom w:val="single" w:sz="4" w:space="0" w:color="auto"/>
              <w:right w:val="single" w:sz="4" w:space="0" w:color="auto"/>
            </w:tcBorders>
            <w:shd w:val="clear" w:color="auto" w:fill="auto"/>
            <w:vAlign w:val="center"/>
            <w:hideMark/>
          </w:tcPr>
          <w:p w14:paraId="75757B2F"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8.6</w:t>
            </w:r>
          </w:p>
        </w:tc>
        <w:tc>
          <w:tcPr>
            <w:tcW w:w="960" w:type="dxa"/>
            <w:tcBorders>
              <w:top w:val="nil"/>
              <w:left w:val="nil"/>
              <w:bottom w:val="single" w:sz="4" w:space="0" w:color="auto"/>
              <w:right w:val="single" w:sz="4" w:space="0" w:color="auto"/>
            </w:tcBorders>
            <w:shd w:val="clear" w:color="auto" w:fill="auto"/>
            <w:vAlign w:val="center"/>
            <w:hideMark/>
          </w:tcPr>
          <w:p w14:paraId="3703ACCA"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7.8</w:t>
            </w:r>
          </w:p>
        </w:tc>
      </w:tr>
      <w:tr w:rsidR="00B04DFC" w:rsidRPr="0018592C" w14:paraId="6C8625B2" w14:textId="77777777" w:rsidTr="00D063A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C1A52C" w14:textId="77777777" w:rsidR="00B04DFC" w:rsidRPr="0018592C" w:rsidRDefault="00B04DFC" w:rsidP="00D063A1">
            <w:pPr>
              <w:spacing w:after="0" w:line="240" w:lineRule="auto"/>
              <w:rPr>
                <w:rFonts w:ascii="Arial Narrow" w:eastAsia="Times New Roman" w:hAnsi="Arial Narrow" w:cs="Arial"/>
                <w:sz w:val="20"/>
                <w:szCs w:val="20"/>
              </w:rPr>
            </w:pPr>
            <w:r w:rsidRPr="0018592C">
              <w:rPr>
                <w:rFonts w:ascii="Arial Narrow" w:eastAsia="Times New Roman" w:hAnsi="Arial Narrow" w:cs="Arial"/>
                <w:sz w:val="20"/>
                <w:szCs w:val="20"/>
                <w:lang w:val="en-GB"/>
              </w:rPr>
              <w:t>Seychelles</w:t>
            </w:r>
          </w:p>
        </w:tc>
        <w:tc>
          <w:tcPr>
            <w:tcW w:w="960" w:type="dxa"/>
            <w:tcBorders>
              <w:top w:val="nil"/>
              <w:left w:val="nil"/>
              <w:bottom w:val="single" w:sz="4" w:space="0" w:color="auto"/>
              <w:right w:val="single" w:sz="4" w:space="0" w:color="auto"/>
            </w:tcBorders>
            <w:shd w:val="clear" w:color="auto" w:fill="auto"/>
            <w:vAlign w:val="center"/>
            <w:hideMark/>
          </w:tcPr>
          <w:p w14:paraId="4BEA5C61"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6</w:t>
            </w:r>
          </w:p>
        </w:tc>
        <w:tc>
          <w:tcPr>
            <w:tcW w:w="960" w:type="dxa"/>
            <w:tcBorders>
              <w:top w:val="nil"/>
              <w:left w:val="nil"/>
              <w:bottom w:val="single" w:sz="4" w:space="0" w:color="auto"/>
              <w:right w:val="single" w:sz="4" w:space="0" w:color="auto"/>
            </w:tcBorders>
            <w:shd w:val="clear" w:color="auto" w:fill="auto"/>
            <w:vAlign w:val="center"/>
            <w:hideMark/>
          </w:tcPr>
          <w:p w14:paraId="78E6D571"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4.5</w:t>
            </w:r>
          </w:p>
        </w:tc>
        <w:tc>
          <w:tcPr>
            <w:tcW w:w="960" w:type="dxa"/>
            <w:tcBorders>
              <w:top w:val="nil"/>
              <w:left w:val="nil"/>
              <w:bottom w:val="single" w:sz="4" w:space="0" w:color="auto"/>
              <w:right w:val="single" w:sz="4" w:space="0" w:color="auto"/>
            </w:tcBorders>
            <w:shd w:val="clear" w:color="auto" w:fill="auto"/>
            <w:vAlign w:val="center"/>
            <w:hideMark/>
          </w:tcPr>
          <w:p w14:paraId="4A9758F2"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4.9</w:t>
            </w:r>
          </w:p>
        </w:tc>
        <w:tc>
          <w:tcPr>
            <w:tcW w:w="960" w:type="dxa"/>
            <w:tcBorders>
              <w:top w:val="nil"/>
              <w:left w:val="nil"/>
              <w:bottom w:val="single" w:sz="4" w:space="0" w:color="auto"/>
              <w:right w:val="single" w:sz="4" w:space="0" w:color="auto"/>
            </w:tcBorders>
            <w:shd w:val="clear" w:color="auto" w:fill="auto"/>
            <w:vAlign w:val="center"/>
            <w:hideMark/>
          </w:tcPr>
          <w:p w14:paraId="2B3C105C"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4.5</w:t>
            </w:r>
          </w:p>
        </w:tc>
        <w:tc>
          <w:tcPr>
            <w:tcW w:w="960" w:type="dxa"/>
            <w:tcBorders>
              <w:top w:val="nil"/>
              <w:left w:val="nil"/>
              <w:bottom w:val="single" w:sz="4" w:space="0" w:color="auto"/>
              <w:right w:val="single" w:sz="4" w:space="0" w:color="auto"/>
            </w:tcBorders>
            <w:shd w:val="clear" w:color="auto" w:fill="auto"/>
            <w:vAlign w:val="center"/>
            <w:hideMark/>
          </w:tcPr>
          <w:p w14:paraId="3A4C6819"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5.3</w:t>
            </w:r>
          </w:p>
        </w:tc>
        <w:tc>
          <w:tcPr>
            <w:tcW w:w="960" w:type="dxa"/>
            <w:tcBorders>
              <w:top w:val="nil"/>
              <w:left w:val="nil"/>
              <w:bottom w:val="single" w:sz="4" w:space="0" w:color="auto"/>
              <w:right w:val="single" w:sz="4" w:space="0" w:color="auto"/>
            </w:tcBorders>
            <w:shd w:val="clear" w:color="auto" w:fill="auto"/>
            <w:vAlign w:val="center"/>
            <w:hideMark/>
          </w:tcPr>
          <w:p w14:paraId="20425649"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3.6</w:t>
            </w:r>
          </w:p>
        </w:tc>
        <w:tc>
          <w:tcPr>
            <w:tcW w:w="960" w:type="dxa"/>
            <w:tcBorders>
              <w:top w:val="nil"/>
              <w:left w:val="nil"/>
              <w:bottom w:val="single" w:sz="4" w:space="0" w:color="auto"/>
              <w:right w:val="single" w:sz="4" w:space="0" w:color="auto"/>
            </w:tcBorders>
            <w:shd w:val="clear" w:color="auto" w:fill="auto"/>
            <w:vAlign w:val="center"/>
            <w:hideMark/>
          </w:tcPr>
          <w:p w14:paraId="2BF4E1C6"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3.43</w:t>
            </w:r>
          </w:p>
        </w:tc>
      </w:tr>
      <w:tr w:rsidR="00B04DFC" w:rsidRPr="0018592C" w14:paraId="6A9B188E" w14:textId="77777777" w:rsidTr="00D063A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161036A" w14:textId="77777777" w:rsidR="00B04DFC" w:rsidRPr="0018592C" w:rsidRDefault="00B04DFC" w:rsidP="00D063A1">
            <w:pPr>
              <w:spacing w:after="0" w:line="240" w:lineRule="auto"/>
              <w:rPr>
                <w:rFonts w:ascii="Arial Narrow" w:eastAsia="Times New Roman" w:hAnsi="Arial Narrow" w:cs="Arial"/>
                <w:sz w:val="20"/>
                <w:szCs w:val="20"/>
              </w:rPr>
            </w:pPr>
            <w:r w:rsidRPr="0018592C">
              <w:rPr>
                <w:rFonts w:ascii="Arial Narrow" w:eastAsia="Times New Roman" w:hAnsi="Arial Narrow" w:cs="Arial"/>
                <w:sz w:val="20"/>
                <w:szCs w:val="20"/>
                <w:lang w:val="en-GB"/>
              </w:rPr>
              <w:t>Sudan</w:t>
            </w:r>
          </w:p>
        </w:tc>
        <w:tc>
          <w:tcPr>
            <w:tcW w:w="960" w:type="dxa"/>
            <w:tcBorders>
              <w:top w:val="nil"/>
              <w:left w:val="nil"/>
              <w:bottom w:val="single" w:sz="4" w:space="0" w:color="auto"/>
              <w:right w:val="single" w:sz="4" w:space="0" w:color="auto"/>
            </w:tcBorders>
            <w:shd w:val="clear" w:color="auto" w:fill="auto"/>
            <w:vAlign w:val="center"/>
            <w:hideMark/>
          </w:tcPr>
          <w:p w14:paraId="31CCED20"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3.9</w:t>
            </w:r>
          </w:p>
        </w:tc>
        <w:tc>
          <w:tcPr>
            <w:tcW w:w="960" w:type="dxa"/>
            <w:tcBorders>
              <w:top w:val="nil"/>
              <w:left w:val="nil"/>
              <w:bottom w:val="single" w:sz="4" w:space="0" w:color="auto"/>
              <w:right w:val="single" w:sz="4" w:space="0" w:color="auto"/>
            </w:tcBorders>
            <w:shd w:val="clear" w:color="auto" w:fill="auto"/>
            <w:vAlign w:val="center"/>
            <w:hideMark/>
          </w:tcPr>
          <w:p w14:paraId="1DB1A298"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3.3</w:t>
            </w:r>
          </w:p>
        </w:tc>
        <w:tc>
          <w:tcPr>
            <w:tcW w:w="960" w:type="dxa"/>
            <w:tcBorders>
              <w:top w:val="nil"/>
              <w:left w:val="nil"/>
              <w:bottom w:val="single" w:sz="4" w:space="0" w:color="auto"/>
              <w:right w:val="single" w:sz="4" w:space="0" w:color="auto"/>
            </w:tcBorders>
            <w:shd w:val="clear" w:color="auto" w:fill="auto"/>
            <w:vAlign w:val="center"/>
            <w:hideMark/>
          </w:tcPr>
          <w:p w14:paraId="42B75D03"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4.9</w:t>
            </w:r>
          </w:p>
        </w:tc>
        <w:tc>
          <w:tcPr>
            <w:tcW w:w="960" w:type="dxa"/>
            <w:tcBorders>
              <w:top w:val="nil"/>
              <w:left w:val="nil"/>
              <w:bottom w:val="single" w:sz="4" w:space="0" w:color="auto"/>
              <w:right w:val="single" w:sz="4" w:space="0" w:color="auto"/>
            </w:tcBorders>
            <w:shd w:val="clear" w:color="auto" w:fill="auto"/>
            <w:vAlign w:val="center"/>
            <w:hideMark/>
          </w:tcPr>
          <w:p w14:paraId="0F7813FC"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rPr>
              <w:t xml:space="preserve">2.94 </w:t>
            </w:r>
          </w:p>
        </w:tc>
        <w:tc>
          <w:tcPr>
            <w:tcW w:w="960" w:type="dxa"/>
            <w:tcBorders>
              <w:top w:val="nil"/>
              <w:left w:val="nil"/>
              <w:bottom w:val="single" w:sz="4" w:space="0" w:color="auto"/>
              <w:right w:val="single" w:sz="4" w:space="0" w:color="auto"/>
            </w:tcBorders>
            <w:shd w:val="clear" w:color="auto" w:fill="auto"/>
            <w:vAlign w:val="center"/>
            <w:hideMark/>
          </w:tcPr>
          <w:p w14:paraId="0CA36080"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rPr>
              <w:t xml:space="preserve">1.66 </w:t>
            </w:r>
          </w:p>
        </w:tc>
        <w:tc>
          <w:tcPr>
            <w:tcW w:w="960" w:type="dxa"/>
            <w:tcBorders>
              <w:top w:val="nil"/>
              <w:left w:val="nil"/>
              <w:bottom w:val="single" w:sz="4" w:space="0" w:color="auto"/>
              <w:right w:val="single" w:sz="4" w:space="0" w:color="auto"/>
            </w:tcBorders>
            <w:shd w:val="clear" w:color="auto" w:fill="auto"/>
            <w:vAlign w:val="center"/>
            <w:hideMark/>
          </w:tcPr>
          <w:p w14:paraId="72B9B995"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rPr>
              <w:t>(2.13)</w:t>
            </w:r>
          </w:p>
        </w:tc>
        <w:tc>
          <w:tcPr>
            <w:tcW w:w="960" w:type="dxa"/>
            <w:tcBorders>
              <w:top w:val="nil"/>
              <w:left w:val="nil"/>
              <w:bottom w:val="single" w:sz="4" w:space="0" w:color="auto"/>
              <w:right w:val="single" w:sz="4" w:space="0" w:color="auto"/>
            </w:tcBorders>
            <w:shd w:val="clear" w:color="auto" w:fill="auto"/>
            <w:vAlign w:val="center"/>
            <w:hideMark/>
          </w:tcPr>
          <w:p w14:paraId="5A1173FA"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rPr>
              <w:t>(2.28)</w:t>
            </w:r>
          </w:p>
        </w:tc>
      </w:tr>
      <w:tr w:rsidR="00B04DFC" w:rsidRPr="0018592C" w14:paraId="4C4B192C" w14:textId="77777777" w:rsidTr="00D063A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09FE83" w14:textId="77777777" w:rsidR="00B04DFC" w:rsidRPr="0018592C" w:rsidRDefault="00B04DFC" w:rsidP="00D063A1">
            <w:pPr>
              <w:spacing w:after="0" w:line="240" w:lineRule="auto"/>
              <w:rPr>
                <w:rFonts w:ascii="Arial Narrow" w:eastAsia="Times New Roman" w:hAnsi="Arial Narrow" w:cs="Arial"/>
                <w:sz w:val="20"/>
                <w:szCs w:val="20"/>
              </w:rPr>
            </w:pPr>
            <w:r w:rsidRPr="0018592C">
              <w:rPr>
                <w:rFonts w:ascii="Arial Narrow" w:eastAsia="Times New Roman" w:hAnsi="Arial Narrow" w:cs="Arial"/>
                <w:sz w:val="20"/>
                <w:szCs w:val="20"/>
                <w:lang w:val="en-GB"/>
              </w:rPr>
              <w:t>Uganda</w:t>
            </w:r>
          </w:p>
        </w:tc>
        <w:tc>
          <w:tcPr>
            <w:tcW w:w="960" w:type="dxa"/>
            <w:tcBorders>
              <w:top w:val="nil"/>
              <w:left w:val="nil"/>
              <w:bottom w:val="single" w:sz="4" w:space="0" w:color="auto"/>
              <w:right w:val="single" w:sz="4" w:space="0" w:color="auto"/>
            </w:tcBorders>
            <w:shd w:val="clear" w:color="auto" w:fill="auto"/>
            <w:vAlign w:val="center"/>
            <w:hideMark/>
          </w:tcPr>
          <w:p w14:paraId="2975DC41"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4.7</w:t>
            </w:r>
          </w:p>
        </w:tc>
        <w:tc>
          <w:tcPr>
            <w:tcW w:w="960" w:type="dxa"/>
            <w:tcBorders>
              <w:top w:val="nil"/>
              <w:left w:val="nil"/>
              <w:bottom w:val="single" w:sz="4" w:space="0" w:color="auto"/>
              <w:right w:val="single" w:sz="4" w:space="0" w:color="auto"/>
            </w:tcBorders>
            <w:shd w:val="clear" w:color="auto" w:fill="auto"/>
            <w:vAlign w:val="center"/>
            <w:hideMark/>
          </w:tcPr>
          <w:p w14:paraId="298F7C56"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4.6</w:t>
            </w:r>
          </w:p>
        </w:tc>
        <w:tc>
          <w:tcPr>
            <w:tcW w:w="960" w:type="dxa"/>
            <w:tcBorders>
              <w:top w:val="nil"/>
              <w:left w:val="nil"/>
              <w:bottom w:val="single" w:sz="4" w:space="0" w:color="auto"/>
              <w:right w:val="single" w:sz="4" w:space="0" w:color="auto"/>
            </w:tcBorders>
            <w:shd w:val="clear" w:color="auto" w:fill="auto"/>
            <w:vAlign w:val="center"/>
            <w:hideMark/>
          </w:tcPr>
          <w:p w14:paraId="00A1B71A"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5.7</w:t>
            </w:r>
          </w:p>
        </w:tc>
        <w:tc>
          <w:tcPr>
            <w:tcW w:w="960" w:type="dxa"/>
            <w:tcBorders>
              <w:top w:val="nil"/>
              <w:left w:val="nil"/>
              <w:bottom w:val="single" w:sz="4" w:space="0" w:color="auto"/>
              <w:right w:val="single" w:sz="4" w:space="0" w:color="auto"/>
            </w:tcBorders>
            <w:shd w:val="clear" w:color="auto" w:fill="auto"/>
            <w:vAlign w:val="center"/>
            <w:hideMark/>
          </w:tcPr>
          <w:p w14:paraId="56FA1B56"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2.3</w:t>
            </w:r>
          </w:p>
        </w:tc>
        <w:tc>
          <w:tcPr>
            <w:tcW w:w="960" w:type="dxa"/>
            <w:tcBorders>
              <w:top w:val="nil"/>
              <w:left w:val="nil"/>
              <w:bottom w:val="single" w:sz="4" w:space="0" w:color="auto"/>
              <w:right w:val="single" w:sz="4" w:space="0" w:color="auto"/>
            </w:tcBorders>
            <w:shd w:val="clear" w:color="auto" w:fill="auto"/>
            <w:vAlign w:val="center"/>
            <w:hideMark/>
          </w:tcPr>
          <w:p w14:paraId="53F7A99A"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5</w:t>
            </w:r>
          </w:p>
        </w:tc>
        <w:tc>
          <w:tcPr>
            <w:tcW w:w="960" w:type="dxa"/>
            <w:tcBorders>
              <w:top w:val="nil"/>
              <w:left w:val="nil"/>
              <w:bottom w:val="single" w:sz="4" w:space="0" w:color="auto"/>
              <w:right w:val="single" w:sz="4" w:space="0" w:color="auto"/>
            </w:tcBorders>
            <w:shd w:val="clear" w:color="auto" w:fill="auto"/>
            <w:vAlign w:val="center"/>
            <w:hideMark/>
          </w:tcPr>
          <w:p w14:paraId="5F326BCF"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6.2</w:t>
            </w:r>
          </w:p>
        </w:tc>
        <w:tc>
          <w:tcPr>
            <w:tcW w:w="960" w:type="dxa"/>
            <w:tcBorders>
              <w:top w:val="nil"/>
              <w:left w:val="nil"/>
              <w:bottom w:val="single" w:sz="4" w:space="0" w:color="auto"/>
              <w:right w:val="single" w:sz="4" w:space="0" w:color="auto"/>
            </w:tcBorders>
            <w:shd w:val="clear" w:color="auto" w:fill="auto"/>
            <w:vAlign w:val="center"/>
            <w:hideMark/>
          </w:tcPr>
          <w:p w14:paraId="2C5ECF80"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6.29</w:t>
            </w:r>
          </w:p>
        </w:tc>
      </w:tr>
      <w:tr w:rsidR="00B04DFC" w:rsidRPr="0018592C" w14:paraId="22A37D87" w14:textId="77777777" w:rsidTr="00D063A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11853F" w14:textId="77777777" w:rsidR="00B04DFC" w:rsidRPr="0018592C" w:rsidRDefault="00B04DFC" w:rsidP="00D063A1">
            <w:pPr>
              <w:spacing w:after="0" w:line="240" w:lineRule="auto"/>
              <w:rPr>
                <w:rFonts w:ascii="Arial Narrow" w:eastAsia="Times New Roman" w:hAnsi="Arial Narrow" w:cs="Arial"/>
                <w:sz w:val="20"/>
                <w:szCs w:val="20"/>
              </w:rPr>
            </w:pPr>
            <w:r w:rsidRPr="0018592C">
              <w:rPr>
                <w:rFonts w:ascii="Arial Narrow" w:eastAsia="Times New Roman" w:hAnsi="Arial Narrow" w:cs="Arial"/>
                <w:sz w:val="20"/>
                <w:szCs w:val="20"/>
                <w:lang w:val="en-GB"/>
              </w:rPr>
              <w:t>Zambia</w:t>
            </w:r>
          </w:p>
        </w:tc>
        <w:tc>
          <w:tcPr>
            <w:tcW w:w="960" w:type="dxa"/>
            <w:tcBorders>
              <w:top w:val="nil"/>
              <w:left w:val="nil"/>
              <w:bottom w:val="single" w:sz="4" w:space="0" w:color="auto"/>
              <w:right w:val="single" w:sz="4" w:space="0" w:color="auto"/>
            </w:tcBorders>
            <w:shd w:val="clear" w:color="auto" w:fill="auto"/>
            <w:vAlign w:val="center"/>
            <w:hideMark/>
          </w:tcPr>
          <w:p w14:paraId="5331C10A"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5.1</w:t>
            </w:r>
          </w:p>
        </w:tc>
        <w:tc>
          <w:tcPr>
            <w:tcW w:w="960" w:type="dxa"/>
            <w:tcBorders>
              <w:top w:val="nil"/>
              <w:left w:val="nil"/>
              <w:bottom w:val="single" w:sz="4" w:space="0" w:color="auto"/>
              <w:right w:val="single" w:sz="4" w:space="0" w:color="auto"/>
            </w:tcBorders>
            <w:shd w:val="clear" w:color="auto" w:fill="auto"/>
            <w:vAlign w:val="center"/>
            <w:hideMark/>
          </w:tcPr>
          <w:p w14:paraId="36C77FEA"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4.7</w:t>
            </w:r>
          </w:p>
        </w:tc>
        <w:tc>
          <w:tcPr>
            <w:tcW w:w="960" w:type="dxa"/>
            <w:tcBorders>
              <w:top w:val="nil"/>
              <w:left w:val="nil"/>
              <w:bottom w:val="single" w:sz="4" w:space="0" w:color="auto"/>
              <w:right w:val="single" w:sz="4" w:space="0" w:color="auto"/>
            </w:tcBorders>
            <w:shd w:val="clear" w:color="auto" w:fill="auto"/>
            <w:vAlign w:val="center"/>
            <w:hideMark/>
          </w:tcPr>
          <w:p w14:paraId="1E830156"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2.9</w:t>
            </w:r>
          </w:p>
        </w:tc>
        <w:tc>
          <w:tcPr>
            <w:tcW w:w="960" w:type="dxa"/>
            <w:tcBorders>
              <w:top w:val="nil"/>
              <w:left w:val="nil"/>
              <w:bottom w:val="single" w:sz="4" w:space="0" w:color="auto"/>
              <w:right w:val="single" w:sz="4" w:space="0" w:color="auto"/>
            </w:tcBorders>
            <w:shd w:val="clear" w:color="auto" w:fill="auto"/>
            <w:vAlign w:val="center"/>
            <w:hideMark/>
          </w:tcPr>
          <w:p w14:paraId="22D7051A"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3.8</w:t>
            </w:r>
          </w:p>
        </w:tc>
        <w:tc>
          <w:tcPr>
            <w:tcW w:w="960" w:type="dxa"/>
            <w:tcBorders>
              <w:top w:val="nil"/>
              <w:left w:val="nil"/>
              <w:bottom w:val="single" w:sz="4" w:space="0" w:color="auto"/>
              <w:right w:val="single" w:sz="4" w:space="0" w:color="auto"/>
            </w:tcBorders>
            <w:shd w:val="clear" w:color="auto" w:fill="auto"/>
            <w:vAlign w:val="center"/>
            <w:hideMark/>
          </w:tcPr>
          <w:p w14:paraId="2DEB8D83"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3.4</w:t>
            </w:r>
          </w:p>
        </w:tc>
        <w:tc>
          <w:tcPr>
            <w:tcW w:w="960" w:type="dxa"/>
            <w:tcBorders>
              <w:top w:val="nil"/>
              <w:left w:val="nil"/>
              <w:bottom w:val="single" w:sz="4" w:space="0" w:color="auto"/>
              <w:right w:val="single" w:sz="4" w:space="0" w:color="auto"/>
            </w:tcBorders>
            <w:shd w:val="clear" w:color="auto" w:fill="auto"/>
            <w:vAlign w:val="center"/>
            <w:hideMark/>
          </w:tcPr>
          <w:p w14:paraId="40A0B6FA"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3.5</w:t>
            </w:r>
          </w:p>
        </w:tc>
        <w:tc>
          <w:tcPr>
            <w:tcW w:w="960" w:type="dxa"/>
            <w:tcBorders>
              <w:top w:val="nil"/>
              <w:left w:val="nil"/>
              <w:bottom w:val="single" w:sz="4" w:space="0" w:color="auto"/>
              <w:right w:val="single" w:sz="4" w:space="0" w:color="auto"/>
            </w:tcBorders>
            <w:shd w:val="clear" w:color="auto" w:fill="auto"/>
            <w:vAlign w:val="center"/>
            <w:hideMark/>
          </w:tcPr>
          <w:p w14:paraId="70986D3C"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3.09</w:t>
            </w:r>
          </w:p>
        </w:tc>
      </w:tr>
      <w:tr w:rsidR="00B04DFC" w:rsidRPr="0018592C" w14:paraId="466A9451" w14:textId="77777777" w:rsidTr="00D063A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51358B7" w14:textId="77777777" w:rsidR="00B04DFC" w:rsidRPr="0018592C" w:rsidRDefault="00B04DFC" w:rsidP="00D063A1">
            <w:pPr>
              <w:spacing w:after="0" w:line="240" w:lineRule="auto"/>
              <w:rPr>
                <w:rFonts w:ascii="Arial Narrow" w:eastAsia="Times New Roman" w:hAnsi="Arial Narrow" w:cs="Arial"/>
                <w:sz w:val="20"/>
                <w:szCs w:val="20"/>
              </w:rPr>
            </w:pPr>
            <w:r w:rsidRPr="0018592C">
              <w:rPr>
                <w:rFonts w:ascii="Arial Narrow" w:eastAsia="Times New Roman" w:hAnsi="Arial Narrow" w:cs="Arial"/>
                <w:sz w:val="20"/>
                <w:szCs w:val="20"/>
                <w:lang w:val="en-GB"/>
              </w:rPr>
              <w:t>Zimbabwe</w:t>
            </w:r>
          </w:p>
        </w:tc>
        <w:tc>
          <w:tcPr>
            <w:tcW w:w="960" w:type="dxa"/>
            <w:tcBorders>
              <w:top w:val="nil"/>
              <w:left w:val="nil"/>
              <w:bottom w:val="single" w:sz="4" w:space="0" w:color="auto"/>
              <w:right w:val="single" w:sz="4" w:space="0" w:color="auto"/>
            </w:tcBorders>
            <w:shd w:val="clear" w:color="auto" w:fill="auto"/>
            <w:vAlign w:val="center"/>
            <w:hideMark/>
          </w:tcPr>
          <w:p w14:paraId="023F58EC"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2</w:t>
            </w:r>
          </w:p>
        </w:tc>
        <w:tc>
          <w:tcPr>
            <w:tcW w:w="960" w:type="dxa"/>
            <w:tcBorders>
              <w:top w:val="nil"/>
              <w:left w:val="nil"/>
              <w:bottom w:val="single" w:sz="4" w:space="0" w:color="auto"/>
              <w:right w:val="single" w:sz="4" w:space="0" w:color="auto"/>
            </w:tcBorders>
            <w:shd w:val="clear" w:color="auto" w:fill="auto"/>
            <w:vAlign w:val="center"/>
            <w:hideMark/>
          </w:tcPr>
          <w:p w14:paraId="534313B3"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2.4</w:t>
            </w:r>
          </w:p>
        </w:tc>
        <w:tc>
          <w:tcPr>
            <w:tcW w:w="960" w:type="dxa"/>
            <w:tcBorders>
              <w:top w:val="nil"/>
              <w:left w:val="nil"/>
              <w:bottom w:val="single" w:sz="4" w:space="0" w:color="auto"/>
              <w:right w:val="single" w:sz="4" w:space="0" w:color="auto"/>
            </w:tcBorders>
            <w:shd w:val="clear" w:color="auto" w:fill="auto"/>
            <w:vAlign w:val="center"/>
            <w:hideMark/>
          </w:tcPr>
          <w:p w14:paraId="4F579C2F"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1.8</w:t>
            </w:r>
          </w:p>
        </w:tc>
        <w:tc>
          <w:tcPr>
            <w:tcW w:w="960" w:type="dxa"/>
            <w:tcBorders>
              <w:top w:val="nil"/>
              <w:left w:val="nil"/>
              <w:bottom w:val="single" w:sz="4" w:space="0" w:color="auto"/>
              <w:right w:val="single" w:sz="4" w:space="0" w:color="auto"/>
            </w:tcBorders>
            <w:shd w:val="clear" w:color="auto" w:fill="auto"/>
            <w:vAlign w:val="center"/>
            <w:hideMark/>
          </w:tcPr>
          <w:p w14:paraId="6F0FA5F7"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0.7</w:t>
            </w:r>
          </w:p>
        </w:tc>
        <w:tc>
          <w:tcPr>
            <w:tcW w:w="960" w:type="dxa"/>
            <w:tcBorders>
              <w:top w:val="nil"/>
              <w:left w:val="nil"/>
              <w:bottom w:val="single" w:sz="4" w:space="0" w:color="auto"/>
              <w:right w:val="single" w:sz="4" w:space="0" w:color="auto"/>
            </w:tcBorders>
            <w:shd w:val="clear" w:color="auto" w:fill="auto"/>
            <w:vAlign w:val="center"/>
            <w:hideMark/>
          </w:tcPr>
          <w:p w14:paraId="465EEE57"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4.7</w:t>
            </w:r>
          </w:p>
        </w:tc>
        <w:tc>
          <w:tcPr>
            <w:tcW w:w="960" w:type="dxa"/>
            <w:tcBorders>
              <w:top w:val="nil"/>
              <w:left w:val="nil"/>
              <w:bottom w:val="single" w:sz="4" w:space="0" w:color="auto"/>
              <w:right w:val="single" w:sz="4" w:space="0" w:color="auto"/>
            </w:tcBorders>
            <w:shd w:val="clear" w:color="auto" w:fill="auto"/>
            <w:vAlign w:val="center"/>
            <w:hideMark/>
          </w:tcPr>
          <w:p w14:paraId="42EA51F4"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3.4</w:t>
            </w:r>
          </w:p>
        </w:tc>
        <w:tc>
          <w:tcPr>
            <w:tcW w:w="960" w:type="dxa"/>
            <w:tcBorders>
              <w:top w:val="nil"/>
              <w:left w:val="nil"/>
              <w:bottom w:val="single" w:sz="4" w:space="0" w:color="auto"/>
              <w:right w:val="single" w:sz="4" w:space="0" w:color="auto"/>
            </w:tcBorders>
            <w:shd w:val="clear" w:color="auto" w:fill="auto"/>
            <w:vAlign w:val="center"/>
            <w:hideMark/>
          </w:tcPr>
          <w:p w14:paraId="3256C905"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-5.25</w:t>
            </w:r>
          </w:p>
        </w:tc>
      </w:tr>
      <w:tr w:rsidR="00B04DFC" w:rsidRPr="0018592C" w14:paraId="48367640" w14:textId="77777777" w:rsidTr="00D063A1">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C8B68E" w14:textId="77777777" w:rsidR="00B04DFC" w:rsidRPr="0018592C" w:rsidRDefault="00B04DFC" w:rsidP="00D063A1">
            <w:pPr>
              <w:spacing w:after="0" w:line="240" w:lineRule="auto"/>
              <w:rPr>
                <w:rFonts w:ascii="Arial Narrow" w:eastAsia="Times New Roman" w:hAnsi="Arial Narrow" w:cs="Arial"/>
                <w:sz w:val="20"/>
                <w:szCs w:val="20"/>
              </w:rPr>
            </w:pPr>
            <w:r w:rsidRPr="0018592C">
              <w:rPr>
                <w:rFonts w:ascii="Arial Narrow" w:eastAsia="Times New Roman" w:hAnsi="Arial Narrow" w:cs="Arial"/>
                <w:sz w:val="20"/>
                <w:szCs w:val="20"/>
                <w:lang w:val="en-GB"/>
              </w:rPr>
              <w:t>COMESA</w:t>
            </w:r>
          </w:p>
        </w:tc>
        <w:tc>
          <w:tcPr>
            <w:tcW w:w="960" w:type="dxa"/>
            <w:tcBorders>
              <w:top w:val="nil"/>
              <w:left w:val="nil"/>
              <w:bottom w:val="single" w:sz="4" w:space="0" w:color="auto"/>
              <w:right w:val="single" w:sz="4" w:space="0" w:color="auto"/>
            </w:tcBorders>
            <w:shd w:val="clear" w:color="auto" w:fill="auto"/>
            <w:noWrap/>
            <w:vAlign w:val="center"/>
            <w:hideMark/>
          </w:tcPr>
          <w:p w14:paraId="0C1011DF"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 xml:space="preserve">4.8 </w:t>
            </w:r>
          </w:p>
        </w:tc>
        <w:tc>
          <w:tcPr>
            <w:tcW w:w="960" w:type="dxa"/>
            <w:tcBorders>
              <w:top w:val="nil"/>
              <w:left w:val="nil"/>
              <w:bottom w:val="single" w:sz="4" w:space="0" w:color="auto"/>
              <w:right w:val="single" w:sz="4" w:space="0" w:color="auto"/>
            </w:tcBorders>
            <w:shd w:val="clear" w:color="auto" w:fill="auto"/>
            <w:noWrap/>
            <w:vAlign w:val="center"/>
            <w:hideMark/>
          </w:tcPr>
          <w:p w14:paraId="5F8A58E6"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 xml:space="preserve">1.8 </w:t>
            </w:r>
          </w:p>
        </w:tc>
        <w:tc>
          <w:tcPr>
            <w:tcW w:w="960" w:type="dxa"/>
            <w:tcBorders>
              <w:top w:val="nil"/>
              <w:left w:val="nil"/>
              <w:bottom w:val="single" w:sz="4" w:space="0" w:color="auto"/>
              <w:right w:val="single" w:sz="4" w:space="0" w:color="auto"/>
            </w:tcBorders>
            <w:shd w:val="clear" w:color="auto" w:fill="auto"/>
            <w:noWrap/>
            <w:vAlign w:val="center"/>
            <w:hideMark/>
          </w:tcPr>
          <w:p w14:paraId="59816BED"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 xml:space="preserve">3.5 </w:t>
            </w:r>
          </w:p>
        </w:tc>
        <w:tc>
          <w:tcPr>
            <w:tcW w:w="960" w:type="dxa"/>
            <w:tcBorders>
              <w:top w:val="nil"/>
              <w:left w:val="nil"/>
              <w:bottom w:val="single" w:sz="4" w:space="0" w:color="auto"/>
              <w:right w:val="single" w:sz="4" w:space="0" w:color="auto"/>
            </w:tcBorders>
            <w:shd w:val="clear" w:color="auto" w:fill="auto"/>
            <w:noWrap/>
            <w:vAlign w:val="center"/>
            <w:hideMark/>
          </w:tcPr>
          <w:p w14:paraId="551641BB"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 xml:space="preserve">3.3 </w:t>
            </w:r>
          </w:p>
        </w:tc>
        <w:tc>
          <w:tcPr>
            <w:tcW w:w="960" w:type="dxa"/>
            <w:tcBorders>
              <w:top w:val="nil"/>
              <w:left w:val="nil"/>
              <w:bottom w:val="single" w:sz="4" w:space="0" w:color="auto"/>
              <w:right w:val="single" w:sz="4" w:space="0" w:color="auto"/>
            </w:tcBorders>
            <w:shd w:val="clear" w:color="auto" w:fill="auto"/>
            <w:noWrap/>
            <w:vAlign w:val="center"/>
            <w:hideMark/>
          </w:tcPr>
          <w:p w14:paraId="51E48C95"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 xml:space="preserve">7.5 </w:t>
            </w:r>
          </w:p>
        </w:tc>
        <w:tc>
          <w:tcPr>
            <w:tcW w:w="960" w:type="dxa"/>
            <w:tcBorders>
              <w:top w:val="nil"/>
              <w:left w:val="nil"/>
              <w:bottom w:val="single" w:sz="4" w:space="0" w:color="auto"/>
              <w:right w:val="single" w:sz="4" w:space="0" w:color="auto"/>
            </w:tcBorders>
            <w:shd w:val="clear" w:color="auto" w:fill="auto"/>
            <w:noWrap/>
            <w:vAlign w:val="center"/>
            <w:hideMark/>
          </w:tcPr>
          <w:p w14:paraId="47F20E50"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 xml:space="preserve">4.7 </w:t>
            </w:r>
          </w:p>
        </w:tc>
        <w:tc>
          <w:tcPr>
            <w:tcW w:w="960" w:type="dxa"/>
            <w:tcBorders>
              <w:top w:val="nil"/>
              <w:left w:val="nil"/>
              <w:bottom w:val="single" w:sz="4" w:space="0" w:color="auto"/>
              <w:right w:val="single" w:sz="4" w:space="0" w:color="auto"/>
            </w:tcBorders>
            <w:shd w:val="clear" w:color="auto" w:fill="auto"/>
            <w:noWrap/>
            <w:vAlign w:val="center"/>
            <w:hideMark/>
          </w:tcPr>
          <w:p w14:paraId="2C1BF944" w14:textId="77777777" w:rsidR="00B04DFC" w:rsidRPr="0018592C" w:rsidRDefault="00B04DFC" w:rsidP="00D063A1">
            <w:pPr>
              <w:spacing w:after="0" w:line="240" w:lineRule="auto"/>
              <w:jc w:val="center"/>
              <w:rPr>
                <w:rFonts w:ascii="Arial Narrow" w:eastAsia="Times New Roman" w:hAnsi="Arial Narrow" w:cs="Arial"/>
                <w:sz w:val="20"/>
                <w:szCs w:val="20"/>
              </w:rPr>
            </w:pPr>
            <w:r w:rsidRPr="0018592C">
              <w:rPr>
                <w:rFonts w:ascii="Arial Narrow" w:eastAsia="Times New Roman" w:hAnsi="Arial Narrow" w:cs="Arial"/>
                <w:sz w:val="20"/>
                <w:szCs w:val="20"/>
                <w:lang w:val="en-GB"/>
              </w:rPr>
              <w:t xml:space="preserve">3.5 </w:t>
            </w:r>
          </w:p>
        </w:tc>
      </w:tr>
    </w:tbl>
    <w:p w14:paraId="6C635934" w14:textId="77777777" w:rsidR="00B04DFC" w:rsidRPr="00721E95" w:rsidRDefault="00B04DFC" w:rsidP="00B04DFC">
      <w:pPr>
        <w:pStyle w:val="NoSpacing"/>
        <w:ind w:left="720"/>
        <w:rPr>
          <w:lang w:val="en-GB"/>
        </w:rPr>
      </w:pPr>
    </w:p>
    <w:p w14:paraId="3A620592" w14:textId="77777777" w:rsidR="00B04DFC" w:rsidRPr="00721E95" w:rsidRDefault="00B04DFC" w:rsidP="00B04DFC">
      <w:pPr>
        <w:pStyle w:val="NoSpacing"/>
        <w:rPr>
          <w:lang w:val="en-GB"/>
        </w:rPr>
      </w:pPr>
      <w:r w:rsidRPr="00721E95">
        <w:rPr>
          <w:lang w:val="en-GB"/>
        </w:rPr>
        <w:t>Source: IMF REO Sub Saharan Africa April 2019; IMF REO Update Middle East and Central Asia April 2019; Country Reports</w:t>
      </w:r>
    </w:p>
    <w:p w14:paraId="5D7C783F" w14:textId="77777777" w:rsidR="00B04DFC" w:rsidRPr="00721E95" w:rsidRDefault="00B04DFC" w:rsidP="00B04DFC">
      <w:pPr>
        <w:pStyle w:val="Heading6"/>
        <w:ind w:left="720"/>
        <w:rPr>
          <w:rFonts w:ascii="Arial" w:hAnsi="Arial" w:cs="Arial"/>
          <w:noProof/>
          <w:color w:val="auto"/>
        </w:rPr>
      </w:pPr>
      <w:r w:rsidRPr="00721E95">
        <w:rPr>
          <w:rFonts w:ascii="Arial" w:hAnsi="Arial" w:cs="Arial"/>
          <w:noProof/>
          <w:color w:val="auto"/>
        </w:rPr>
        <w:lastRenderedPageBreak/>
        <w:t xml:space="preserve">Figure 1: </w:t>
      </w:r>
    </w:p>
    <w:p w14:paraId="0B1DEA4C" w14:textId="77777777" w:rsidR="00B04DFC" w:rsidRPr="00721E95" w:rsidRDefault="00B04DFC" w:rsidP="00B04DFC">
      <w:pPr>
        <w:ind w:left="360"/>
        <w:rPr>
          <w:rFonts w:ascii="Arial" w:hAnsi="Arial" w:cs="Arial"/>
          <w:lang w:val="en-GB"/>
        </w:rPr>
      </w:pPr>
      <w:r w:rsidRPr="00721E95">
        <w:rPr>
          <w:rFonts w:ascii="Arial" w:hAnsi="Arial" w:cs="Arial"/>
          <w:noProof/>
        </w:rPr>
        <w:drawing>
          <wp:inline distT="0" distB="0" distL="0" distR="0" wp14:anchorId="1B035FF5" wp14:editId="6B85090D">
            <wp:extent cx="5415148" cy="2844141"/>
            <wp:effectExtent l="0" t="0" r="14605" b="1397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5B21E2F" w14:textId="77777777" w:rsidR="00B04DFC" w:rsidRPr="00816F39" w:rsidRDefault="00B04DFC" w:rsidP="00552CA2">
      <w:pPr>
        <w:pStyle w:val="ListParagraph"/>
        <w:numPr>
          <w:ilvl w:val="0"/>
          <w:numId w:val="4"/>
        </w:numPr>
        <w:tabs>
          <w:tab w:val="left" w:pos="720"/>
        </w:tabs>
        <w:ind w:left="0" w:firstLine="0"/>
        <w:jc w:val="both"/>
        <w:rPr>
          <w:rFonts w:ascii="Arial" w:hAnsi="Arial" w:cs="Arial"/>
          <w:lang w:val="en-GB" w:eastAsia="x-none"/>
        </w:rPr>
      </w:pPr>
      <w:r w:rsidRPr="00721E95">
        <w:rPr>
          <w:rFonts w:ascii="Arial" w:hAnsi="Arial" w:cs="Arial"/>
          <w:lang w:val="en-GB" w:eastAsia="x-none"/>
        </w:rPr>
        <w:t>With respect to investment promotion in the region, t</w:t>
      </w:r>
      <w:r w:rsidRPr="00721E95">
        <w:rPr>
          <w:rFonts w:ascii="Arial" w:hAnsi="Arial" w:cs="Arial"/>
        </w:rPr>
        <w:t>he average overall investment as a percent of GDP in COMESA decreased marginally from 20.1 percent in 2017 to 19.2 percent in 2018 and projected to be 19.9 percent in 2019. Howev</w:t>
      </w:r>
      <w:r>
        <w:rPr>
          <w:rFonts w:ascii="Arial" w:hAnsi="Arial" w:cs="Arial"/>
        </w:rPr>
        <w:t>er, a number of COMESA Member States</w:t>
      </w:r>
      <w:r w:rsidRPr="00721E95">
        <w:rPr>
          <w:rFonts w:ascii="Arial" w:hAnsi="Arial" w:cs="Arial"/>
        </w:rPr>
        <w:t xml:space="preserve"> recorded investment performance of less t</w:t>
      </w:r>
      <w:r>
        <w:rPr>
          <w:rFonts w:ascii="Arial" w:hAnsi="Arial" w:cs="Arial"/>
        </w:rPr>
        <w:t>han 20% of GDP. The region requires</w:t>
      </w:r>
      <w:r w:rsidRPr="00721E95">
        <w:rPr>
          <w:rFonts w:ascii="Arial" w:hAnsi="Arial" w:cs="Arial"/>
        </w:rPr>
        <w:t xml:space="preserve"> high and inclusive growth to create enough jobs for i</w:t>
      </w:r>
      <w:r>
        <w:rPr>
          <w:rFonts w:ascii="Arial" w:hAnsi="Arial" w:cs="Arial"/>
        </w:rPr>
        <w:t>ts increasing labour force that</w:t>
      </w:r>
      <w:r w:rsidRPr="00721E95">
        <w:rPr>
          <w:rFonts w:ascii="Arial" w:hAnsi="Arial" w:cs="Arial"/>
        </w:rPr>
        <w:t xml:space="preserve"> requires adequate investment in both the private sector and in infrastructure.</w:t>
      </w:r>
    </w:p>
    <w:p w14:paraId="6D3CA9DE" w14:textId="77777777" w:rsidR="00B04DFC" w:rsidRPr="00721E95" w:rsidRDefault="00B04DFC" w:rsidP="00B04DFC">
      <w:pPr>
        <w:pStyle w:val="ListParagraph"/>
        <w:tabs>
          <w:tab w:val="left" w:pos="720"/>
        </w:tabs>
        <w:ind w:left="0"/>
        <w:jc w:val="both"/>
        <w:rPr>
          <w:rFonts w:ascii="Arial" w:hAnsi="Arial" w:cs="Arial"/>
          <w:lang w:val="en-GB" w:eastAsia="x-none"/>
        </w:rPr>
      </w:pPr>
    </w:p>
    <w:p w14:paraId="4B4D9DB6" w14:textId="5562736E" w:rsidR="00B04DFC" w:rsidRDefault="00B04DFC" w:rsidP="00552CA2">
      <w:pPr>
        <w:pStyle w:val="ListParagraph"/>
        <w:numPr>
          <w:ilvl w:val="0"/>
          <w:numId w:val="4"/>
        </w:numPr>
        <w:tabs>
          <w:tab w:val="left" w:pos="720"/>
        </w:tabs>
        <w:ind w:left="0" w:firstLine="0"/>
        <w:jc w:val="both"/>
        <w:rPr>
          <w:rFonts w:ascii="Arial" w:hAnsi="Arial" w:cs="Arial"/>
          <w:bCs/>
        </w:rPr>
      </w:pPr>
      <w:r w:rsidRPr="00721E95">
        <w:rPr>
          <w:rFonts w:ascii="Arial" w:hAnsi="Arial" w:cs="Arial"/>
        </w:rPr>
        <w:t xml:space="preserve">Concerning the </w:t>
      </w:r>
      <w:r w:rsidRPr="00721E95">
        <w:rPr>
          <w:rFonts w:ascii="Arial" w:hAnsi="Arial" w:cs="Arial"/>
          <w:bCs/>
        </w:rPr>
        <w:t>Monetary</w:t>
      </w:r>
      <w:r w:rsidRPr="00721E95">
        <w:rPr>
          <w:rFonts w:ascii="Arial" w:hAnsi="Arial" w:cs="Arial"/>
        </w:rPr>
        <w:t xml:space="preserve"> Policy and Exchange Rate developments</w:t>
      </w:r>
      <w:r>
        <w:rPr>
          <w:rFonts w:ascii="Arial" w:hAnsi="Arial" w:cs="Arial"/>
          <w:bCs/>
        </w:rPr>
        <w:t xml:space="preserve"> of </w:t>
      </w:r>
      <w:r w:rsidRPr="00721E95">
        <w:rPr>
          <w:rFonts w:ascii="Arial" w:hAnsi="Arial" w:cs="Arial"/>
          <w:bCs/>
        </w:rPr>
        <w:t xml:space="preserve">2018, monetary policy stance varied depending </w:t>
      </w:r>
      <w:r>
        <w:rPr>
          <w:rFonts w:ascii="Arial" w:hAnsi="Arial" w:cs="Arial"/>
          <w:bCs/>
        </w:rPr>
        <w:t>on the extent to which Member States</w:t>
      </w:r>
      <w:r w:rsidRPr="00721E95">
        <w:rPr>
          <w:rFonts w:ascii="Arial" w:hAnsi="Arial" w:cs="Arial"/>
          <w:bCs/>
        </w:rPr>
        <w:t xml:space="preserve"> are exposed to domestic and external shock. Therefore, a significant depreciation of currencies </w:t>
      </w:r>
      <w:r w:rsidR="0091344E" w:rsidRPr="00721E95">
        <w:rPr>
          <w:rFonts w:ascii="Arial" w:hAnsi="Arial" w:cs="Arial"/>
          <w:bCs/>
        </w:rPr>
        <w:t>was</w:t>
      </w:r>
      <w:r w:rsidRPr="00721E95">
        <w:rPr>
          <w:rFonts w:ascii="Arial" w:hAnsi="Arial" w:cs="Arial"/>
          <w:bCs/>
        </w:rPr>
        <w:t xml:space="preserve"> seen</w:t>
      </w:r>
      <w:r>
        <w:rPr>
          <w:rFonts w:ascii="Arial" w:hAnsi="Arial" w:cs="Arial"/>
          <w:bCs/>
        </w:rPr>
        <w:t xml:space="preserve"> in a number of Member States</w:t>
      </w:r>
      <w:r w:rsidRPr="00721E95">
        <w:rPr>
          <w:rFonts w:ascii="Arial" w:hAnsi="Arial" w:cs="Arial"/>
          <w:bCs/>
        </w:rPr>
        <w:t xml:space="preserve"> which was a continuation of a trend in 2017, primarily owing to high public sector demand for foreign exchange to finance big public investment projects, a strong dollar and high demand for foreign exchange from the local corporate sector. The depreciation of currencies in member countries in 2018 had an adverse impact on debt repayment obligations and inflation as currency depreciations did not necessarily translate into strong price advantage in export markets. </w:t>
      </w:r>
    </w:p>
    <w:p w14:paraId="1E4BF67F" w14:textId="77777777" w:rsidR="0018592C" w:rsidRPr="0018592C" w:rsidRDefault="0018592C" w:rsidP="0018592C">
      <w:pPr>
        <w:pStyle w:val="ListParagraph"/>
        <w:rPr>
          <w:rFonts w:ascii="Arial" w:hAnsi="Arial" w:cs="Arial"/>
          <w:bCs/>
        </w:rPr>
      </w:pPr>
    </w:p>
    <w:p w14:paraId="7BA836E4" w14:textId="77777777" w:rsidR="00B04DFC" w:rsidRPr="00721E95" w:rsidRDefault="00B04DFC" w:rsidP="00552CA2">
      <w:pPr>
        <w:pStyle w:val="ListParagraph"/>
        <w:numPr>
          <w:ilvl w:val="0"/>
          <w:numId w:val="4"/>
        </w:numPr>
        <w:tabs>
          <w:tab w:val="left" w:pos="720"/>
        </w:tabs>
        <w:ind w:left="0" w:firstLine="0"/>
        <w:jc w:val="both"/>
        <w:rPr>
          <w:rFonts w:ascii="Arial" w:hAnsi="Arial" w:cs="Arial"/>
          <w:lang w:eastAsia="x-none"/>
        </w:rPr>
      </w:pPr>
      <w:r w:rsidRPr="00721E95">
        <w:rPr>
          <w:rFonts w:ascii="Arial" w:hAnsi="Arial" w:cs="Arial"/>
          <w:lang w:eastAsia="x-none"/>
        </w:rPr>
        <w:t>Government debt remains a significant challenge in the COMESA region despite the region’s average Government debt as a share of GDP recorded as 64.4% in 2018 as compared to 64.8% in 2017 but significantly higher at 53.3% registered in 2015. The rise in debt resulted from higher borrowing by many member countries for financing</w:t>
      </w:r>
      <w:r w:rsidRPr="00721E95">
        <w:rPr>
          <w:rFonts w:ascii="Arial" w:hAnsi="Arial" w:cs="Arial"/>
        </w:rPr>
        <w:t xml:space="preserve"> the infrastructure development projects needed to boost economic growth and improve living standards. However, unless measures are implemented to curtail growth in debt, Member States could face an implosion in the stock of external debt and servicing costs which could result in a major source of macroeconomic instability.</w:t>
      </w:r>
    </w:p>
    <w:p w14:paraId="7F4EB89E" w14:textId="77777777" w:rsidR="00B04DFC" w:rsidRPr="00721E95" w:rsidRDefault="00B04DFC" w:rsidP="00B04DFC">
      <w:pPr>
        <w:pStyle w:val="NoSpacing"/>
        <w:jc w:val="both"/>
        <w:rPr>
          <w:lang w:val="en-US" w:eastAsia="x-none"/>
        </w:rPr>
      </w:pPr>
    </w:p>
    <w:p w14:paraId="0A0D85E7" w14:textId="77777777" w:rsidR="00B04DFC" w:rsidRDefault="00B04DFC" w:rsidP="00552CA2">
      <w:pPr>
        <w:pStyle w:val="ListParagraph"/>
        <w:numPr>
          <w:ilvl w:val="0"/>
          <w:numId w:val="4"/>
        </w:numPr>
        <w:tabs>
          <w:tab w:val="left" w:pos="720"/>
        </w:tabs>
        <w:ind w:left="0" w:firstLine="0"/>
        <w:jc w:val="both"/>
        <w:rPr>
          <w:rFonts w:ascii="Arial" w:hAnsi="Arial" w:cs="Arial"/>
        </w:rPr>
      </w:pPr>
      <w:r>
        <w:rPr>
          <w:rFonts w:ascii="Arial" w:hAnsi="Arial" w:cs="Arial"/>
        </w:rPr>
        <w:t>Efforts have been</w:t>
      </w:r>
      <w:r w:rsidRPr="00721E95">
        <w:rPr>
          <w:rFonts w:ascii="Arial" w:hAnsi="Arial" w:cs="Arial"/>
        </w:rPr>
        <w:t xml:space="preserve"> directed in reducing inflation rates with the region wide average inflation rate recorded at 11.1% in 2018 as compared to 12.0% in 2017</w:t>
      </w:r>
      <w:r>
        <w:rPr>
          <w:rFonts w:ascii="Arial" w:hAnsi="Arial" w:cs="Arial"/>
        </w:rPr>
        <w:t>. Nevertheless, the inflation rate</w:t>
      </w:r>
      <w:r w:rsidRPr="00721E95">
        <w:rPr>
          <w:rFonts w:ascii="Arial" w:hAnsi="Arial" w:cs="Arial"/>
        </w:rPr>
        <w:t xml:space="preserve"> is projected to increase to 12.5% in 2019 due to a combination of the following factors; higher oil prices, currency depreciation, subsidy elimination, poor harvest, higher import prices etc.  Inflationary pressures have raised the cost of living in affected countries while the cost of running government has also increased, expanding financing needs and widening fiscal deficits. </w:t>
      </w:r>
    </w:p>
    <w:p w14:paraId="43D6B62D" w14:textId="77777777" w:rsidR="00B04DFC" w:rsidRPr="00721E95" w:rsidRDefault="00B04DFC" w:rsidP="00B04DFC">
      <w:pPr>
        <w:pStyle w:val="ListParagraph"/>
        <w:tabs>
          <w:tab w:val="left" w:pos="720"/>
        </w:tabs>
        <w:ind w:left="0"/>
        <w:jc w:val="both"/>
        <w:rPr>
          <w:rFonts w:ascii="Arial" w:hAnsi="Arial" w:cs="Arial"/>
        </w:rPr>
      </w:pPr>
    </w:p>
    <w:p w14:paraId="1F17AC39" w14:textId="77777777" w:rsidR="00B04DFC" w:rsidRPr="000B6E24" w:rsidRDefault="00B04DFC" w:rsidP="00552CA2">
      <w:pPr>
        <w:pStyle w:val="ListParagraph"/>
        <w:numPr>
          <w:ilvl w:val="0"/>
          <w:numId w:val="4"/>
        </w:numPr>
        <w:tabs>
          <w:tab w:val="left" w:pos="720"/>
        </w:tabs>
        <w:ind w:left="0" w:firstLine="0"/>
        <w:jc w:val="both"/>
        <w:rPr>
          <w:rFonts w:ascii="Arial" w:hAnsi="Arial" w:cs="Arial"/>
        </w:rPr>
      </w:pPr>
      <w:r w:rsidRPr="000B6E24">
        <w:rPr>
          <w:rFonts w:ascii="Arial" w:hAnsi="Arial" w:cs="Arial"/>
        </w:rPr>
        <w:lastRenderedPageBreak/>
        <w:t>Based on the evidence analyzing the developments in key macro-economic performance indicators in the region in 2018, there is need for the COMESA region to focus on implementing deep structural reforms to diversify the economies by implementing the following corrective measures/recommendations among others;</w:t>
      </w:r>
    </w:p>
    <w:p w14:paraId="6A36D24F" w14:textId="77777777" w:rsidR="00B04DFC" w:rsidRDefault="00B04DFC" w:rsidP="0018592C">
      <w:pPr>
        <w:pStyle w:val="NoSpacing"/>
        <w:tabs>
          <w:tab w:val="left" w:pos="6804"/>
        </w:tabs>
        <w:jc w:val="both"/>
        <w:rPr>
          <w:lang w:val="en-US"/>
        </w:rPr>
      </w:pPr>
    </w:p>
    <w:p w14:paraId="542F051A" w14:textId="77777777" w:rsidR="00B04DFC" w:rsidRPr="00721E95" w:rsidRDefault="00B04DFC" w:rsidP="00552CA2">
      <w:pPr>
        <w:pStyle w:val="NoSpacing"/>
        <w:numPr>
          <w:ilvl w:val="0"/>
          <w:numId w:val="14"/>
        </w:numPr>
        <w:tabs>
          <w:tab w:val="left" w:pos="6804"/>
        </w:tabs>
        <w:jc w:val="both"/>
        <w:rPr>
          <w:lang w:val="en-US"/>
        </w:rPr>
      </w:pPr>
      <w:r w:rsidRPr="00721E95">
        <w:rPr>
          <w:lang w:val="en-US"/>
        </w:rPr>
        <w:t>Better macroeconomic management, and an improved business environment;</w:t>
      </w:r>
    </w:p>
    <w:p w14:paraId="2AE39F92" w14:textId="77777777" w:rsidR="00B04DFC" w:rsidRPr="00721E95" w:rsidRDefault="00B04DFC" w:rsidP="00552CA2">
      <w:pPr>
        <w:pStyle w:val="ListParagraph"/>
        <w:numPr>
          <w:ilvl w:val="0"/>
          <w:numId w:val="14"/>
        </w:numPr>
        <w:jc w:val="both"/>
        <w:rPr>
          <w:rFonts w:ascii="Arial" w:hAnsi="Arial" w:cs="Arial"/>
        </w:rPr>
      </w:pPr>
      <w:r w:rsidRPr="00721E95">
        <w:rPr>
          <w:rFonts w:ascii="Arial" w:hAnsi="Arial" w:cs="Arial"/>
        </w:rPr>
        <w:t>Policy interventions focusing on increasing the share of intermediate and capital goods in imports- This could help countries benefit from scale and scope economies and explore knowledge transfer from more advanced production process;</w:t>
      </w:r>
    </w:p>
    <w:p w14:paraId="796D77CE" w14:textId="77777777" w:rsidR="00B04DFC" w:rsidRPr="00721E95" w:rsidRDefault="00B04DFC" w:rsidP="00552CA2">
      <w:pPr>
        <w:pStyle w:val="ListParagraph"/>
        <w:numPr>
          <w:ilvl w:val="0"/>
          <w:numId w:val="14"/>
        </w:numPr>
        <w:jc w:val="both"/>
        <w:rPr>
          <w:rFonts w:ascii="Arial" w:hAnsi="Arial" w:cs="Arial"/>
        </w:rPr>
      </w:pPr>
      <w:r w:rsidRPr="00721E95">
        <w:rPr>
          <w:rFonts w:ascii="Arial" w:hAnsi="Arial" w:cs="Arial"/>
        </w:rPr>
        <w:t>Emphasizing the reallocation of most productive resources towards export intensive areas that are well integrated into the global value chain. This is key to aggregate productivity growth.</w:t>
      </w:r>
    </w:p>
    <w:p w14:paraId="779A1CE2" w14:textId="77777777" w:rsidR="00B04DFC" w:rsidRPr="00721E95" w:rsidRDefault="00B04DFC" w:rsidP="00552CA2">
      <w:pPr>
        <w:pStyle w:val="ListParagraph"/>
        <w:numPr>
          <w:ilvl w:val="0"/>
          <w:numId w:val="14"/>
        </w:numPr>
        <w:jc w:val="both"/>
        <w:rPr>
          <w:rFonts w:ascii="Arial" w:hAnsi="Arial" w:cs="Arial"/>
        </w:rPr>
      </w:pPr>
      <w:r w:rsidRPr="00721E95">
        <w:rPr>
          <w:rFonts w:ascii="Arial" w:hAnsi="Arial" w:cs="Arial"/>
        </w:rPr>
        <w:t>Enhancing integration into global value chains by upholding technical and labour standards and reinforcing regional integration. This can enable countries to move up the ladder of speciation.</w:t>
      </w:r>
    </w:p>
    <w:p w14:paraId="6E52FE76" w14:textId="77777777" w:rsidR="00B04DFC" w:rsidRPr="00721E95" w:rsidRDefault="00B04DFC" w:rsidP="00552CA2">
      <w:pPr>
        <w:pStyle w:val="ListParagraph"/>
        <w:numPr>
          <w:ilvl w:val="0"/>
          <w:numId w:val="14"/>
        </w:numPr>
        <w:jc w:val="both"/>
        <w:rPr>
          <w:rFonts w:ascii="Arial" w:hAnsi="Arial" w:cs="Arial"/>
        </w:rPr>
      </w:pPr>
      <w:r w:rsidRPr="00721E95">
        <w:rPr>
          <w:rFonts w:ascii="Arial" w:hAnsi="Arial" w:cs="Arial"/>
        </w:rPr>
        <w:t xml:space="preserve">Reinvesting surplus from commodity price windfalls in resource rich countries towards sectors with higher productivity growth and more potential for integration into global value chain. </w:t>
      </w:r>
    </w:p>
    <w:p w14:paraId="00F8F885" w14:textId="77777777" w:rsidR="00B04DFC" w:rsidRPr="00721E95" w:rsidRDefault="00B04DFC" w:rsidP="00552CA2">
      <w:pPr>
        <w:pStyle w:val="ListParagraph"/>
        <w:numPr>
          <w:ilvl w:val="0"/>
          <w:numId w:val="14"/>
        </w:numPr>
        <w:jc w:val="both"/>
        <w:rPr>
          <w:rFonts w:ascii="Arial" w:hAnsi="Arial" w:cs="Arial"/>
        </w:rPr>
      </w:pPr>
      <w:r w:rsidRPr="00721E95">
        <w:rPr>
          <w:rFonts w:ascii="Arial" w:hAnsi="Arial" w:cs="Arial"/>
        </w:rPr>
        <w:t>Ensure that fiscal policy does not undercut the growth promoting effects of public investments in health, poverty reduction; and education.</w:t>
      </w:r>
    </w:p>
    <w:p w14:paraId="6A62BF56" w14:textId="77777777" w:rsidR="00B04DFC" w:rsidRPr="00721E95" w:rsidRDefault="00B04DFC" w:rsidP="00552CA2">
      <w:pPr>
        <w:pStyle w:val="ListParagraph"/>
        <w:numPr>
          <w:ilvl w:val="0"/>
          <w:numId w:val="14"/>
        </w:numPr>
        <w:jc w:val="both"/>
        <w:rPr>
          <w:rFonts w:ascii="Arial" w:hAnsi="Arial" w:cs="Arial"/>
        </w:rPr>
      </w:pPr>
      <w:r w:rsidRPr="00721E95">
        <w:rPr>
          <w:rFonts w:ascii="Arial" w:hAnsi="Arial" w:cs="Arial"/>
        </w:rPr>
        <w:t xml:space="preserve">Ensure the closing of infrastructure gap in power, water, transport services etc. by creating a mutually profitable global pact to finance the region’s infrastructure, by targeting among others, infrastructure which supports competitive industries, and sectors in industrial parks and export processing zones linked to global market. </w:t>
      </w:r>
    </w:p>
    <w:p w14:paraId="695328D9" w14:textId="77777777" w:rsidR="00B04DFC" w:rsidRPr="00721E95" w:rsidRDefault="00B04DFC" w:rsidP="00552CA2">
      <w:pPr>
        <w:pStyle w:val="ListParagraph"/>
        <w:numPr>
          <w:ilvl w:val="0"/>
          <w:numId w:val="14"/>
        </w:numPr>
        <w:jc w:val="both"/>
        <w:rPr>
          <w:rFonts w:ascii="Arial" w:hAnsi="Arial" w:cs="Arial"/>
        </w:rPr>
      </w:pPr>
      <w:r w:rsidRPr="00721E95">
        <w:rPr>
          <w:rFonts w:ascii="Arial" w:hAnsi="Arial" w:cs="Arial"/>
        </w:rPr>
        <w:t>By attracting foreign investment and firms, even, the poorest country in the region can improve their trade logistics, increase the knowledge and skills of local entrepreneurs, gain the confidence of international buyers, and gradually make local firms competitive.</w:t>
      </w:r>
    </w:p>
    <w:p w14:paraId="3652F3A2" w14:textId="77777777" w:rsidR="00B04DFC" w:rsidRPr="00721E95" w:rsidRDefault="00B04DFC" w:rsidP="00552CA2">
      <w:pPr>
        <w:pStyle w:val="ListParagraph"/>
        <w:numPr>
          <w:ilvl w:val="0"/>
          <w:numId w:val="14"/>
        </w:numPr>
        <w:jc w:val="both"/>
        <w:rPr>
          <w:rFonts w:ascii="Arial" w:hAnsi="Arial" w:cs="Arial"/>
        </w:rPr>
      </w:pPr>
      <w:r w:rsidRPr="00721E95">
        <w:rPr>
          <w:rFonts w:ascii="Arial" w:hAnsi="Arial" w:cs="Arial"/>
        </w:rPr>
        <w:t>Combat tax evasion and illicit financial flows</w:t>
      </w:r>
      <w:r>
        <w:rPr>
          <w:rFonts w:ascii="Arial" w:hAnsi="Arial" w:cs="Arial"/>
        </w:rPr>
        <w:t>.</w:t>
      </w:r>
    </w:p>
    <w:p w14:paraId="27596FC9" w14:textId="77777777" w:rsidR="00B04DFC" w:rsidRPr="00721E95" w:rsidRDefault="00B04DFC" w:rsidP="00552CA2">
      <w:pPr>
        <w:pStyle w:val="ListParagraph"/>
        <w:numPr>
          <w:ilvl w:val="0"/>
          <w:numId w:val="14"/>
        </w:numPr>
        <w:jc w:val="both"/>
        <w:rPr>
          <w:rFonts w:ascii="Arial" w:hAnsi="Arial" w:cs="Arial"/>
        </w:rPr>
      </w:pPr>
      <w:r w:rsidRPr="00721E95">
        <w:rPr>
          <w:rFonts w:ascii="Arial" w:hAnsi="Arial" w:cs="Arial"/>
        </w:rPr>
        <w:t>Deepening the financial system.</w:t>
      </w:r>
    </w:p>
    <w:p w14:paraId="2D223502" w14:textId="77777777" w:rsidR="00B04DFC" w:rsidRDefault="00B04DFC" w:rsidP="00552CA2">
      <w:pPr>
        <w:pStyle w:val="ListParagraph"/>
        <w:numPr>
          <w:ilvl w:val="0"/>
          <w:numId w:val="14"/>
        </w:numPr>
        <w:jc w:val="both"/>
        <w:rPr>
          <w:rFonts w:ascii="Arial" w:hAnsi="Arial" w:cs="Arial"/>
        </w:rPr>
      </w:pPr>
      <w:r w:rsidRPr="00721E95">
        <w:rPr>
          <w:rFonts w:ascii="Arial" w:hAnsi="Arial" w:cs="Arial"/>
        </w:rPr>
        <w:t>Design policies to lower the cost to transfer money and to improve platforms for diaspora investment;</w:t>
      </w:r>
    </w:p>
    <w:p w14:paraId="1458500B" w14:textId="77777777" w:rsidR="00B04DFC" w:rsidRPr="003D76C8" w:rsidRDefault="00B04DFC" w:rsidP="00552CA2">
      <w:pPr>
        <w:pStyle w:val="ListParagraph"/>
        <w:numPr>
          <w:ilvl w:val="0"/>
          <w:numId w:val="14"/>
        </w:numPr>
        <w:jc w:val="both"/>
        <w:rPr>
          <w:rFonts w:ascii="Arial" w:hAnsi="Arial" w:cs="Arial"/>
        </w:rPr>
      </w:pPr>
      <w:r w:rsidRPr="003D76C8">
        <w:rPr>
          <w:rFonts w:ascii="Arial" w:hAnsi="Arial" w:cs="Arial"/>
        </w:rPr>
        <w:t>Accelerating regional integration and enhancing the implementation of the Tripartite Free Trade Area arrangement, and Continental Free Trade Area to boost intra-regional trade</w:t>
      </w:r>
      <w:r>
        <w:rPr>
          <w:rFonts w:ascii="Arial" w:hAnsi="Arial" w:cs="Arial"/>
        </w:rPr>
        <w:t>.</w:t>
      </w:r>
    </w:p>
    <w:p w14:paraId="0815829A" w14:textId="1B80C1B5" w:rsidR="00BC083D" w:rsidRPr="00B04DFC" w:rsidRDefault="00BC083D" w:rsidP="00B04DFC">
      <w:pPr>
        <w:pStyle w:val="Heading2"/>
        <w:tabs>
          <w:tab w:val="left" w:pos="720"/>
        </w:tabs>
        <w:rPr>
          <w:rFonts w:ascii="Arial" w:hAnsi="Arial" w:cs="Arial"/>
        </w:rPr>
      </w:pPr>
    </w:p>
    <w:p w14:paraId="3C4002FF" w14:textId="77777777" w:rsidR="0009691A" w:rsidRPr="00B04DFC" w:rsidRDefault="0009691A" w:rsidP="0009691A">
      <w:pPr>
        <w:pStyle w:val="Heading2"/>
        <w:tabs>
          <w:tab w:val="left" w:pos="720"/>
        </w:tabs>
        <w:rPr>
          <w:rFonts w:ascii="Arial" w:eastAsia="Times New Roman" w:hAnsi="Arial" w:cs="Arial"/>
          <w:sz w:val="22"/>
          <w:szCs w:val="22"/>
        </w:rPr>
      </w:pPr>
      <w:bookmarkStart w:id="11" w:name="_Toc23006784"/>
      <w:r w:rsidRPr="00B04DFC">
        <w:rPr>
          <w:rFonts w:ascii="Arial" w:eastAsia="Times New Roman" w:hAnsi="Arial" w:cs="Arial"/>
          <w:sz w:val="22"/>
          <w:szCs w:val="22"/>
        </w:rPr>
        <w:t>A4:</w:t>
      </w:r>
      <w:r w:rsidRPr="00B04DFC">
        <w:rPr>
          <w:rFonts w:ascii="Arial" w:eastAsia="Times New Roman" w:hAnsi="Arial" w:cs="Arial"/>
          <w:sz w:val="22"/>
          <w:szCs w:val="22"/>
        </w:rPr>
        <w:tab/>
        <w:t xml:space="preserve">Overview of the Performance of the </w:t>
      </w:r>
      <w:r w:rsidR="00C563F4" w:rsidRPr="00B04DFC">
        <w:rPr>
          <w:rFonts w:ascii="Arial" w:eastAsia="Times New Roman" w:hAnsi="Arial" w:cs="Arial"/>
          <w:sz w:val="22"/>
          <w:szCs w:val="22"/>
        </w:rPr>
        <w:t>20</w:t>
      </w:r>
      <w:r w:rsidR="00E51962" w:rsidRPr="00B04DFC">
        <w:rPr>
          <w:rFonts w:ascii="Arial" w:eastAsia="Times New Roman" w:hAnsi="Arial" w:cs="Arial"/>
          <w:sz w:val="22"/>
          <w:szCs w:val="22"/>
        </w:rPr>
        <w:t xml:space="preserve">19 </w:t>
      </w:r>
      <w:r w:rsidRPr="00B04DFC">
        <w:rPr>
          <w:rFonts w:ascii="Arial" w:eastAsia="Times New Roman" w:hAnsi="Arial" w:cs="Arial"/>
          <w:sz w:val="22"/>
          <w:szCs w:val="22"/>
        </w:rPr>
        <w:t>Work Programme</w:t>
      </w:r>
      <w:bookmarkEnd w:id="11"/>
    </w:p>
    <w:p w14:paraId="7EBFBB30" w14:textId="17993E44" w:rsidR="0009691A" w:rsidRDefault="0009691A" w:rsidP="0009691A">
      <w:pPr>
        <w:pStyle w:val="ListParagraph"/>
        <w:tabs>
          <w:tab w:val="left" w:pos="720"/>
        </w:tabs>
        <w:ind w:left="0"/>
        <w:jc w:val="both"/>
        <w:rPr>
          <w:rFonts w:ascii="Arial" w:hAnsi="Arial" w:cs="Arial"/>
        </w:rPr>
      </w:pPr>
    </w:p>
    <w:p w14:paraId="2BDA04C1" w14:textId="5B914E40" w:rsidR="0018592C" w:rsidRDefault="0018592C" w:rsidP="00552CA2">
      <w:pPr>
        <w:pStyle w:val="ListParagraph"/>
        <w:numPr>
          <w:ilvl w:val="0"/>
          <w:numId w:val="4"/>
        </w:numPr>
        <w:tabs>
          <w:tab w:val="left" w:pos="720"/>
        </w:tabs>
        <w:ind w:left="0" w:firstLine="0"/>
        <w:jc w:val="both"/>
        <w:rPr>
          <w:rFonts w:ascii="Arial" w:hAnsi="Arial" w:cs="Arial"/>
        </w:rPr>
      </w:pPr>
      <w:r>
        <w:rPr>
          <w:rFonts w:ascii="Arial" w:hAnsi="Arial" w:cs="Arial"/>
        </w:rPr>
        <w:t>Without repeating</w:t>
      </w:r>
      <w:r w:rsidR="00BF64EA">
        <w:rPr>
          <w:rFonts w:ascii="Arial" w:hAnsi="Arial" w:cs="Arial"/>
        </w:rPr>
        <w:t xml:space="preserve"> the detailed performance review, both narrative and financial, the Secretariat can give the following highlights: -</w:t>
      </w:r>
    </w:p>
    <w:p w14:paraId="0387B7B0" w14:textId="2F28BB24" w:rsidR="00BF64EA" w:rsidRPr="00BF64EA" w:rsidRDefault="00BF64EA" w:rsidP="00BF64EA">
      <w:pPr>
        <w:pStyle w:val="ListParagraph"/>
        <w:tabs>
          <w:tab w:val="left" w:pos="720"/>
        </w:tabs>
        <w:ind w:left="0"/>
        <w:jc w:val="both"/>
        <w:rPr>
          <w:rFonts w:ascii="Arial" w:hAnsi="Arial" w:cs="Arial"/>
          <w:b/>
        </w:rPr>
      </w:pPr>
      <w:r>
        <w:rPr>
          <w:rFonts w:ascii="Arial" w:hAnsi="Arial" w:cs="Arial"/>
        </w:rPr>
        <w:tab/>
      </w:r>
    </w:p>
    <w:p w14:paraId="4ED207AE" w14:textId="6E9FDFC5" w:rsidR="00BF64EA" w:rsidRDefault="00BF64EA" w:rsidP="00BF64EA">
      <w:pPr>
        <w:pStyle w:val="Heading3"/>
        <w:rPr>
          <w:sz w:val="22"/>
          <w:szCs w:val="22"/>
        </w:rPr>
      </w:pPr>
      <w:bookmarkStart w:id="12" w:name="_Toc23006785"/>
      <w:r>
        <w:rPr>
          <w:sz w:val="22"/>
          <w:szCs w:val="22"/>
        </w:rPr>
        <w:t xml:space="preserve">Activities </w:t>
      </w:r>
      <w:r w:rsidR="00080696">
        <w:rPr>
          <w:sz w:val="22"/>
          <w:szCs w:val="22"/>
        </w:rPr>
        <w:t>carried out in 2019</w:t>
      </w:r>
      <w:bookmarkEnd w:id="12"/>
    </w:p>
    <w:p w14:paraId="06586E66" w14:textId="5F2338E8" w:rsidR="00463B12" w:rsidRPr="00463B12" w:rsidRDefault="00463B12" w:rsidP="00463B12">
      <w:pPr>
        <w:rPr>
          <w:b/>
        </w:rPr>
      </w:pPr>
      <w:bookmarkStart w:id="13" w:name="_Hlk22973044"/>
      <w:r w:rsidRPr="00463B12">
        <w:rPr>
          <w:b/>
        </w:rPr>
        <w:t>Programme activities at the Secretariat</w:t>
      </w:r>
    </w:p>
    <w:bookmarkEnd w:id="13"/>
    <w:p w14:paraId="2D16F6AF" w14:textId="0419A1D6" w:rsidR="0018592C" w:rsidRDefault="00DE79F5" w:rsidP="00552CA2">
      <w:pPr>
        <w:pStyle w:val="ListParagraph"/>
        <w:numPr>
          <w:ilvl w:val="0"/>
          <w:numId w:val="4"/>
        </w:numPr>
        <w:tabs>
          <w:tab w:val="left" w:pos="720"/>
        </w:tabs>
        <w:ind w:left="0" w:firstLine="0"/>
        <w:jc w:val="both"/>
        <w:rPr>
          <w:rFonts w:ascii="Arial" w:hAnsi="Arial" w:cs="Arial"/>
        </w:rPr>
      </w:pPr>
      <w:r w:rsidRPr="00DE79F5">
        <w:rPr>
          <w:rFonts w:ascii="Arial" w:hAnsi="Arial" w:cs="Arial"/>
        </w:rPr>
        <w:t>Coordination of programme implementation is carried out through Divisions of Trade and Customs; Infrastructure and Logistics</w:t>
      </w:r>
      <w:r>
        <w:rPr>
          <w:rFonts w:ascii="Arial" w:hAnsi="Arial" w:cs="Arial"/>
        </w:rPr>
        <w:t xml:space="preserve">; </w:t>
      </w:r>
      <w:r w:rsidRPr="00DE79F5">
        <w:rPr>
          <w:rFonts w:ascii="Arial" w:hAnsi="Arial" w:cs="Arial"/>
        </w:rPr>
        <w:t>Agriculture and Industry</w:t>
      </w:r>
      <w:r>
        <w:rPr>
          <w:rFonts w:ascii="Arial" w:hAnsi="Arial" w:cs="Arial"/>
        </w:rPr>
        <w:t xml:space="preserve">; </w:t>
      </w:r>
      <w:r w:rsidRPr="00DE79F5">
        <w:rPr>
          <w:rFonts w:ascii="Arial" w:hAnsi="Arial" w:cs="Arial"/>
        </w:rPr>
        <w:t>Gender and Social Affairs</w:t>
      </w:r>
      <w:r>
        <w:rPr>
          <w:rFonts w:ascii="Arial" w:hAnsi="Arial" w:cs="Arial"/>
        </w:rPr>
        <w:t>; and Governance, Peace and Security.  These Divisions, which have human capacity based on established Secretariat organogram: -</w:t>
      </w:r>
    </w:p>
    <w:p w14:paraId="66623A46" w14:textId="61627DB9" w:rsidR="00DE79F5" w:rsidRDefault="00DE79F5" w:rsidP="00DE79F5">
      <w:pPr>
        <w:pStyle w:val="ListParagraph"/>
        <w:tabs>
          <w:tab w:val="left" w:pos="720"/>
        </w:tabs>
        <w:ind w:left="0"/>
        <w:jc w:val="both"/>
        <w:rPr>
          <w:rFonts w:ascii="Arial" w:hAnsi="Arial" w:cs="Arial"/>
        </w:rPr>
      </w:pPr>
    </w:p>
    <w:p w14:paraId="1A7E0A6F" w14:textId="4271A273" w:rsidR="00DE79F5" w:rsidRDefault="00DE79F5" w:rsidP="00552CA2">
      <w:pPr>
        <w:pStyle w:val="ListParagraph"/>
        <w:numPr>
          <w:ilvl w:val="0"/>
          <w:numId w:val="20"/>
        </w:numPr>
        <w:tabs>
          <w:tab w:val="left" w:pos="720"/>
        </w:tabs>
        <w:jc w:val="both"/>
        <w:rPr>
          <w:rFonts w:ascii="Arial" w:hAnsi="Arial" w:cs="Arial"/>
        </w:rPr>
      </w:pPr>
      <w:r>
        <w:rPr>
          <w:rFonts w:ascii="Arial" w:hAnsi="Arial" w:cs="Arial"/>
        </w:rPr>
        <w:t xml:space="preserve">Implements actions, which are allocated Member States budgetary appropriations; </w:t>
      </w:r>
    </w:p>
    <w:p w14:paraId="6D32FBF2" w14:textId="77160C2E" w:rsidR="00DE79F5" w:rsidRPr="00DE79F5" w:rsidRDefault="00DE79F5" w:rsidP="00552CA2">
      <w:pPr>
        <w:pStyle w:val="ListParagraph"/>
        <w:numPr>
          <w:ilvl w:val="0"/>
          <w:numId w:val="20"/>
        </w:numPr>
        <w:tabs>
          <w:tab w:val="left" w:pos="720"/>
        </w:tabs>
        <w:jc w:val="both"/>
        <w:rPr>
          <w:rFonts w:ascii="Arial" w:hAnsi="Arial" w:cs="Arial"/>
        </w:rPr>
      </w:pPr>
      <w:r>
        <w:rPr>
          <w:rFonts w:ascii="Arial" w:hAnsi="Arial" w:cs="Arial"/>
        </w:rPr>
        <w:t>Provides manages over the implementation of grant contracts. As human capacity resourced by Member States is severely limited, additional experts are resourced on grant contracts.</w:t>
      </w:r>
    </w:p>
    <w:p w14:paraId="51071EE1" w14:textId="19387003" w:rsidR="00463B12" w:rsidRDefault="00463B12" w:rsidP="0009691A">
      <w:pPr>
        <w:pStyle w:val="ListParagraph"/>
        <w:tabs>
          <w:tab w:val="left" w:pos="720"/>
        </w:tabs>
        <w:ind w:left="0"/>
        <w:jc w:val="both"/>
        <w:rPr>
          <w:rFonts w:ascii="Arial" w:hAnsi="Arial" w:cs="Arial"/>
        </w:rPr>
      </w:pPr>
    </w:p>
    <w:p w14:paraId="6D16ED1E" w14:textId="3CF982F7" w:rsidR="00463B12" w:rsidRPr="00463B12" w:rsidRDefault="00463B12" w:rsidP="00463B12">
      <w:pPr>
        <w:rPr>
          <w:b/>
        </w:rPr>
      </w:pPr>
      <w:r w:rsidRPr="00463B12">
        <w:rPr>
          <w:b/>
        </w:rPr>
        <w:t xml:space="preserve">Programme support activities </w:t>
      </w:r>
      <w:r w:rsidR="008F4EEB">
        <w:rPr>
          <w:b/>
        </w:rPr>
        <w:t xml:space="preserve">in </w:t>
      </w:r>
      <w:r w:rsidRPr="00463B12">
        <w:rPr>
          <w:b/>
        </w:rPr>
        <w:t xml:space="preserve">Member States </w:t>
      </w:r>
    </w:p>
    <w:p w14:paraId="429A0026" w14:textId="3DC3F425" w:rsidR="008F4EEB" w:rsidRDefault="008F4EEB" w:rsidP="00552CA2">
      <w:pPr>
        <w:pStyle w:val="ListParagraph"/>
        <w:numPr>
          <w:ilvl w:val="0"/>
          <w:numId w:val="4"/>
        </w:numPr>
        <w:tabs>
          <w:tab w:val="left" w:pos="720"/>
        </w:tabs>
        <w:ind w:left="0" w:firstLine="0"/>
        <w:jc w:val="both"/>
        <w:rPr>
          <w:rFonts w:ascii="Arial" w:hAnsi="Arial" w:cs="Arial"/>
        </w:rPr>
      </w:pPr>
      <w:r>
        <w:rPr>
          <w:rFonts w:ascii="Arial" w:hAnsi="Arial" w:cs="Arial"/>
        </w:rPr>
        <w:t xml:space="preserve">In line with its mandate, Secretariat facilitated transfer of funds from Cooperating Partners to Member States and other technical partners, within the context of COMESA programmes. Accompanying this mandate, is support that is availed by the Secretariat. Significant activities, including project management support were carried out by </w:t>
      </w:r>
      <w:r w:rsidRPr="008F4EEB">
        <w:rPr>
          <w:rFonts w:ascii="Arial" w:hAnsi="Arial" w:cs="Arial"/>
        </w:rPr>
        <w:t>COM Aid</w:t>
      </w:r>
      <w:r>
        <w:rPr>
          <w:rFonts w:ascii="Arial" w:hAnsi="Arial" w:cs="Arial"/>
        </w:rPr>
        <w:t xml:space="preserve">; </w:t>
      </w:r>
      <w:r w:rsidRPr="008F4EEB">
        <w:rPr>
          <w:rFonts w:ascii="Arial" w:hAnsi="Arial" w:cs="Arial"/>
        </w:rPr>
        <w:t>Climate Change;</w:t>
      </w:r>
      <w:r>
        <w:rPr>
          <w:rFonts w:ascii="Arial" w:hAnsi="Arial" w:cs="Arial"/>
        </w:rPr>
        <w:t xml:space="preserve"> </w:t>
      </w:r>
      <w:r w:rsidRPr="008F4EEB">
        <w:rPr>
          <w:rFonts w:ascii="Arial" w:hAnsi="Arial" w:cs="Arial"/>
        </w:rPr>
        <w:t>Cross-Border</w:t>
      </w:r>
      <w:r>
        <w:rPr>
          <w:rFonts w:ascii="Arial" w:hAnsi="Arial" w:cs="Arial"/>
        </w:rPr>
        <w:t xml:space="preserve">; </w:t>
      </w:r>
      <w:r w:rsidRPr="008F4EEB">
        <w:rPr>
          <w:rFonts w:ascii="Arial" w:hAnsi="Arial" w:cs="Arial"/>
        </w:rPr>
        <w:t>Trade Facilitation</w:t>
      </w:r>
      <w:r w:rsidR="00DE79F5">
        <w:rPr>
          <w:rFonts w:ascii="Arial" w:hAnsi="Arial" w:cs="Arial"/>
        </w:rPr>
        <w:t>; and Statistics.</w:t>
      </w:r>
    </w:p>
    <w:p w14:paraId="252DE780" w14:textId="4BFBFCB7" w:rsidR="00463B12" w:rsidRDefault="00463B12" w:rsidP="0009691A">
      <w:pPr>
        <w:pStyle w:val="ListParagraph"/>
        <w:tabs>
          <w:tab w:val="left" w:pos="720"/>
        </w:tabs>
        <w:ind w:left="0"/>
        <w:jc w:val="both"/>
        <w:rPr>
          <w:rFonts w:ascii="Arial" w:hAnsi="Arial" w:cs="Arial"/>
        </w:rPr>
      </w:pPr>
    </w:p>
    <w:p w14:paraId="6EC95381" w14:textId="75DEC767" w:rsidR="00463B12" w:rsidRPr="00463B12" w:rsidRDefault="00463B12" w:rsidP="00463B12">
      <w:pPr>
        <w:rPr>
          <w:b/>
        </w:rPr>
      </w:pPr>
      <w:r>
        <w:rPr>
          <w:b/>
        </w:rPr>
        <w:t>Institutional readiness and capacity strengthening</w:t>
      </w:r>
    </w:p>
    <w:p w14:paraId="3C9571CD" w14:textId="02028C6D" w:rsidR="00463B12" w:rsidRDefault="00DE79F5" w:rsidP="00552CA2">
      <w:pPr>
        <w:pStyle w:val="ListParagraph"/>
        <w:numPr>
          <w:ilvl w:val="0"/>
          <w:numId w:val="4"/>
        </w:numPr>
        <w:tabs>
          <w:tab w:val="left" w:pos="720"/>
        </w:tabs>
        <w:ind w:left="0" w:firstLine="0"/>
        <w:jc w:val="both"/>
        <w:rPr>
          <w:rFonts w:ascii="Arial" w:hAnsi="Arial" w:cs="Arial"/>
        </w:rPr>
      </w:pPr>
      <w:r>
        <w:rPr>
          <w:rFonts w:ascii="Arial" w:hAnsi="Arial" w:cs="Arial"/>
        </w:rPr>
        <w:t xml:space="preserve">Support services are available within the Secretariat, across legal and corporate affairs services; strategic planning; resources mobilisation and international cooperation; budget and financial management; human resources and administrative services; </w:t>
      </w:r>
      <w:r w:rsidR="00C936DD">
        <w:rPr>
          <w:rFonts w:ascii="Arial" w:hAnsi="Arial" w:cs="Arial"/>
        </w:rPr>
        <w:t>Information Technology and Network; and Corporate Communications.</w:t>
      </w:r>
    </w:p>
    <w:p w14:paraId="1B8DE589" w14:textId="77777777" w:rsidR="00DE79F5" w:rsidRDefault="00DE79F5" w:rsidP="00DE79F5">
      <w:pPr>
        <w:pStyle w:val="ListParagraph"/>
        <w:tabs>
          <w:tab w:val="left" w:pos="720"/>
        </w:tabs>
        <w:ind w:left="0"/>
        <w:jc w:val="both"/>
        <w:rPr>
          <w:rFonts w:ascii="Arial" w:hAnsi="Arial" w:cs="Arial"/>
        </w:rPr>
      </w:pPr>
    </w:p>
    <w:p w14:paraId="2DAB8A71" w14:textId="0AB24D95" w:rsidR="00DE79F5" w:rsidRPr="000B6E24" w:rsidRDefault="00DE79F5" w:rsidP="00552CA2">
      <w:pPr>
        <w:pStyle w:val="ListParagraph"/>
        <w:numPr>
          <w:ilvl w:val="0"/>
          <w:numId w:val="4"/>
        </w:numPr>
        <w:tabs>
          <w:tab w:val="left" w:pos="720"/>
        </w:tabs>
        <w:ind w:left="0" w:firstLine="0"/>
        <w:jc w:val="both"/>
        <w:rPr>
          <w:rFonts w:ascii="Arial" w:hAnsi="Arial" w:cs="Arial"/>
        </w:rPr>
      </w:pPr>
      <w:r>
        <w:rPr>
          <w:rFonts w:ascii="Arial" w:hAnsi="Arial" w:cs="Arial"/>
        </w:rPr>
        <w:t xml:space="preserve">European Union (EU) and United States Agency for International Development (USAID) have signed grant contracts to avail €7 million and US$350,000, to improve </w:t>
      </w:r>
      <w:r w:rsidR="00C936DD">
        <w:rPr>
          <w:rFonts w:ascii="Arial" w:hAnsi="Arial" w:cs="Arial"/>
        </w:rPr>
        <w:t xml:space="preserve">the </w:t>
      </w:r>
      <w:r>
        <w:rPr>
          <w:rFonts w:ascii="Arial" w:hAnsi="Arial" w:cs="Arial"/>
        </w:rPr>
        <w:t>capacity</w:t>
      </w:r>
      <w:r w:rsidR="00C936DD">
        <w:rPr>
          <w:rFonts w:ascii="Arial" w:hAnsi="Arial" w:cs="Arial"/>
        </w:rPr>
        <w:t xml:space="preserve"> of Secretariat to deliver on its mandate. The support will be applied towards addressing identified gaps in institutional systems and processes. </w:t>
      </w:r>
    </w:p>
    <w:p w14:paraId="25CB657A" w14:textId="77777777" w:rsidR="00463B12" w:rsidRDefault="00463B12" w:rsidP="0009691A">
      <w:pPr>
        <w:pStyle w:val="ListParagraph"/>
        <w:tabs>
          <w:tab w:val="left" w:pos="720"/>
        </w:tabs>
        <w:ind w:left="0"/>
        <w:jc w:val="both"/>
        <w:rPr>
          <w:rFonts w:ascii="Arial" w:hAnsi="Arial" w:cs="Arial"/>
        </w:rPr>
      </w:pPr>
    </w:p>
    <w:p w14:paraId="1549377F" w14:textId="426398BB" w:rsidR="00BF64EA" w:rsidRPr="0009691A" w:rsidRDefault="00BF64EA" w:rsidP="00BF64EA">
      <w:pPr>
        <w:pStyle w:val="Heading3"/>
        <w:rPr>
          <w:sz w:val="22"/>
          <w:szCs w:val="22"/>
        </w:rPr>
      </w:pPr>
      <w:bookmarkStart w:id="14" w:name="_Toc23006786"/>
      <w:r>
        <w:rPr>
          <w:sz w:val="22"/>
          <w:szCs w:val="22"/>
        </w:rPr>
        <w:t>Projected budget outturn for 2019</w:t>
      </w:r>
      <w:bookmarkEnd w:id="14"/>
    </w:p>
    <w:p w14:paraId="25E2B64B" w14:textId="7E2A4085" w:rsidR="00132717" w:rsidRDefault="00132717" w:rsidP="00552CA2">
      <w:pPr>
        <w:pStyle w:val="ListParagraph"/>
        <w:numPr>
          <w:ilvl w:val="0"/>
          <w:numId w:val="4"/>
        </w:numPr>
        <w:tabs>
          <w:tab w:val="left" w:pos="720"/>
        </w:tabs>
        <w:ind w:left="0" w:firstLine="0"/>
        <w:jc w:val="both"/>
        <w:rPr>
          <w:rFonts w:ascii="Arial" w:hAnsi="Arial" w:cs="Arial"/>
        </w:rPr>
      </w:pPr>
      <w:r>
        <w:rPr>
          <w:rFonts w:ascii="Arial" w:hAnsi="Arial" w:cs="Arial"/>
        </w:rPr>
        <w:t>An implementation review carried out</w:t>
      </w:r>
    </w:p>
    <w:p w14:paraId="1B9B69BE" w14:textId="77777777" w:rsidR="00132717" w:rsidRDefault="00132717" w:rsidP="00132717">
      <w:pPr>
        <w:pStyle w:val="ListParagraph"/>
        <w:tabs>
          <w:tab w:val="left" w:pos="720"/>
        </w:tabs>
        <w:ind w:left="0"/>
        <w:jc w:val="both"/>
        <w:rPr>
          <w:rFonts w:ascii="Arial" w:hAnsi="Arial" w:cs="Arial"/>
        </w:rPr>
      </w:pPr>
    </w:p>
    <w:p w14:paraId="08F2A8F1" w14:textId="12A8DEBB" w:rsidR="00132717" w:rsidRPr="00132717" w:rsidRDefault="00C936DD" w:rsidP="00552CA2">
      <w:pPr>
        <w:pStyle w:val="ListParagraph"/>
        <w:numPr>
          <w:ilvl w:val="0"/>
          <w:numId w:val="4"/>
        </w:numPr>
        <w:tabs>
          <w:tab w:val="left" w:pos="720"/>
        </w:tabs>
        <w:ind w:left="0" w:firstLine="0"/>
        <w:jc w:val="both"/>
        <w:rPr>
          <w:rFonts w:ascii="Arial" w:hAnsi="Arial" w:cs="Arial"/>
        </w:rPr>
      </w:pPr>
      <w:r>
        <w:rPr>
          <w:rFonts w:ascii="Arial" w:hAnsi="Arial" w:cs="Arial"/>
        </w:rPr>
        <w:t>European Union (EU) and United States Agency for International Development (USAID) have signed grant contracts to avail €7 million and US$350,000, to improve the capacity of Secretariat to deliver on its mandate. The support will be applied towards addressing identified gaps in institutional systems and processes.</w:t>
      </w:r>
      <w:r w:rsidR="00132717">
        <w:rPr>
          <w:rFonts w:ascii="Arial" w:hAnsi="Arial" w:cs="Arial"/>
        </w:rPr>
        <w:t xml:space="preserve"> </w:t>
      </w:r>
      <w:r w:rsidR="00132717" w:rsidRPr="00132717">
        <w:rPr>
          <w:rFonts w:ascii="Arial" w:hAnsi="Arial" w:cs="Arial"/>
          <w:lang w:val="en-GB"/>
        </w:rPr>
        <w:t xml:space="preserve">Table </w:t>
      </w:r>
      <w:r w:rsidR="00132717">
        <w:rPr>
          <w:rFonts w:ascii="Arial" w:hAnsi="Arial" w:cs="Arial"/>
          <w:lang w:val="en-GB"/>
        </w:rPr>
        <w:t>4</w:t>
      </w:r>
      <w:r w:rsidR="00132717" w:rsidRPr="00132717">
        <w:rPr>
          <w:rFonts w:ascii="Arial" w:hAnsi="Arial" w:cs="Arial"/>
          <w:lang w:val="en-GB"/>
        </w:rPr>
        <w:t xml:space="preserve"> below shows </w:t>
      </w:r>
      <w:r w:rsidR="00132717">
        <w:rPr>
          <w:rFonts w:ascii="Arial" w:hAnsi="Arial" w:cs="Arial"/>
          <w:lang w:val="en-GB"/>
        </w:rPr>
        <w:t>2019 projected budget outturn.</w:t>
      </w:r>
    </w:p>
    <w:p w14:paraId="6047CA57" w14:textId="77777777" w:rsidR="00132717" w:rsidRPr="00721E95" w:rsidRDefault="00132717" w:rsidP="00132717">
      <w:pPr>
        <w:pStyle w:val="ListParagraph"/>
        <w:tabs>
          <w:tab w:val="left" w:pos="720"/>
        </w:tabs>
        <w:ind w:left="0"/>
        <w:jc w:val="both"/>
        <w:rPr>
          <w:rFonts w:ascii="Arial" w:hAnsi="Arial" w:cs="Arial"/>
          <w:lang w:val="en-GB" w:eastAsia="x-none"/>
        </w:rPr>
      </w:pPr>
    </w:p>
    <w:p w14:paraId="65B614CF" w14:textId="35FA2AEC" w:rsidR="00BF64EA" w:rsidRDefault="00132717" w:rsidP="00132717">
      <w:pPr>
        <w:pStyle w:val="NoSpacing"/>
        <w:ind w:left="720"/>
      </w:pPr>
      <w:r w:rsidRPr="0018592C">
        <w:rPr>
          <w:b/>
          <w:lang w:val="en-GB"/>
        </w:rPr>
        <w:t xml:space="preserve">Table </w:t>
      </w:r>
      <w:r>
        <w:rPr>
          <w:b/>
          <w:lang w:val="en-GB"/>
        </w:rPr>
        <w:t>4</w:t>
      </w:r>
      <w:r w:rsidRPr="0018592C">
        <w:rPr>
          <w:b/>
          <w:lang w:val="en-GB"/>
        </w:rPr>
        <w:t xml:space="preserve">: </w:t>
      </w:r>
      <w:r>
        <w:rPr>
          <w:b/>
          <w:lang w:val="en-GB"/>
        </w:rPr>
        <w:t xml:space="preserve">2019 Projected budget outturn </w:t>
      </w:r>
    </w:p>
    <w:p w14:paraId="067A5B53" w14:textId="6A917A48" w:rsidR="00132717" w:rsidRDefault="00132717" w:rsidP="00132717">
      <w:pPr>
        <w:pStyle w:val="ListParagraph"/>
        <w:tabs>
          <w:tab w:val="left" w:pos="720"/>
        </w:tabs>
        <w:jc w:val="both"/>
        <w:rPr>
          <w:rFonts w:ascii="Arial" w:hAnsi="Arial" w:cs="Arial"/>
        </w:rPr>
      </w:pPr>
      <w:r>
        <w:rPr>
          <w:rFonts w:ascii="Arial" w:hAnsi="Arial" w:cs="Arial"/>
        </w:rPr>
        <w:object w:dxaOrig="8506" w:dyaOrig="3136" w14:anchorId="6A0CFD1C">
          <v:shape id="_x0000_i1027" type="#_x0000_t75" style="width:425.1pt;height:156.9pt" o:ole="">
            <v:imagedata r:id="rId19" o:title=""/>
          </v:shape>
          <o:OLEObject Type="Embed" ProgID="Excel.Sheet.12" ShapeID="_x0000_i1027" DrawAspect="Content" ObjectID="_1633623874" r:id="rId20"/>
        </w:object>
      </w:r>
    </w:p>
    <w:p w14:paraId="08C42552" w14:textId="6D4DDA00" w:rsidR="00563950" w:rsidRDefault="00563950" w:rsidP="00F82BA5">
      <w:pPr>
        <w:pStyle w:val="Heading2"/>
        <w:tabs>
          <w:tab w:val="left" w:pos="720"/>
        </w:tabs>
        <w:rPr>
          <w:rFonts w:ascii="Arial" w:eastAsia="Times New Roman" w:hAnsi="Arial" w:cs="Arial"/>
          <w:sz w:val="22"/>
          <w:szCs w:val="22"/>
        </w:rPr>
      </w:pPr>
    </w:p>
    <w:p w14:paraId="67426650" w14:textId="77777777" w:rsidR="00A210DA" w:rsidRDefault="00A210DA" w:rsidP="00132717">
      <w:pPr>
        <w:rPr>
          <w:rFonts w:ascii="Arial" w:hAnsi="Arial" w:cs="Arial"/>
          <w:b/>
          <w:sz w:val="20"/>
          <w:szCs w:val="20"/>
        </w:rPr>
        <w:sectPr w:rsidR="00A210DA" w:rsidSect="00E51962">
          <w:pgSz w:w="11906" w:h="16838"/>
          <w:pgMar w:top="1440" w:right="1440" w:bottom="1440" w:left="450" w:header="708" w:footer="708" w:gutter="0"/>
          <w:cols w:space="708"/>
          <w:docGrid w:linePitch="360"/>
        </w:sectPr>
      </w:pPr>
    </w:p>
    <w:p w14:paraId="5EB1271D" w14:textId="2AC51EFC" w:rsidR="00132717" w:rsidRPr="00445BCC" w:rsidRDefault="00132717" w:rsidP="00132717">
      <w:pPr>
        <w:rPr>
          <w:rFonts w:ascii="Arial" w:hAnsi="Arial" w:cs="Arial"/>
          <w:b/>
          <w:sz w:val="20"/>
          <w:szCs w:val="20"/>
        </w:rPr>
      </w:pPr>
      <w:r w:rsidRPr="00445BCC">
        <w:rPr>
          <w:rFonts w:ascii="Arial" w:hAnsi="Arial" w:cs="Arial"/>
          <w:b/>
          <w:sz w:val="20"/>
          <w:szCs w:val="20"/>
        </w:rPr>
        <w:lastRenderedPageBreak/>
        <w:t>Utilisation of Member States funds</w:t>
      </w:r>
    </w:p>
    <w:p w14:paraId="0913EC75" w14:textId="5924E5B8" w:rsidR="00781888" w:rsidRPr="00781888" w:rsidRDefault="00781888" w:rsidP="00552CA2">
      <w:pPr>
        <w:pStyle w:val="ListParagraph"/>
        <w:numPr>
          <w:ilvl w:val="0"/>
          <w:numId w:val="4"/>
        </w:numPr>
        <w:tabs>
          <w:tab w:val="left" w:pos="720"/>
        </w:tabs>
        <w:ind w:left="0" w:firstLine="0"/>
        <w:jc w:val="both"/>
        <w:rPr>
          <w:rFonts w:ascii="Arial" w:hAnsi="Arial" w:cs="Arial"/>
          <w:sz w:val="20"/>
          <w:szCs w:val="20"/>
        </w:rPr>
      </w:pPr>
      <w:r>
        <w:rPr>
          <w:rFonts w:ascii="Arial" w:hAnsi="Arial" w:cs="Arial"/>
          <w:sz w:val="20"/>
          <w:szCs w:val="20"/>
        </w:rPr>
        <w:t>A</w:t>
      </w:r>
      <w:r w:rsidR="00354E56" w:rsidRPr="00781888">
        <w:rPr>
          <w:rFonts w:ascii="Arial" w:hAnsi="Arial" w:cs="Arial"/>
          <w:sz w:val="20"/>
          <w:szCs w:val="20"/>
        </w:rPr>
        <w:t>ssessment based on experience</w:t>
      </w:r>
      <w:r>
        <w:rPr>
          <w:rFonts w:ascii="Arial" w:hAnsi="Arial" w:cs="Arial"/>
          <w:sz w:val="20"/>
          <w:szCs w:val="20"/>
        </w:rPr>
        <w:t xml:space="preserve">; consumption pattern; and need has resulted in management’s conclusion that the 2019 budgetary appropriations will be fully implemented.  </w:t>
      </w:r>
      <w:r w:rsidRPr="00781888">
        <w:rPr>
          <w:rFonts w:ascii="Arial" w:hAnsi="Arial" w:cs="Arial"/>
          <w:lang w:val="en-GB"/>
        </w:rPr>
        <w:t xml:space="preserve">Table </w:t>
      </w:r>
      <w:r>
        <w:rPr>
          <w:rFonts w:ascii="Arial" w:hAnsi="Arial" w:cs="Arial"/>
          <w:lang w:val="en-GB"/>
        </w:rPr>
        <w:t xml:space="preserve">5 </w:t>
      </w:r>
      <w:r w:rsidRPr="00781888">
        <w:rPr>
          <w:rFonts w:ascii="Arial" w:hAnsi="Arial" w:cs="Arial"/>
          <w:lang w:val="en-GB"/>
        </w:rPr>
        <w:t xml:space="preserve">below shows </w:t>
      </w:r>
      <w:r>
        <w:rPr>
          <w:rFonts w:ascii="Arial" w:hAnsi="Arial" w:cs="Arial"/>
          <w:lang w:val="en-GB"/>
        </w:rPr>
        <w:t>expected utilisation of Member States funds: -</w:t>
      </w:r>
    </w:p>
    <w:p w14:paraId="5C62FD13" w14:textId="77777777" w:rsidR="00781888" w:rsidRPr="00721E95" w:rsidRDefault="00781888" w:rsidP="00781888">
      <w:pPr>
        <w:pStyle w:val="ListParagraph"/>
        <w:tabs>
          <w:tab w:val="left" w:pos="720"/>
        </w:tabs>
        <w:ind w:left="0"/>
        <w:jc w:val="both"/>
        <w:rPr>
          <w:rFonts w:ascii="Arial" w:hAnsi="Arial" w:cs="Arial"/>
          <w:lang w:val="en-GB" w:eastAsia="x-none"/>
        </w:rPr>
      </w:pPr>
    </w:p>
    <w:p w14:paraId="5C93A10F" w14:textId="78765117" w:rsidR="00781888" w:rsidRDefault="00781888" w:rsidP="00781888">
      <w:pPr>
        <w:pStyle w:val="NoSpacing"/>
        <w:ind w:left="720"/>
      </w:pPr>
      <w:r w:rsidRPr="0018592C">
        <w:rPr>
          <w:b/>
          <w:lang w:val="en-GB"/>
        </w:rPr>
        <w:t xml:space="preserve">Table </w:t>
      </w:r>
      <w:r>
        <w:rPr>
          <w:b/>
          <w:lang w:val="en-GB"/>
        </w:rPr>
        <w:t>5</w:t>
      </w:r>
      <w:r w:rsidRPr="0018592C">
        <w:rPr>
          <w:b/>
          <w:lang w:val="en-GB"/>
        </w:rPr>
        <w:t xml:space="preserve">: </w:t>
      </w:r>
      <w:r>
        <w:rPr>
          <w:b/>
          <w:lang w:val="en-GB"/>
        </w:rPr>
        <w:t>2019 Budget utilisation (Member States funding)</w:t>
      </w:r>
    </w:p>
    <w:p w14:paraId="7AD2EE7B" w14:textId="77777777" w:rsidR="00781888" w:rsidRPr="00781888" w:rsidRDefault="00781888" w:rsidP="00781888">
      <w:pPr>
        <w:pStyle w:val="ListParagraph"/>
        <w:tabs>
          <w:tab w:val="left" w:pos="720"/>
        </w:tabs>
        <w:ind w:left="0"/>
        <w:jc w:val="both"/>
        <w:rPr>
          <w:rFonts w:ascii="Arial" w:hAnsi="Arial" w:cs="Arial"/>
          <w:sz w:val="20"/>
          <w:szCs w:val="20"/>
        </w:rPr>
      </w:pPr>
    </w:p>
    <w:tbl>
      <w:tblPr>
        <w:tblW w:w="13347" w:type="dxa"/>
        <w:tblLook w:val="04A0" w:firstRow="1" w:lastRow="0" w:firstColumn="1" w:lastColumn="0" w:noHBand="0" w:noVBand="1"/>
      </w:tblPr>
      <w:tblGrid>
        <w:gridCol w:w="1048"/>
        <w:gridCol w:w="999"/>
        <w:gridCol w:w="1080"/>
        <w:gridCol w:w="1080"/>
        <w:gridCol w:w="900"/>
        <w:gridCol w:w="990"/>
        <w:gridCol w:w="2520"/>
        <w:gridCol w:w="4730"/>
      </w:tblGrid>
      <w:tr w:rsidR="005E0EF5" w:rsidRPr="00EF1E32" w14:paraId="03B22F0C" w14:textId="77777777" w:rsidTr="005E0EF5">
        <w:trPr>
          <w:trHeight w:val="293"/>
          <w:tblHeader/>
        </w:trPr>
        <w:tc>
          <w:tcPr>
            <w:tcW w:w="1048" w:type="dxa"/>
            <w:vMerge w:val="restart"/>
            <w:tcBorders>
              <w:top w:val="double" w:sz="6" w:space="0" w:color="auto"/>
              <w:left w:val="double" w:sz="6" w:space="0" w:color="auto"/>
              <w:bottom w:val="single" w:sz="4" w:space="0" w:color="auto"/>
              <w:right w:val="single" w:sz="4" w:space="0" w:color="auto"/>
            </w:tcBorders>
            <w:shd w:val="clear" w:color="000000" w:fill="F2F2F2"/>
            <w:hideMark/>
          </w:tcPr>
          <w:p w14:paraId="0E790E18" w14:textId="77777777" w:rsidR="005E0EF5" w:rsidRPr="00EF1E32" w:rsidRDefault="005E0EF5" w:rsidP="00EF1E32">
            <w:pPr>
              <w:spacing w:after="0" w:line="240" w:lineRule="auto"/>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Budget line</w:t>
            </w:r>
          </w:p>
        </w:tc>
        <w:tc>
          <w:tcPr>
            <w:tcW w:w="999" w:type="dxa"/>
            <w:tcBorders>
              <w:top w:val="double" w:sz="6" w:space="0" w:color="auto"/>
              <w:left w:val="nil"/>
              <w:bottom w:val="single" w:sz="4" w:space="0" w:color="auto"/>
              <w:right w:val="single" w:sz="4" w:space="0" w:color="auto"/>
            </w:tcBorders>
            <w:shd w:val="clear" w:color="000000" w:fill="F2F2F2"/>
            <w:hideMark/>
          </w:tcPr>
          <w:p w14:paraId="551E6E68" w14:textId="77777777" w:rsidR="005E0EF5" w:rsidRPr="00EF1E32" w:rsidRDefault="005E0EF5"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2017</w:t>
            </w:r>
          </w:p>
        </w:tc>
        <w:tc>
          <w:tcPr>
            <w:tcW w:w="1080" w:type="dxa"/>
            <w:tcBorders>
              <w:top w:val="double" w:sz="6" w:space="0" w:color="auto"/>
              <w:left w:val="nil"/>
              <w:bottom w:val="single" w:sz="4" w:space="0" w:color="auto"/>
              <w:right w:val="single" w:sz="4" w:space="0" w:color="auto"/>
            </w:tcBorders>
            <w:shd w:val="clear" w:color="000000" w:fill="F2F2F2"/>
            <w:hideMark/>
          </w:tcPr>
          <w:p w14:paraId="0B7E74C2" w14:textId="77777777" w:rsidR="005E0EF5" w:rsidRPr="00EF1E32" w:rsidRDefault="005E0EF5"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2018</w:t>
            </w:r>
          </w:p>
        </w:tc>
        <w:tc>
          <w:tcPr>
            <w:tcW w:w="2970" w:type="dxa"/>
            <w:gridSpan w:val="3"/>
            <w:tcBorders>
              <w:top w:val="double" w:sz="6" w:space="0" w:color="auto"/>
              <w:left w:val="nil"/>
              <w:bottom w:val="single" w:sz="4" w:space="0" w:color="auto"/>
              <w:right w:val="single" w:sz="4" w:space="0" w:color="auto"/>
            </w:tcBorders>
            <w:shd w:val="clear" w:color="000000" w:fill="F2F2F2"/>
            <w:hideMark/>
          </w:tcPr>
          <w:p w14:paraId="0D51FC50" w14:textId="77777777" w:rsidR="005E0EF5" w:rsidRPr="00EF1E32" w:rsidRDefault="005E0EF5"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2019</w:t>
            </w:r>
          </w:p>
        </w:tc>
        <w:tc>
          <w:tcPr>
            <w:tcW w:w="2520" w:type="dxa"/>
            <w:vMerge w:val="restart"/>
            <w:tcBorders>
              <w:top w:val="double" w:sz="6" w:space="0" w:color="auto"/>
              <w:left w:val="nil"/>
              <w:right w:val="single" w:sz="4" w:space="0" w:color="auto"/>
            </w:tcBorders>
            <w:shd w:val="clear" w:color="000000" w:fill="F2F2F2"/>
            <w:hideMark/>
          </w:tcPr>
          <w:p w14:paraId="5A098AFE" w14:textId="77777777" w:rsidR="005E0EF5" w:rsidRPr="00EF1E32" w:rsidRDefault="005E0EF5" w:rsidP="00EF1E32">
            <w:pPr>
              <w:spacing w:after="0" w:line="240" w:lineRule="auto"/>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Cost efficiency</w:t>
            </w:r>
          </w:p>
          <w:p w14:paraId="1D4947A1" w14:textId="3B260CDD" w:rsidR="005E0EF5" w:rsidRPr="00EF1E32" w:rsidRDefault="005E0EF5" w:rsidP="00EF1E32">
            <w:pPr>
              <w:spacing w:after="0" w:line="240" w:lineRule="auto"/>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w:t>
            </w:r>
          </w:p>
        </w:tc>
        <w:tc>
          <w:tcPr>
            <w:tcW w:w="4730" w:type="dxa"/>
            <w:vMerge w:val="restart"/>
            <w:tcBorders>
              <w:top w:val="double" w:sz="6" w:space="0" w:color="auto"/>
              <w:left w:val="nil"/>
              <w:right w:val="double" w:sz="6" w:space="0" w:color="auto"/>
            </w:tcBorders>
            <w:shd w:val="clear" w:color="000000" w:fill="F2F2F2"/>
            <w:hideMark/>
          </w:tcPr>
          <w:p w14:paraId="67E9B482" w14:textId="77777777" w:rsidR="005E0EF5" w:rsidRPr="00EF1E32" w:rsidRDefault="005E0EF5" w:rsidP="005E0EF5">
            <w:pPr>
              <w:spacing w:after="0" w:line="240" w:lineRule="auto"/>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Relevance</w:t>
            </w:r>
          </w:p>
          <w:p w14:paraId="1F4DB8AB" w14:textId="0BBEDD7C" w:rsidR="005E0EF5" w:rsidRPr="00EF1E32" w:rsidRDefault="005E0EF5"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w:t>
            </w:r>
          </w:p>
        </w:tc>
      </w:tr>
      <w:tr w:rsidR="005E0EF5" w:rsidRPr="00EF1E32" w14:paraId="5AD7F411" w14:textId="77777777" w:rsidTr="00265122">
        <w:trPr>
          <w:trHeight w:val="285"/>
        </w:trPr>
        <w:tc>
          <w:tcPr>
            <w:tcW w:w="1048" w:type="dxa"/>
            <w:vMerge/>
            <w:tcBorders>
              <w:top w:val="double" w:sz="6" w:space="0" w:color="auto"/>
              <w:left w:val="double" w:sz="6" w:space="0" w:color="auto"/>
              <w:bottom w:val="single" w:sz="4" w:space="0" w:color="auto"/>
              <w:right w:val="single" w:sz="4" w:space="0" w:color="auto"/>
            </w:tcBorders>
            <w:vAlign w:val="center"/>
            <w:hideMark/>
          </w:tcPr>
          <w:p w14:paraId="65C3984E" w14:textId="77777777" w:rsidR="005E0EF5" w:rsidRPr="00EF1E32" w:rsidRDefault="005E0EF5" w:rsidP="00EF1E32">
            <w:pPr>
              <w:spacing w:after="0" w:line="240" w:lineRule="auto"/>
              <w:rPr>
                <w:rFonts w:ascii="Arial Narrow" w:eastAsia="Times New Roman" w:hAnsi="Arial Narrow" w:cs="Times New Roman"/>
                <w:color w:val="000000"/>
                <w:sz w:val="16"/>
                <w:szCs w:val="16"/>
              </w:rPr>
            </w:pPr>
          </w:p>
        </w:tc>
        <w:tc>
          <w:tcPr>
            <w:tcW w:w="999" w:type="dxa"/>
            <w:vMerge w:val="restart"/>
            <w:tcBorders>
              <w:top w:val="nil"/>
              <w:left w:val="single" w:sz="4" w:space="0" w:color="auto"/>
              <w:bottom w:val="single" w:sz="4" w:space="0" w:color="auto"/>
              <w:right w:val="single" w:sz="4" w:space="0" w:color="auto"/>
            </w:tcBorders>
            <w:shd w:val="clear" w:color="000000" w:fill="F2F2F2"/>
            <w:hideMark/>
          </w:tcPr>
          <w:p w14:paraId="1BB6C3FA" w14:textId="77777777" w:rsidR="005E0EF5" w:rsidRPr="00EF1E32" w:rsidRDefault="005E0EF5"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Actual</w:t>
            </w:r>
          </w:p>
        </w:tc>
        <w:tc>
          <w:tcPr>
            <w:tcW w:w="1080" w:type="dxa"/>
            <w:vMerge w:val="restart"/>
            <w:tcBorders>
              <w:top w:val="nil"/>
              <w:left w:val="single" w:sz="4" w:space="0" w:color="auto"/>
              <w:bottom w:val="single" w:sz="4" w:space="0" w:color="auto"/>
              <w:right w:val="single" w:sz="4" w:space="0" w:color="auto"/>
            </w:tcBorders>
            <w:shd w:val="clear" w:color="000000" w:fill="F2F2F2"/>
            <w:hideMark/>
          </w:tcPr>
          <w:p w14:paraId="4D8906EA" w14:textId="77777777" w:rsidR="005E0EF5" w:rsidRPr="00EF1E32" w:rsidRDefault="005E0EF5"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Actual</w:t>
            </w:r>
          </w:p>
        </w:tc>
        <w:tc>
          <w:tcPr>
            <w:tcW w:w="1080" w:type="dxa"/>
            <w:tcBorders>
              <w:top w:val="nil"/>
              <w:left w:val="nil"/>
              <w:bottom w:val="single" w:sz="4" w:space="0" w:color="auto"/>
              <w:right w:val="single" w:sz="4" w:space="0" w:color="auto"/>
            </w:tcBorders>
            <w:shd w:val="clear" w:color="000000" w:fill="F2F2F2"/>
            <w:hideMark/>
          </w:tcPr>
          <w:p w14:paraId="1CDB2896" w14:textId="77777777" w:rsidR="005E0EF5" w:rsidRPr="00EF1E32" w:rsidRDefault="005E0EF5"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Actual</w:t>
            </w:r>
          </w:p>
        </w:tc>
        <w:tc>
          <w:tcPr>
            <w:tcW w:w="900" w:type="dxa"/>
            <w:tcBorders>
              <w:top w:val="nil"/>
              <w:left w:val="nil"/>
              <w:bottom w:val="single" w:sz="4" w:space="0" w:color="auto"/>
              <w:right w:val="single" w:sz="4" w:space="0" w:color="auto"/>
            </w:tcBorders>
            <w:shd w:val="clear" w:color="000000" w:fill="F2F2F2"/>
            <w:hideMark/>
          </w:tcPr>
          <w:p w14:paraId="1EB0B359" w14:textId="77777777" w:rsidR="005E0EF5" w:rsidRPr="00EF1E32" w:rsidRDefault="005E0EF5"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Forecast</w:t>
            </w:r>
          </w:p>
        </w:tc>
        <w:tc>
          <w:tcPr>
            <w:tcW w:w="990" w:type="dxa"/>
            <w:vMerge w:val="restart"/>
            <w:tcBorders>
              <w:top w:val="nil"/>
              <w:left w:val="single" w:sz="4" w:space="0" w:color="auto"/>
              <w:bottom w:val="single" w:sz="4" w:space="0" w:color="auto"/>
              <w:right w:val="single" w:sz="4" w:space="0" w:color="auto"/>
            </w:tcBorders>
            <w:shd w:val="clear" w:color="000000" w:fill="F2F2F2"/>
            <w:hideMark/>
          </w:tcPr>
          <w:p w14:paraId="7BDD214A" w14:textId="77777777" w:rsidR="005E0EF5" w:rsidRPr="00EF1E32" w:rsidRDefault="005E0EF5"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Total</w:t>
            </w:r>
          </w:p>
        </w:tc>
        <w:tc>
          <w:tcPr>
            <w:tcW w:w="2520" w:type="dxa"/>
            <w:vMerge/>
            <w:tcBorders>
              <w:left w:val="single" w:sz="4" w:space="0" w:color="auto"/>
              <w:right w:val="single" w:sz="4" w:space="0" w:color="auto"/>
            </w:tcBorders>
            <w:shd w:val="clear" w:color="000000" w:fill="F2F2F2"/>
            <w:hideMark/>
          </w:tcPr>
          <w:p w14:paraId="6D530A6B" w14:textId="1D8A346A" w:rsidR="005E0EF5" w:rsidRPr="00EF1E32" w:rsidRDefault="005E0EF5" w:rsidP="00EF1E32">
            <w:pPr>
              <w:spacing w:after="0" w:line="240" w:lineRule="auto"/>
              <w:rPr>
                <w:rFonts w:ascii="Arial Narrow" w:eastAsia="Times New Roman" w:hAnsi="Arial Narrow" w:cs="Times New Roman"/>
                <w:color w:val="000000"/>
                <w:sz w:val="16"/>
                <w:szCs w:val="16"/>
              </w:rPr>
            </w:pPr>
          </w:p>
        </w:tc>
        <w:tc>
          <w:tcPr>
            <w:tcW w:w="4730" w:type="dxa"/>
            <w:vMerge/>
            <w:tcBorders>
              <w:left w:val="single" w:sz="4" w:space="0" w:color="auto"/>
              <w:right w:val="double" w:sz="6" w:space="0" w:color="auto"/>
            </w:tcBorders>
            <w:shd w:val="clear" w:color="000000" w:fill="F2F2F2"/>
            <w:hideMark/>
          </w:tcPr>
          <w:p w14:paraId="25C39280" w14:textId="13E8E018" w:rsidR="005E0EF5" w:rsidRPr="00EF1E32" w:rsidRDefault="005E0EF5" w:rsidP="00EF1E32">
            <w:pPr>
              <w:spacing w:after="0" w:line="240" w:lineRule="auto"/>
              <w:jc w:val="right"/>
              <w:rPr>
                <w:rFonts w:ascii="Arial Narrow" w:eastAsia="Times New Roman" w:hAnsi="Arial Narrow" w:cs="Times New Roman"/>
                <w:color w:val="000000"/>
                <w:sz w:val="16"/>
                <w:szCs w:val="16"/>
              </w:rPr>
            </w:pPr>
          </w:p>
        </w:tc>
      </w:tr>
      <w:tr w:rsidR="005E0EF5" w:rsidRPr="00EF1E32" w14:paraId="15E7AAFC" w14:textId="77777777" w:rsidTr="00265122">
        <w:trPr>
          <w:trHeight w:val="285"/>
        </w:trPr>
        <w:tc>
          <w:tcPr>
            <w:tcW w:w="1048" w:type="dxa"/>
            <w:vMerge/>
            <w:tcBorders>
              <w:top w:val="double" w:sz="6" w:space="0" w:color="auto"/>
              <w:left w:val="double" w:sz="6" w:space="0" w:color="auto"/>
              <w:bottom w:val="single" w:sz="4" w:space="0" w:color="auto"/>
              <w:right w:val="single" w:sz="4" w:space="0" w:color="auto"/>
            </w:tcBorders>
            <w:vAlign w:val="center"/>
            <w:hideMark/>
          </w:tcPr>
          <w:p w14:paraId="29BB1987" w14:textId="77777777" w:rsidR="005E0EF5" w:rsidRPr="00EF1E32" w:rsidRDefault="005E0EF5" w:rsidP="00EF1E32">
            <w:pPr>
              <w:spacing w:after="0" w:line="240" w:lineRule="auto"/>
              <w:rPr>
                <w:rFonts w:ascii="Arial Narrow" w:eastAsia="Times New Roman" w:hAnsi="Arial Narrow" w:cs="Times New Roman"/>
                <w:color w:val="000000"/>
                <w:sz w:val="16"/>
                <w:szCs w:val="16"/>
              </w:rPr>
            </w:pPr>
          </w:p>
        </w:tc>
        <w:tc>
          <w:tcPr>
            <w:tcW w:w="999" w:type="dxa"/>
            <w:vMerge/>
            <w:tcBorders>
              <w:top w:val="nil"/>
              <w:left w:val="single" w:sz="4" w:space="0" w:color="auto"/>
              <w:bottom w:val="single" w:sz="4" w:space="0" w:color="auto"/>
              <w:right w:val="single" w:sz="4" w:space="0" w:color="auto"/>
            </w:tcBorders>
            <w:vAlign w:val="center"/>
            <w:hideMark/>
          </w:tcPr>
          <w:p w14:paraId="09CF125C" w14:textId="77777777" w:rsidR="005E0EF5" w:rsidRPr="00EF1E32" w:rsidRDefault="005E0EF5" w:rsidP="00EF1E32">
            <w:pPr>
              <w:spacing w:after="0" w:line="240" w:lineRule="auto"/>
              <w:rPr>
                <w:rFonts w:ascii="Arial Narrow" w:eastAsia="Times New Roman" w:hAnsi="Arial Narrow" w:cs="Times New Roman"/>
                <w:color w:val="000000"/>
                <w:sz w:val="16"/>
                <w:szCs w:val="16"/>
              </w:rPr>
            </w:pPr>
          </w:p>
        </w:tc>
        <w:tc>
          <w:tcPr>
            <w:tcW w:w="1080" w:type="dxa"/>
            <w:vMerge/>
            <w:tcBorders>
              <w:top w:val="nil"/>
              <w:left w:val="single" w:sz="4" w:space="0" w:color="auto"/>
              <w:bottom w:val="single" w:sz="4" w:space="0" w:color="auto"/>
              <w:right w:val="single" w:sz="4" w:space="0" w:color="auto"/>
            </w:tcBorders>
            <w:vAlign w:val="center"/>
            <w:hideMark/>
          </w:tcPr>
          <w:p w14:paraId="67FFFD61" w14:textId="77777777" w:rsidR="005E0EF5" w:rsidRPr="00EF1E32" w:rsidRDefault="005E0EF5" w:rsidP="00EF1E32">
            <w:pPr>
              <w:spacing w:after="0" w:line="240" w:lineRule="auto"/>
              <w:rPr>
                <w:rFonts w:ascii="Arial Narrow" w:eastAsia="Times New Roman" w:hAnsi="Arial Narrow" w:cs="Times New Roman"/>
                <w:color w:val="000000"/>
                <w:sz w:val="16"/>
                <w:szCs w:val="16"/>
              </w:rPr>
            </w:pPr>
          </w:p>
        </w:tc>
        <w:tc>
          <w:tcPr>
            <w:tcW w:w="1080" w:type="dxa"/>
            <w:tcBorders>
              <w:top w:val="nil"/>
              <w:left w:val="nil"/>
              <w:bottom w:val="single" w:sz="4" w:space="0" w:color="auto"/>
              <w:right w:val="single" w:sz="4" w:space="0" w:color="auto"/>
            </w:tcBorders>
            <w:shd w:val="clear" w:color="000000" w:fill="F2F2F2"/>
            <w:hideMark/>
          </w:tcPr>
          <w:p w14:paraId="62A867A6" w14:textId="77777777" w:rsidR="005E0EF5" w:rsidRPr="00EF1E32" w:rsidRDefault="005E0EF5"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Jan -Jun</w:t>
            </w:r>
          </w:p>
        </w:tc>
        <w:tc>
          <w:tcPr>
            <w:tcW w:w="900" w:type="dxa"/>
            <w:tcBorders>
              <w:top w:val="nil"/>
              <w:left w:val="nil"/>
              <w:bottom w:val="single" w:sz="4" w:space="0" w:color="auto"/>
              <w:right w:val="single" w:sz="4" w:space="0" w:color="auto"/>
            </w:tcBorders>
            <w:shd w:val="clear" w:color="000000" w:fill="F2F2F2"/>
            <w:hideMark/>
          </w:tcPr>
          <w:p w14:paraId="719D3D58" w14:textId="77777777" w:rsidR="005E0EF5" w:rsidRPr="00EF1E32" w:rsidRDefault="005E0EF5"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Jul-Dec</w:t>
            </w:r>
          </w:p>
        </w:tc>
        <w:tc>
          <w:tcPr>
            <w:tcW w:w="990" w:type="dxa"/>
            <w:vMerge/>
            <w:tcBorders>
              <w:top w:val="nil"/>
              <w:left w:val="single" w:sz="4" w:space="0" w:color="auto"/>
              <w:bottom w:val="single" w:sz="4" w:space="0" w:color="auto"/>
              <w:right w:val="single" w:sz="4" w:space="0" w:color="auto"/>
            </w:tcBorders>
            <w:vAlign w:val="center"/>
            <w:hideMark/>
          </w:tcPr>
          <w:p w14:paraId="38474457" w14:textId="77777777" w:rsidR="005E0EF5" w:rsidRPr="00EF1E32" w:rsidRDefault="005E0EF5" w:rsidP="00EF1E32">
            <w:pPr>
              <w:spacing w:after="0" w:line="240" w:lineRule="auto"/>
              <w:rPr>
                <w:rFonts w:ascii="Arial Narrow" w:eastAsia="Times New Roman" w:hAnsi="Arial Narrow" w:cs="Times New Roman"/>
                <w:color w:val="000000"/>
                <w:sz w:val="16"/>
                <w:szCs w:val="16"/>
              </w:rPr>
            </w:pPr>
          </w:p>
        </w:tc>
        <w:tc>
          <w:tcPr>
            <w:tcW w:w="2520" w:type="dxa"/>
            <w:vMerge/>
            <w:tcBorders>
              <w:left w:val="single" w:sz="4" w:space="0" w:color="auto"/>
              <w:bottom w:val="single" w:sz="4" w:space="0" w:color="auto"/>
              <w:right w:val="single" w:sz="4" w:space="0" w:color="auto"/>
            </w:tcBorders>
            <w:vAlign w:val="center"/>
            <w:hideMark/>
          </w:tcPr>
          <w:p w14:paraId="2115A2B0" w14:textId="77777777" w:rsidR="005E0EF5" w:rsidRPr="00EF1E32" w:rsidRDefault="005E0EF5" w:rsidP="00EF1E32">
            <w:pPr>
              <w:spacing w:after="0" w:line="240" w:lineRule="auto"/>
              <w:rPr>
                <w:rFonts w:ascii="Arial Narrow" w:eastAsia="Times New Roman" w:hAnsi="Arial Narrow" w:cs="Times New Roman"/>
                <w:color w:val="000000"/>
                <w:sz w:val="16"/>
                <w:szCs w:val="16"/>
              </w:rPr>
            </w:pPr>
          </w:p>
        </w:tc>
        <w:tc>
          <w:tcPr>
            <w:tcW w:w="4730" w:type="dxa"/>
            <w:vMerge/>
            <w:tcBorders>
              <w:left w:val="single" w:sz="4" w:space="0" w:color="auto"/>
              <w:bottom w:val="single" w:sz="4" w:space="0" w:color="auto"/>
              <w:right w:val="double" w:sz="6" w:space="0" w:color="auto"/>
            </w:tcBorders>
            <w:vAlign w:val="center"/>
            <w:hideMark/>
          </w:tcPr>
          <w:p w14:paraId="560EEEB0" w14:textId="77777777" w:rsidR="005E0EF5" w:rsidRPr="00EF1E32" w:rsidRDefault="005E0EF5" w:rsidP="00EF1E32">
            <w:pPr>
              <w:spacing w:after="0" w:line="240" w:lineRule="auto"/>
              <w:rPr>
                <w:rFonts w:ascii="Arial Narrow" w:eastAsia="Times New Roman" w:hAnsi="Arial Narrow" w:cs="Times New Roman"/>
                <w:color w:val="000000"/>
                <w:sz w:val="16"/>
                <w:szCs w:val="16"/>
              </w:rPr>
            </w:pPr>
          </w:p>
        </w:tc>
      </w:tr>
      <w:tr w:rsidR="00EF1E32" w:rsidRPr="00EF1E32" w14:paraId="268BF293" w14:textId="77777777" w:rsidTr="005E0EF5">
        <w:trPr>
          <w:trHeight w:val="405"/>
        </w:trPr>
        <w:tc>
          <w:tcPr>
            <w:tcW w:w="1048" w:type="dxa"/>
            <w:tcBorders>
              <w:top w:val="nil"/>
              <w:left w:val="double" w:sz="6" w:space="0" w:color="auto"/>
              <w:bottom w:val="single" w:sz="4" w:space="0" w:color="auto"/>
              <w:right w:val="single" w:sz="4" w:space="0" w:color="auto"/>
            </w:tcBorders>
            <w:shd w:val="clear" w:color="auto" w:fill="auto"/>
            <w:hideMark/>
          </w:tcPr>
          <w:p w14:paraId="73973F3D"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Staff Emoluments</w:t>
            </w:r>
          </w:p>
        </w:tc>
        <w:tc>
          <w:tcPr>
            <w:tcW w:w="999" w:type="dxa"/>
            <w:tcBorders>
              <w:top w:val="nil"/>
              <w:left w:val="nil"/>
              <w:bottom w:val="single" w:sz="4" w:space="0" w:color="auto"/>
              <w:right w:val="single" w:sz="4" w:space="0" w:color="auto"/>
            </w:tcBorders>
            <w:shd w:val="clear" w:color="auto" w:fill="auto"/>
            <w:hideMark/>
          </w:tcPr>
          <w:p w14:paraId="0C62021F"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7,577,245 </w:t>
            </w:r>
          </w:p>
        </w:tc>
        <w:tc>
          <w:tcPr>
            <w:tcW w:w="1080" w:type="dxa"/>
            <w:tcBorders>
              <w:top w:val="nil"/>
              <w:left w:val="nil"/>
              <w:bottom w:val="single" w:sz="4" w:space="0" w:color="auto"/>
              <w:right w:val="single" w:sz="4" w:space="0" w:color="auto"/>
            </w:tcBorders>
            <w:shd w:val="clear" w:color="auto" w:fill="auto"/>
            <w:hideMark/>
          </w:tcPr>
          <w:p w14:paraId="26F81596"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7,788,643 </w:t>
            </w:r>
          </w:p>
        </w:tc>
        <w:tc>
          <w:tcPr>
            <w:tcW w:w="1080" w:type="dxa"/>
            <w:tcBorders>
              <w:top w:val="nil"/>
              <w:left w:val="nil"/>
              <w:bottom w:val="single" w:sz="4" w:space="0" w:color="auto"/>
              <w:right w:val="single" w:sz="4" w:space="0" w:color="auto"/>
            </w:tcBorders>
            <w:shd w:val="clear" w:color="auto" w:fill="auto"/>
            <w:hideMark/>
          </w:tcPr>
          <w:p w14:paraId="1660E96C"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3,886,186 </w:t>
            </w:r>
          </w:p>
        </w:tc>
        <w:tc>
          <w:tcPr>
            <w:tcW w:w="900" w:type="dxa"/>
            <w:tcBorders>
              <w:top w:val="nil"/>
              <w:left w:val="nil"/>
              <w:bottom w:val="single" w:sz="4" w:space="0" w:color="auto"/>
              <w:right w:val="single" w:sz="4" w:space="0" w:color="auto"/>
            </w:tcBorders>
            <w:shd w:val="clear" w:color="auto" w:fill="auto"/>
            <w:hideMark/>
          </w:tcPr>
          <w:p w14:paraId="1EE7841E"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5,513,491 </w:t>
            </w:r>
          </w:p>
        </w:tc>
        <w:tc>
          <w:tcPr>
            <w:tcW w:w="990" w:type="dxa"/>
            <w:tcBorders>
              <w:top w:val="nil"/>
              <w:left w:val="nil"/>
              <w:bottom w:val="single" w:sz="4" w:space="0" w:color="auto"/>
              <w:right w:val="single" w:sz="4" w:space="0" w:color="auto"/>
            </w:tcBorders>
            <w:shd w:val="clear" w:color="auto" w:fill="auto"/>
            <w:hideMark/>
          </w:tcPr>
          <w:p w14:paraId="32C428FF"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9,399,677 </w:t>
            </w:r>
          </w:p>
        </w:tc>
        <w:tc>
          <w:tcPr>
            <w:tcW w:w="2520" w:type="dxa"/>
            <w:tcBorders>
              <w:top w:val="nil"/>
              <w:left w:val="nil"/>
              <w:bottom w:val="single" w:sz="4" w:space="0" w:color="auto"/>
              <w:right w:val="single" w:sz="4" w:space="0" w:color="auto"/>
            </w:tcBorders>
            <w:shd w:val="clear" w:color="auto" w:fill="auto"/>
            <w:hideMark/>
          </w:tcPr>
          <w:p w14:paraId="2A659E06"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Terms and conditions </w:t>
            </w:r>
          </w:p>
        </w:tc>
        <w:tc>
          <w:tcPr>
            <w:tcW w:w="4730" w:type="dxa"/>
            <w:vMerge w:val="restart"/>
            <w:tcBorders>
              <w:top w:val="nil"/>
              <w:left w:val="single" w:sz="4" w:space="0" w:color="auto"/>
              <w:bottom w:val="single" w:sz="4" w:space="0" w:color="auto"/>
              <w:right w:val="double" w:sz="6" w:space="0" w:color="auto"/>
            </w:tcBorders>
            <w:shd w:val="clear" w:color="auto" w:fill="auto"/>
            <w:hideMark/>
          </w:tcPr>
          <w:p w14:paraId="6E09A504" w14:textId="0EBF8269" w:rsidR="00EF1E32" w:rsidRDefault="00EF1E32" w:rsidP="00EF1E32">
            <w:pPr>
              <w:spacing w:after="0" w:line="240" w:lineRule="auto"/>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1: This is the fixed cost, necessary to establish:</w:t>
            </w:r>
          </w:p>
          <w:p w14:paraId="63FA9C0E" w14:textId="5DA263AD" w:rsidR="00EF1E32" w:rsidRDefault="00EF1E32" w:rsidP="00552CA2">
            <w:pPr>
              <w:pStyle w:val="ListParagraph"/>
              <w:numPr>
                <w:ilvl w:val="0"/>
                <w:numId w:val="21"/>
              </w:numPr>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Programme implementation capacity</w:t>
            </w:r>
          </w:p>
          <w:p w14:paraId="39D6C854" w14:textId="15AB8884" w:rsidR="00EF1E32" w:rsidRPr="00EF1E32" w:rsidRDefault="00EF1E32" w:rsidP="00552CA2">
            <w:pPr>
              <w:pStyle w:val="ListParagraph"/>
              <w:numPr>
                <w:ilvl w:val="0"/>
                <w:numId w:val="21"/>
              </w:numPr>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Institutional controls across all support services.</w:t>
            </w:r>
          </w:p>
          <w:p w14:paraId="41283848" w14:textId="1B628145" w:rsidR="00EF1E32" w:rsidRDefault="00EF1E32" w:rsidP="00EF1E32">
            <w:pPr>
              <w:spacing w:after="0" w:line="240" w:lineRule="auto"/>
              <w:rPr>
                <w:rFonts w:ascii="Arial Narrow" w:eastAsia="Times New Roman" w:hAnsi="Arial Narrow" w:cs="Times New Roman"/>
                <w:b/>
                <w:color w:val="000000"/>
                <w:sz w:val="16"/>
                <w:szCs w:val="16"/>
              </w:rPr>
            </w:pPr>
            <w:r>
              <w:rPr>
                <w:rFonts w:ascii="Arial Narrow" w:eastAsia="Times New Roman" w:hAnsi="Arial Narrow" w:cs="Times New Roman"/>
                <w:color w:val="000000"/>
                <w:sz w:val="16"/>
                <w:szCs w:val="16"/>
              </w:rPr>
              <w:t>2</w:t>
            </w:r>
            <w:r w:rsidRPr="00EF1E32">
              <w:rPr>
                <w:rFonts w:ascii="Arial Narrow" w:eastAsia="Times New Roman" w:hAnsi="Arial Narrow" w:cs="Times New Roman"/>
                <w:color w:val="000000"/>
                <w:sz w:val="16"/>
                <w:szCs w:val="16"/>
              </w:rPr>
              <w:t>: This is the monetary cost</w:t>
            </w:r>
            <w:r>
              <w:rPr>
                <w:rFonts w:ascii="Arial Narrow" w:eastAsia="Times New Roman" w:hAnsi="Arial Narrow" w:cs="Times New Roman"/>
                <w:color w:val="000000"/>
                <w:sz w:val="16"/>
                <w:szCs w:val="16"/>
              </w:rPr>
              <w:t xml:space="preserve"> </w:t>
            </w:r>
            <w:r w:rsidRPr="00EF1E32">
              <w:rPr>
                <w:rFonts w:ascii="Arial Narrow" w:eastAsia="Times New Roman" w:hAnsi="Arial Narrow" w:cs="Times New Roman"/>
                <w:b/>
                <w:color w:val="000000"/>
                <w:sz w:val="16"/>
                <w:szCs w:val="16"/>
              </w:rPr>
              <w:t>(cost on Member States)</w:t>
            </w:r>
            <w:r w:rsidRPr="00EF1E32">
              <w:rPr>
                <w:rFonts w:ascii="Arial Narrow" w:eastAsia="Times New Roman" w:hAnsi="Arial Narrow" w:cs="Times New Roman"/>
                <w:color w:val="000000"/>
                <w:sz w:val="16"/>
                <w:szCs w:val="16"/>
              </w:rPr>
              <w:t xml:space="preserve">, required to receive </w:t>
            </w:r>
            <w:r>
              <w:rPr>
                <w:rFonts w:ascii="Arial Narrow" w:eastAsia="Times New Roman" w:hAnsi="Arial Narrow" w:cs="Times New Roman"/>
                <w:color w:val="000000"/>
                <w:sz w:val="16"/>
                <w:szCs w:val="16"/>
              </w:rPr>
              <w:t xml:space="preserve">US$52.9 million </w:t>
            </w:r>
            <w:r w:rsidRPr="00EF1E32">
              <w:rPr>
                <w:rFonts w:ascii="Arial Narrow" w:eastAsia="Times New Roman" w:hAnsi="Arial Narrow" w:cs="Times New Roman"/>
                <w:b/>
                <w:color w:val="000000"/>
                <w:sz w:val="16"/>
                <w:szCs w:val="16"/>
              </w:rPr>
              <w:t>(benefits to Member States)</w:t>
            </w:r>
            <w:r>
              <w:rPr>
                <w:rFonts w:ascii="Arial Narrow" w:eastAsia="Times New Roman" w:hAnsi="Arial Narrow" w:cs="Times New Roman"/>
                <w:b/>
                <w:color w:val="000000"/>
                <w:sz w:val="16"/>
                <w:szCs w:val="16"/>
              </w:rPr>
              <w:t>.</w:t>
            </w:r>
          </w:p>
          <w:p w14:paraId="61B17A5F" w14:textId="592E5309" w:rsidR="00EF1E32" w:rsidRDefault="00EF1E32" w:rsidP="00EF1E32">
            <w:pPr>
              <w:spacing w:after="0" w:line="240" w:lineRule="auto"/>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 xml:space="preserve">3:  Without this investment, grant funding will be reduced. </w:t>
            </w:r>
          </w:p>
          <w:p w14:paraId="696C8BAC" w14:textId="77777777" w:rsidR="00EF1E32" w:rsidRDefault="00EF1E32" w:rsidP="00EF1E32">
            <w:pPr>
              <w:spacing w:after="0" w:line="240" w:lineRule="auto"/>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4: Staff vacancies arising in the first half of 2019 will be filled up before December 2019.</w:t>
            </w:r>
          </w:p>
          <w:p w14:paraId="5334F3C1" w14:textId="77777777" w:rsidR="00EF1E32" w:rsidRDefault="00EF1E32" w:rsidP="00EF1E32">
            <w:pPr>
              <w:spacing w:after="0" w:line="240" w:lineRule="auto"/>
              <w:rPr>
                <w:rFonts w:ascii="Arial Narrow" w:eastAsia="Times New Roman" w:hAnsi="Arial Narrow" w:cs="Times New Roman"/>
                <w:color w:val="000000"/>
                <w:sz w:val="16"/>
                <w:szCs w:val="16"/>
              </w:rPr>
            </w:pPr>
          </w:p>
          <w:p w14:paraId="1052344F" w14:textId="77777777" w:rsidR="005E0EF5" w:rsidRPr="005E0EF5" w:rsidRDefault="00EF1E32" w:rsidP="00EF1E32">
            <w:pPr>
              <w:spacing w:after="0" w:line="240" w:lineRule="auto"/>
              <w:rPr>
                <w:rFonts w:ascii="Arial Narrow" w:eastAsia="Times New Roman" w:hAnsi="Arial Narrow" w:cs="Times New Roman"/>
                <w:b/>
                <w:color w:val="000000"/>
                <w:sz w:val="16"/>
                <w:szCs w:val="16"/>
              </w:rPr>
            </w:pPr>
            <w:r w:rsidRPr="005E0EF5">
              <w:rPr>
                <w:rFonts w:ascii="Arial Narrow" w:eastAsia="Times New Roman" w:hAnsi="Arial Narrow" w:cs="Times New Roman"/>
                <w:b/>
                <w:color w:val="000000"/>
                <w:sz w:val="16"/>
                <w:szCs w:val="16"/>
              </w:rPr>
              <w:t xml:space="preserve">Conclusion and prospects: </w:t>
            </w:r>
          </w:p>
          <w:p w14:paraId="746E711E" w14:textId="77777777" w:rsidR="00EF1E32" w:rsidRDefault="005E0EF5" w:rsidP="00EF1E32">
            <w:pPr>
              <w:spacing w:after="0" w:line="240" w:lineRule="auto"/>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 xml:space="preserve">1: </w:t>
            </w:r>
            <w:r w:rsidR="00EF1E32">
              <w:rPr>
                <w:rFonts w:ascii="Arial Narrow" w:eastAsia="Times New Roman" w:hAnsi="Arial Narrow" w:cs="Times New Roman"/>
                <w:color w:val="000000"/>
                <w:sz w:val="16"/>
                <w:szCs w:val="16"/>
              </w:rPr>
              <w:t>Allocation expected to be fully utilized in the year.</w:t>
            </w:r>
          </w:p>
          <w:p w14:paraId="176C086D" w14:textId="58B88480" w:rsidR="005E0EF5" w:rsidRPr="00EF1E32" w:rsidRDefault="005E0EF5" w:rsidP="00EF1E32">
            <w:pPr>
              <w:spacing w:after="0" w:line="240" w:lineRule="auto"/>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2: Each post is budgeted and funded</w:t>
            </w:r>
          </w:p>
        </w:tc>
      </w:tr>
      <w:tr w:rsidR="00EF1E32" w:rsidRPr="00EF1E32" w14:paraId="49D34C76" w14:textId="77777777" w:rsidTr="005E0EF5">
        <w:trPr>
          <w:trHeight w:val="405"/>
        </w:trPr>
        <w:tc>
          <w:tcPr>
            <w:tcW w:w="1048" w:type="dxa"/>
            <w:tcBorders>
              <w:top w:val="nil"/>
              <w:left w:val="double" w:sz="6" w:space="0" w:color="auto"/>
              <w:bottom w:val="single" w:sz="4" w:space="0" w:color="auto"/>
              <w:right w:val="single" w:sz="4" w:space="0" w:color="auto"/>
            </w:tcBorders>
            <w:shd w:val="clear" w:color="auto" w:fill="auto"/>
            <w:hideMark/>
          </w:tcPr>
          <w:p w14:paraId="61E5B4FC"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Staff Welfare &amp; Insurance</w:t>
            </w:r>
          </w:p>
        </w:tc>
        <w:tc>
          <w:tcPr>
            <w:tcW w:w="999" w:type="dxa"/>
            <w:tcBorders>
              <w:top w:val="nil"/>
              <w:left w:val="nil"/>
              <w:bottom w:val="single" w:sz="4" w:space="0" w:color="auto"/>
              <w:right w:val="single" w:sz="4" w:space="0" w:color="auto"/>
            </w:tcBorders>
            <w:shd w:val="clear" w:color="auto" w:fill="auto"/>
            <w:hideMark/>
          </w:tcPr>
          <w:p w14:paraId="445D219B"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86,357 </w:t>
            </w:r>
          </w:p>
        </w:tc>
        <w:tc>
          <w:tcPr>
            <w:tcW w:w="1080" w:type="dxa"/>
            <w:tcBorders>
              <w:top w:val="nil"/>
              <w:left w:val="nil"/>
              <w:bottom w:val="single" w:sz="4" w:space="0" w:color="auto"/>
              <w:right w:val="single" w:sz="4" w:space="0" w:color="auto"/>
            </w:tcBorders>
            <w:shd w:val="clear" w:color="auto" w:fill="auto"/>
            <w:hideMark/>
          </w:tcPr>
          <w:p w14:paraId="43DF0D07"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121,433 </w:t>
            </w:r>
          </w:p>
        </w:tc>
        <w:tc>
          <w:tcPr>
            <w:tcW w:w="1080" w:type="dxa"/>
            <w:tcBorders>
              <w:top w:val="nil"/>
              <w:left w:val="nil"/>
              <w:bottom w:val="single" w:sz="4" w:space="0" w:color="auto"/>
              <w:right w:val="single" w:sz="4" w:space="0" w:color="auto"/>
            </w:tcBorders>
            <w:shd w:val="clear" w:color="auto" w:fill="auto"/>
            <w:hideMark/>
          </w:tcPr>
          <w:p w14:paraId="5F039796"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21,479 </w:t>
            </w:r>
          </w:p>
        </w:tc>
        <w:tc>
          <w:tcPr>
            <w:tcW w:w="900" w:type="dxa"/>
            <w:tcBorders>
              <w:top w:val="nil"/>
              <w:left w:val="nil"/>
              <w:bottom w:val="single" w:sz="4" w:space="0" w:color="auto"/>
              <w:right w:val="single" w:sz="4" w:space="0" w:color="auto"/>
            </w:tcBorders>
            <w:shd w:val="clear" w:color="auto" w:fill="auto"/>
            <w:hideMark/>
          </w:tcPr>
          <w:p w14:paraId="27DB51BA"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102,021 </w:t>
            </w:r>
          </w:p>
        </w:tc>
        <w:tc>
          <w:tcPr>
            <w:tcW w:w="990" w:type="dxa"/>
            <w:tcBorders>
              <w:top w:val="nil"/>
              <w:left w:val="nil"/>
              <w:bottom w:val="single" w:sz="4" w:space="0" w:color="auto"/>
              <w:right w:val="single" w:sz="4" w:space="0" w:color="auto"/>
            </w:tcBorders>
            <w:shd w:val="clear" w:color="auto" w:fill="auto"/>
            <w:hideMark/>
          </w:tcPr>
          <w:p w14:paraId="23DB0631"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123,500 </w:t>
            </w:r>
          </w:p>
        </w:tc>
        <w:tc>
          <w:tcPr>
            <w:tcW w:w="2520" w:type="dxa"/>
            <w:tcBorders>
              <w:top w:val="nil"/>
              <w:left w:val="nil"/>
              <w:bottom w:val="single" w:sz="4" w:space="0" w:color="auto"/>
              <w:right w:val="single" w:sz="4" w:space="0" w:color="auto"/>
            </w:tcBorders>
            <w:shd w:val="clear" w:color="auto" w:fill="auto"/>
            <w:hideMark/>
          </w:tcPr>
          <w:p w14:paraId="2489536E"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Terms and conditions </w:t>
            </w:r>
          </w:p>
        </w:tc>
        <w:tc>
          <w:tcPr>
            <w:tcW w:w="4730" w:type="dxa"/>
            <w:vMerge/>
            <w:tcBorders>
              <w:top w:val="nil"/>
              <w:left w:val="single" w:sz="4" w:space="0" w:color="auto"/>
              <w:bottom w:val="single" w:sz="4" w:space="0" w:color="auto"/>
              <w:right w:val="double" w:sz="6" w:space="0" w:color="auto"/>
            </w:tcBorders>
            <w:vAlign w:val="center"/>
            <w:hideMark/>
          </w:tcPr>
          <w:p w14:paraId="43525D55"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p>
        </w:tc>
      </w:tr>
      <w:tr w:rsidR="00EF1E32" w:rsidRPr="00EF1E32" w14:paraId="1A690B57" w14:textId="77777777" w:rsidTr="005E0EF5">
        <w:trPr>
          <w:trHeight w:val="405"/>
        </w:trPr>
        <w:tc>
          <w:tcPr>
            <w:tcW w:w="1048" w:type="dxa"/>
            <w:tcBorders>
              <w:top w:val="nil"/>
              <w:left w:val="double" w:sz="6" w:space="0" w:color="auto"/>
              <w:bottom w:val="single" w:sz="4" w:space="0" w:color="auto"/>
              <w:right w:val="single" w:sz="4" w:space="0" w:color="auto"/>
            </w:tcBorders>
            <w:shd w:val="clear" w:color="auto" w:fill="auto"/>
            <w:hideMark/>
          </w:tcPr>
          <w:p w14:paraId="4A2928C1"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Staff Training &amp; Development</w:t>
            </w:r>
          </w:p>
        </w:tc>
        <w:tc>
          <w:tcPr>
            <w:tcW w:w="999" w:type="dxa"/>
            <w:tcBorders>
              <w:top w:val="nil"/>
              <w:left w:val="nil"/>
              <w:bottom w:val="single" w:sz="4" w:space="0" w:color="auto"/>
              <w:right w:val="single" w:sz="4" w:space="0" w:color="auto"/>
            </w:tcBorders>
            <w:shd w:val="clear" w:color="auto" w:fill="auto"/>
            <w:hideMark/>
          </w:tcPr>
          <w:p w14:paraId="280D3E72"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103,057 </w:t>
            </w:r>
          </w:p>
        </w:tc>
        <w:tc>
          <w:tcPr>
            <w:tcW w:w="1080" w:type="dxa"/>
            <w:tcBorders>
              <w:top w:val="nil"/>
              <w:left w:val="nil"/>
              <w:bottom w:val="single" w:sz="4" w:space="0" w:color="auto"/>
              <w:right w:val="single" w:sz="4" w:space="0" w:color="auto"/>
            </w:tcBorders>
            <w:shd w:val="clear" w:color="auto" w:fill="auto"/>
            <w:hideMark/>
          </w:tcPr>
          <w:p w14:paraId="1F215616"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180,841 </w:t>
            </w:r>
          </w:p>
        </w:tc>
        <w:tc>
          <w:tcPr>
            <w:tcW w:w="1080" w:type="dxa"/>
            <w:tcBorders>
              <w:top w:val="nil"/>
              <w:left w:val="nil"/>
              <w:bottom w:val="single" w:sz="4" w:space="0" w:color="auto"/>
              <w:right w:val="single" w:sz="4" w:space="0" w:color="auto"/>
            </w:tcBorders>
            <w:shd w:val="clear" w:color="auto" w:fill="auto"/>
            <w:hideMark/>
          </w:tcPr>
          <w:p w14:paraId="5CF04615"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12,389 </w:t>
            </w:r>
          </w:p>
        </w:tc>
        <w:tc>
          <w:tcPr>
            <w:tcW w:w="900" w:type="dxa"/>
            <w:tcBorders>
              <w:top w:val="nil"/>
              <w:left w:val="nil"/>
              <w:bottom w:val="single" w:sz="4" w:space="0" w:color="auto"/>
              <w:right w:val="single" w:sz="4" w:space="0" w:color="auto"/>
            </w:tcBorders>
            <w:shd w:val="clear" w:color="auto" w:fill="auto"/>
            <w:hideMark/>
          </w:tcPr>
          <w:p w14:paraId="08BD8766"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150,099 </w:t>
            </w:r>
          </w:p>
        </w:tc>
        <w:tc>
          <w:tcPr>
            <w:tcW w:w="990" w:type="dxa"/>
            <w:tcBorders>
              <w:top w:val="nil"/>
              <w:left w:val="nil"/>
              <w:bottom w:val="single" w:sz="4" w:space="0" w:color="auto"/>
              <w:right w:val="single" w:sz="4" w:space="0" w:color="auto"/>
            </w:tcBorders>
            <w:shd w:val="clear" w:color="auto" w:fill="auto"/>
            <w:hideMark/>
          </w:tcPr>
          <w:p w14:paraId="69FFF984"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162,488 </w:t>
            </w:r>
          </w:p>
        </w:tc>
        <w:tc>
          <w:tcPr>
            <w:tcW w:w="2520" w:type="dxa"/>
            <w:tcBorders>
              <w:top w:val="nil"/>
              <w:left w:val="nil"/>
              <w:bottom w:val="single" w:sz="4" w:space="0" w:color="auto"/>
              <w:right w:val="single" w:sz="4" w:space="0" w:color="auto"/>
            </w:tcBorders>
            <w:shd w:val="clear" w:color="auto" w:fill="auto"/>
            <w:hideMark/>
          </w:tcPr>
          <w:p w14:paraId="1C143644"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Terms and conditions </w:t>
            </w:r>
          </w:p>
        </w:tc>
        <w:tc>
          <w:tcPr>
            <w:tcW w:w="4730" w:type="dxa"/>
            <w:vMerge/>
            <w:tcBorders>
              <w:top w:val="nil"/>
              <w:left w:val="single" w:sz="4" w:space="0" w:color="auto"/>
              <w:bottom w:val="single" w:sz="4" w:space="0" w:color="auto"/>
              <w:right w:val="double" w:sz="6" w:space="0" w:color="auto"/>
            </w:tcBorders>
            <w:vAlign w:val="center"/>
            <w:hideMark/>
          </w:tcPr>
          <w:p w14:paraId="4E72851A"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p>
        </w:tc>
      </w:tr>
      <w:tr w:rsidR="00EF1E32" w:rsidRPr="00EF1E32" w14:paraId="67EFC04F" w14:textId="77777777" w:rsidTr="005E0EF5">
        <w:trPr>
          <w:trHeight w:val="608"/>
        </w:trPr>
        <w:tc>
          <w:tcPr>
            <w:tcW w:w="1048" w:type="dxa"/>
            <w:tcBorders>
              <w:top w:val="nil"/>
              <w:left w:val="double" w:sz="6" w:space="0" w:color="auto"/>
              <w:bottom w:val="single" w:sz="4" w:space="0" w:color="auto"/>
              <w:right w:val="single" w:sz="4" w:space="0" w:color="auto"/>
            </w:tcBorders>
            <w:shd w:val="clear" w:color="auto" w:fill="auto"/>
            <w:hideMark/>
          </w:tcPr>
          <w:p w14:paraId="4AE4DABA"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Staff Recruitment &amp; Repatriation</w:t>
            </w:r>
          </w:p>
        </w:tc>
        <w:tc>
          <w:tcPr>
            <w:tcW w:w="999" w:type="dxa"/>
            <w:tcBorders>
              <w:top w:val="nil"/>
              <w:left w:val="nil"/>
              <w:bottom w:val="single" w:sz="4" w:space="0" w:color="auto"/>
              <w:right w:val="single" w:sz="4" w:space="0" w:color="auto"/>
            </w:tcBorders>
            <w:shd w:val="clear" w:color="auto" w:fill="auto"/>
            <w:hideMark/>
          </w:tcPr>
          <w:p w14:paraId="48A7EE68"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68,976 </w:t>
            </w:r>
          </w:p>
        </w:tc>
        <w:tc>
          <w:tcPr>
            <w:tcW w:w="1080" w:type="dxa"/>
            <w:tcBorders>
              <w:top w:val="nil"/>
              <w:left w:val="nil"/>
              <w:bottom w:val="single" w:sz="4" w:space="0" w:color="auto"/>
              <w:right w:val="single" w:sz="4" w:space="0" w:color="auto"/>
            </w:tcBorders>
            <w:shd w:val="clear" w:color="auto" w:fill="auto"/>
            <w:hideMark/>
          </w:tcPr>
          <w:p w14:paraId="6D71E7A4"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151,684 </w:t>
            </w:r>
          </w:p>
        </w:tc>
        <w:tc>
          <w:tcPr>
            <w:tcW w:w="1080" w:type="dxa"/>
            <w:tcBorders>
              <w:top w:val="nil"/>
              <w:left w:val="nil"/>
              <w:bottom w:val="single" w:sz="4" w:space="0" w:color="auto"/>
              <w:right w:val="single" w:sz="4" w:space="0" w:color="auto"/>
            </w:tcBorders>
            <w:shd w:val="clear" w:color="auto" w:fill="auto"/>
            <w:hideMark/>
          </w:tcPr>
          <w:p w14:paraId="45D072F1"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27,115 </w:t>
            </w:r>
          </w:p>
        </w:tc>
        <w:tc>
          <w:tcPr>
            <w:tcW w:w="900" w:type="dxa"/>
            <w:tcBorders>
              <w:top w:val="nil"/>
              <w:left w:val="nil"/>
              <w:bottom w:val="single" w:sz="4" w:space="0" w:color="auto"/>
              <w:right w:val="single" w:sz="4" w:space="0" w:color="auto"/>
            </w:tcBorders>
            <w:shd w:val="clear" w:color="auto" w:fill="auto"/>
            <w:hideMark/>
          </w:tcPr>
          <w:p w14:paraId="68D664D6"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153,885 </w:t>
            </w:r>
          </w:p>
        </w:tc>
        <w:tc>
          <w:tcPr>
            <w:tcW w:w="990" w:type="dxa"/>
            <w:tcBorders>
              <w:top w:val="nil"/>
              <w:left w:val="nil"/>
              <w:bottom w:val="single" w:sz="4" w:space="0" w:color="auto"/>
              <w:right w:val="single" w:sz="4" w:space="0" w:color="auto"/>
            </w:tcBorders>
            <w:shd w:val="clear" w:color="auto" w:fill="auto"/>
            <w:hideMark/>
          </w:tcPr>
          <w:p w14:paraId="03E7450E"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181,000 </w:t>
            </w:r>
          </w:p>
        </w:tc>
        <w:tc>
          <w:tcPr>
            <w:tcW w:w="2520" w:type="dxa"/>
            <w:tcBorders>
              <w:top w:val="nil"/>
              <w:left w:val="nil"/>
              <w:bottom w:val="single" w:sz="4" w:space="0" w:color="auto"/>
              <w:right w:val="single" w:sz="4" w:space="0" w:color="auto"/>
            </w:tcBorders>
            <w:shd w:val="clear" w:color="auto" w:fill="auto"/>
            <w:hideMark/>
          </w:tcPr>
          <w:p w14:paraId="5A50DF5C"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Terms and conditions </w:t>
            </w:r>
          </w:p>
        </w:tc>
        <w:tc>
          <w:tcPr>
            <w:tcW w:w="4730" w:type="dxa"/>
            <w:vMerge/>
            <w:tcBorders>
              <w:top w:val="nil"/>
              <w:left w:val="single" w:sz="4" w:space="0" w:color="auto"/>
              <w:bottom w:val="single" w:sz="4" w:space="0" w:color="auto"/>
              <w:right w:val="double" w:sz="6" w:space="0" w:color="auto"/>
            </w:tcBorders>
            <w:vAlign w:val="center"/>
            <w:hideMark/>
          </w:tcPr>
          <w:p w14:paraId="6B95ABE1"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p>
        </w:tc>
      </w:tr>
      <w:tr w:rsidR="00EF1E32" w:rsidRPr="00EF1E32" w14:paraId="036C517C" w14:textId="77777777" w:rsidTr="005E0EF5">
        <w:trPr>
          <w:trHeight w:val="608"/>
        </w:trPr>
        <w:tc>
          <w:tcPr>
            <w:tcW w:w="1048" w:type="dxa"/>
            <w:tcBorders>
              <w:top w:val="nil"/>
              <w:left w:val="double" w:sz="6" w:space="0" w:color="auto"/>
              <w:bottom w:val="single" w:sz="4" w:space="0" w:color="auto"/>
              <w:right w:val="single" w:sz="4" w:space="0" w:color="auto"/>
            </w:tcBorders>
            <w:shd w:val="clear" w:color="auto" w:fill="auto"/>
            <w:hideMark/>
          </w:tcPr>
          <w:p w14:paraId="73B1945A"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Travel, Meetings &amp; Workshops</w:t>
            </w:r>
          </w:p>
        </w:tc>
        <w:tc>
          <w:tcPr>
            <w:tcW w:w="999" w:type="dxa"/>
            <w:tcBorders>
              <w:top w:val="nil"/>
              <w:left w:val="nil"/>
              <w:bottom w:val="single" w:sz="4" w:space="0" w:color="auto"/>
              <w:right w:val="single" w:sz="4" w:space="0" w:color="auto"/>
            </w:tcBorders>
            <w:shd w:val="clear" w:color="auto" w:fill="auto"/>
            <w:hideMark/>
          </w:tcPr>
          <w:p w14:paraId="7E9531FC"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2,100,752 </w:t>
            </w:r>
          </w:p>
        </w:tc>
        <w:tc>
          <w:tcPr>
            <w:tcW w:w="1080" w:type="dxa"/>
            <w:tcBorders>
              <w:top w:val="nil"/>
              <w:left w:val="nil"/>
              <w:bottom w:val="single" w:sz="4" w:space="0" w:color="auto"/>
              <w:right w:val="single" w:sz="4" w:space="0" w:color="auto"/>
            </w:tcBorders>
            <w:shd w:val="clear" w:color="auto" w:fill="auto"/>
            <w:hideMark/>
          </w:tcPr>
          <w:p w14:paraId="3CAB82F7"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3,325,579 </w:t>
            </w:r>
          </w:p>
        </w:tc>
        <w:tc>
          <w:tcPr>
            <w:tcW w:w="1080" w:type="dxa"/>
            <w:tcBorders>
              <w:top w:val="nil"/>
              <w:left w:val="nil"/>
              <w:bottom w:val="single" w:sz="4" w:space="0" w:color="auto"/>
              <w:right w:val="single" w:sz="4" w:space="0" w:color="auto"/>
            </w:tcBorders>
            <w:shd w:val="clear" w:color="auto" w:fill="auto"/>
            <w:hideMark/>
          </w:tcPr>
          <w:p w14:paraId="1ACBFF4C"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845,399 </w:t>
            </w:r>
          </w:p>
        </w:tc>
        <w:tc>
          <w:tcPr>
            <w:tcW w:w="900" w:type="dxa"/>
            <w:tcBorders>
              <w:top w:val="nil"/>
              <w:left w:val="nil"/>
              <w:bottom w:val="single" w:sz="4" w:space="0" w:color="auto"/>
              <w:right w:val="single" w:sz="4" w:space="0" w:color="auto"/>
            </w:tcBorders>
            <w:shd w:val="clear" w:color="auto" w:fill="auto"/>
            <w:hideMark/>
          </w:tcPr>
          <w:p w14:paraId="1F0DB79D"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2,211,801 </w:t>
            </w:r>
          </w:p>
        </w:tc>
        <w:tc>
          <w:tcPr>
            <w:tcW w:w="990" w:type="dxa"/>
            <w:tcBorders>
              <w:top w:val="nil"/>
              <w:left w:val="nil"/>
              <w:bottom w:val="single" w:sz="4" w:space="0" w:color="auto"/>
              <w:right w:val="single" w:sz="4" w:space="0" w:color="auto"/>
            </w:tcBorders>
            <w:shd w:val="clear" w:color="auto" w:fill="auto"/>
            <w:hideMark/>
          </w:tcPr>
          <w:p w14:paraId="6C49D3EE"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3,057,200 </w:t>
            </w:r>
          </w:p>
        </w:tc>
        <w:tc>
          <w:tcPr>
            <w:tcW w:w="2520" w:type="dxa"/>
            <w:tcBorders>
              <w:top w:val="nil"/>
              <w:left w:val="nil"/>
              <w:bottom w:val="single" w:sz="4" w:space="0" w:color="auto"/>
              <w:right w:val="single" w:sz="4" w:space="0" w:color="auto"/>
            </w:tcBorders>
            <w:shd w:val="clear" w:color="auto" w:fill="auto"/>
            <w:hideMark/>
          </w:tcPr>
          <w:p w14:paraId="67543FC1"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Acquisition cost-efficiencies </w:t>
            </w:r>
          </w:p>
        </w:tc>
        <w:tc>
          <w:tcPr>
            <w:tcW w:w="4730" w:type="dxa"/>
            <w:vMerge w:val="restart"/>
            <w:tcBorders>
              <w:top w:val="nil"/>
              <w:left w:val="single" w:sz="4" w:space="0" w:color="auto"/>
              <w:bottom w:val="single" w:sz="4" w:space="0" w:color="auto"/>
              <w:right w:val="double" w:sz="6" w:space="0" w:color="auto"/>
            </w:tcBorders>
            <w:shd w:val="clear" w:color="auto" w:fill="auto"/>
            <w:hideMark/>
          </w:tcPr>
          <w:p w14:paraId="678F74D4" w14:textId="449BB460" w:rsidR="00EF1E32" w:rsidRPr="005E0EF5" w:rsidRDefault="00EF1E32" w:rsidP="005E0EF5">
            <w:pPr>
              <w:spacing w:after="0" w:line="240" w:lineRule="auto"/>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 xml:space="preserve">1: This is the variable cost, </w:t>
            </w:r>
            <w:r w:rsidR="005E0EF5">
              <w:rPr>
                <w:rFonts w:ascii="Arial Narrow" w:eastAsia="Times New Roman" w:hAnsi="Arial Narrow" w:cs="Times New Roman"/>
                <w:color w:val="000000"/>
                <w:sz w:val="16"/>
                <w:szCs w:val="16"/>
              </w:rPr>
              <w:t>towards p</w:t>
            </w:r>
            <w:r w:rsidRPr="005E0EF5">
              <w:rPr>
                <w:rFonts w:ascii="Arial Narrow" w:eastAsia="Times New Roman" w:hAnsi="Arial Narrow" w:cs="Times New Roman"/>
                <w:color w:val="000000"/>
                <w:sz w:val="16"/>
                <w:szCs w:val="16"/>
              </w:rPr>
              <w:t>rogramme implementation</w:t>
            </w:r>
            <w:r w:rsidR="005E0EF5">
              <w:rPr>
                <w:rFonts w:ascii="Arial Narrow" w:eastAsia="Times New Roman" w:hAnsi="Arial Narrow" w:cs="Times New Roman"/>
                <w:color w:val="000000"/>
                <w:sz w:val="16"/>
                <w:szCs w:val="16"/>
              </w:rPr>
              <w:t>, including: -</w:t>
            </w:r>
          </w:p>
          <w:p w14:paraId="0E473E76" w14:textId="28902E41" w:rsidR="005E0EF5" w:rsidRDefault="005E0EF5" w:rsidP="00552CA2">
            <w:pPr>
              <w:pStyle w:val="ListParagraph"/>
              <w:numPr>
                <w:ilvl w:val="0"/>
                <w:numId w:val="21"/>
              </w:numPr>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Technical meetings</w:t>
            </w:r>
          </w:p>
          <w:p w14:paraId="3E4B4223" w14:textId="43301556" w:rsidR="005E0EF5" w:rsidRDefault="005E0EF5" w:rsidP="00552CA2">
            <w:pPr>
              <w:pStyle w:val="ListParagraph"/>
              <w:numPr>
                <w:ilvl w:val="0"/>
                <w:numId w:val="21"/>
              </w:numPr>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Technical support</w:t>
            </w:r>
          </w:p>
          <w:p w14:paraId="5E86BFC7" w14:textId="77777777" w:rsidR="00EF1E32" w:rsidRDefault="005E0EF5" w:rsidP="00EF1E32">
            <w:pPr>
              <w:spacing w:after="0" w:line="240" w:lineRule="auto"/>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 xml:space="preserve">2: Consistent with experience, the budget allocation will be </w:t>
            </w:r>
            <w:r w:rsidR="00EF1E32">
              <w:rPr>
                <w:rFonts w:ascii="Arial Narrow" w:eastAsia="Times New Roman" w:hAnsi="Arial Narrow" w:cs="Times New Roman"/>
                <w:color w:val="000000"/>
                <w:sz w:val="16"/>
                <w:szCs w:val="16"/>
              </w:rPr>
              <w:t>fully utilized in the year.</w:t>
            </w:r>
            <w:r w:rsidR="00EF1E32" w:rsidRPr="00EF1E32">
              <w:rPr>
                <w:rFonts w:ascii="Arial Narrow" w:eastAsia="Times New Roman" w:hAnsi="Arial Narrow" w:cs="Times New Roman"/>
                <w:color w:val="000000"/>
                <w:sz w:val="16"/>
                <w:szCs w:val="16"/>
              </w:rPr>
              <w:t> </w:t>
            </w:r>
          </w:p>
          <w:p w14:paraId="76A302C8" w14:textId="77777777" w:rsidR="005E0EF5" w:rsidRPr="005E0EF5" w:rsidRDefault="005E0EF5" w:rsidP="00EF1E32">
            <w:pPr>
              <w:spacing w:after="0" w:line="240" w:lineRule="auto"/>
              <w:rPr>
                <w:rFonts w:ascii="Arial Narrow" w:eastAsia="Times New Roman" w:hAnsi="Arial Narrow" w:cs="Times New Roman"/>
                <w:b/>
                <w:color w:val="000000"/>
                <w:sz w:val="16"/>
                <w:szCs w:val="16"/>
              </w:rPr>
            </w:pPr>
            <w:r w:rsidRPr="005E0EF5">
              <w:rPr>
                <w:rFonts w:ascii="Arial Narrow" w:eastAsia="Times New Roman" w:hAnsi="Arial Narrow" w:cs="Times New Roman"/>
                <w:b/>
                <w:color w:val="000000"/>
                <w:sz w:val="16"/>
                <w:szCs w:val="16"/>
              </w:rPr>
              <w:t xml:space="preserve">Conclusion and prospects: </w:t>
            </w:r>
          </w:p>
          <w:p w14:paraId="1787ED07" w14:textId="0699E055" w:rsidR="005E0EF5" w:rsidRDefault="005E0EF5" w:rsidP="00EF1E32">
            <w:pPr>
              <w:spacing w:after="0" w:line="240" w:lineRule="auto"/>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 xml:space="preserve">1: Continuous management controls, which include authorisation controls and cost acquisition controls ensure value for money. In response to concerns regarding consultants, tighter controls have been introduced which ensures alignment and compliance with requirements. </w:t>
            </w:r>
          </w:p>
          <w:p w14:paraId="6D6C85EB" w14:textId="77777777" w:rsidR="005E0EF5" w:rsidRDefault="005E0EF5" w:rsidP="00EF1E32">
            <w:pPr>
              <w:spacing w:after="0" w:line="240" w:lineRule="auto"/>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 xml:space="preserve">2: To allow flexibility and management control, the allocations are assigned to the Secretariat and not to cost centers. This allows management to prioritize activities, which will </w:t>
            </w:r>
            <w:proofErr w:type="spellStart"/>
            <w:r>
              <w:rPr>
                <w:rFonts w:ascii="Arial Narrow" w:eastAsia="Times New Roman" w:hAnsi="Arial Narrow" w:cs="Times New Roman"/>
                <w:color w:val="000000"/>
                <w:sz w:val="16"/>
                <w:szCs w:val="16"/>
              </w:rPr>
              <w:t>provider</w:t>
            </w:r>
            <w:proofErr w:type="spellEnd"/>
            <w:r>
              <w:rPr>
                <w:rFonts w:ascii="Arial Narrow" w:eastAsia="Times New Roman" w:hAnsi="Arial Narrow" w:cs="Times New Roman"/>
                <w:color w:val="000000"/>
                <w:sz w:val="16"/>
                <w:szCs w:val="16"/>
              </w:rPr>
              <w:t xml:space="preserve"> greater benefits to COMESA. For this reason, these activities are:</w:t>
            </w:r>
          </w:p>
          <w:p w14:paraId="5F4DD843" w14:textId="3D159CE2" w:rsidR="005E0EF5" w:rsidRDefault="005E0EF5" w:rsidP="00EF1E32">
            <w:pPr>
              <w:spacing w:after="0" w:line="240" w:lineRule="auto"/>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1: Reviewed by Assistant Secretary General (P):</w:t>
            </w:r>
          </w:p>
          <w:p w14:paraId="19B96296" w14:textId="77777777" w:rsidR="005E0EF5" w:rsidRDefault="005E0EF5" w:rsidP="00EF1E32">
            <w:pPr>
              <w:spacing w:after="0" w:line="240" w:lineRule="auto"/>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2: Budget certification by Assistant Secretary General (AF)</w:t>
            </w:r>
          </w:p>
          <w:p w14:paraId="261EB757" w14:textId="3C31C3B9" w:rsidR="005E0EF5" w:rsidRPr="00EF1E32" w:rsidRDefault="005E0EF5" w:rsidP="00EF1E32">
            <w:pPr>
              <w:spacing w:after="0" w:line="240" w:lineRule="auto"/>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 xml:space="preserve">3: Approved by Secretary General </w:t>
            </w:r>
          </w:p>
        </w:tc>
      </w:tr>
      <w:tr w:rsidR="00EF1E32" w:rsidRPr="00EF1E32" w14:paraId="3CF8F418" w14:textId="77777777" w:rsidTr="005E0EF5">
        <w:trPr>
          <w:trHeight w:val="405"/>
        </w:trPr>
        <w:tc>
          <w:tcPr>
            <w:tcW w:w="1048" w:type="dxa"/>
            <w:tcBorders>
              <w:top w:val="nil"/>
              <w:left w:val="double" w:sz="6" w:space="0" w:color="auto"/>
              <w:bottom w:val="single" w:sz="4" w:space="0" w:color="auto"/>
              <w:right w:val="single" w:sz="4" w:space="0" w:color="auto"/>
            </w:tcBorders>
            <w:shd w:val="clear" w:color="auto" w:fill="auto"/>
            <w:hideMark/>
          </w:tcPr>
          <w:p w14:paraId="6D7EC375"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Consultancy</w:t>
            </w:r>
          </w:p>
        </w:tc>
        <w:tc>
          <w:tcPr>
            <w:tcW w:w="999" w:type="dxa"/>
            <w:tcBorders>
              <w:top w:val="nil"/>
              <w:left w:val="nil"/>
              <w:bottom w:val="single" w:sz="4" w:space="0" w:color="auto"/>
              <w:right w:val="single" w:sz="4" w:space="0" w:color="auto"/>
            </w:tcBorders>
            <w:shd w:val="clear" w:color="auto" w:fill="auto"/>
            <w:hideMark/>
          </w:tcPr>
          <w:p w14:paraId="331D4F4C"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971,948 </w:t>
            </w:r>
          </w:p>
        </w:tc>
        <w:tc>
          <w:tcPr>
            <w:tcW w:w="1080" w:type="dxa"/>
            <w:tcBorders>
              <w:top w:val="nil"/>
              <w:left w:val="nil"/>
              <w:bottom w:val="single" w:sz="4" w:space="0" w:color="auto"/>
              <w:right w:val="single" w:sz="4" w:space="0" w:color="auto"/>
            </w:tcBorders>
            <w:shd w:val="clear" w:color="auto" w:fill="auto"/>
            <w:hideMark/>
          </w:tcPr>
          <w:p w14:paraId="0677F0C0"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737,216 </w:t>
            </w:r>
          </w:p>
        </w:tc>
        <w:tc>
          <w:tcPr>
            <w:tcW w:w="1080" w:type="dxa"/>
            <w:tcBorders>
              <w:top w:val="nil"/>
              <w:left w:val="nil"/>
              <w:bottom w:val="single" w:sz="4" w:space="0" w:color="auto"/>
              <w:right w:val="single" w:sz="4" w:space="0" w:color="auto"/>
            </w:tcBorders>
            <w:shd w:val="clear" w:color="auto" w:fill="auto"/>
            <w:hideMark/>
          </w:tcPr>
          <w:p w14:paraId="425BBCEF"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127,189 </w:t>
            </w:r>
          </w:p>
        </w:tc>
        <w:tc>
          <w:tcPr>
            <w:tcW w:w="900" w:type="dxa"/>
            <w:tcBorders>
              <w:top w:val="nil"/>
              <w:left w:val="nil"/>
              <w:bottom w:val="single" w:sz="4" w:space="0" w:color="auto"/>
              <w:right w:val="single" w:sz="4" w:space="0" w:color="auto"/>
            </w:tcBorders>
            <w:shd w:val="clear" w:color="auto" w:fill="auto"/>
            <w:hideMark/>
          </w:tcPr>
          <w:p w14:paraId="546BE5BB"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391,823 </w:t>
            </w:r>
          </w:p>
        </w:tc>
        <w:tc>
          <w:tcPr>
            <w:tcW w:w="990" w:type="dxa"/>
            <w:tcBorders>
              <w:top w:val="nil"/>
              <w:left w:val="nil"/>
              <w:bottom w:val="single" w:sz="4" w:space="0" w:color="auto"/>
              <w:right w:val="single" w:sz="4" w:space="0" w:color="auto"/>
            </w:tcBorders>
            <w:shd w:val="clear" w:color="auto" w:fill="auto"/>
            <w:hideMark/>
          </w:tcPr>
          <w:p w14:paraId="4A5906A8"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519,012 </w:t>
            </w:r>
          </w:p>
        </w:tc>
        <w:tc>
          <w:tcPr>
            <w:tcW w:w="2520" w:type="dxa"/>
            <w:tcBorders>
              <w:top w:val="nil"/>
              <w:left w:val="nil"/>
              <w:bottom w:val="single" w:sz="4" w:space="0" w:color="auto"/>
              <w:right w:val="single" w:sz="4" w:space="0" w:color="auto"/>
            </w:tcBorders>
            <w:shd w:val="clear" w:color="auto" w:fill="auto"/>
            <w:hideMark/>
          </w:tcPr>
          <w:p w14:paraId="54613F0F"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Terms and conditions </w:t>
            </w:r>
          </w:p>
        </w:tc>
        <w:tc>
          <w:tcPr>
            <w:tcW w:w="4730" w:type="dxa"/>
            <w:vMerge/>
            <w:tcBorders>
              <w:top w:val="nil"/>
              <w:left w:val="single" w:sz="4" w:space="0" w:color="auto"/>
              <w:bottom w:val="single" w:sz="4" w:space="0" w:color="auto"/>
              <w:right w:val="double" w:sz="6" w:space="0" w:color="auto"/>
            </w:tcBorders>
            <w:vAlign w:val="center"/>
            <w:hideMark/>
          </w:tcPr>
          <w:p w14:paraId="31BD0F19"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p>
        </w:tc>
      </w:tr>
      <w:tr w:rsidR="00EF1E32" w:rsidRPr="00EF1E32" w14:paraId="47E947BB" w14:textId="77777777" w:rsidTr="005E0EF5">
        <w:trPr>
          <w:trHeight w:val="608"/>
        </w:trPr>
        <w:tc>
          <w:tcPr>
            <w:tcW w:w="1048" w:type="dxa"/>
            <w:tcBorders>
              <w:top w:val="nil"/>
              <w:left w:val="double" w:sz="6" w:space="0" w:color="auto"/>
              <w:bottom w:val="single" w:sz="4" w:space="0" w:color="auto"/>
              <w:right w:val="single" w:sz="4" w:space="0" w:color="auto"/>
            </w:tcBorders>
            <w:shd w:val="clear" w:color="auto" w:fill="auto"/>
            <w:hideMark/>
          </w:tcPr>
          <w:p w14:paraId="35B91788"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Election Monitoring</w:t>
            </w:r>
          </w:p>
        </w:tc>
        <w:tc>
          <w:tcPr>
            <w:tcW w:w="999" w:type="dxa"/>
            <w:tcBorders>
              <w:top w:val="nil"/>
              <w:left w:val="nil"/>
              <w:bottom w:val="single" w:sz="4" w:space="0" w:color="auto"/>
              <w:right w:val="single" w:sz="4" w:space="0" w:color="auto"/>
            </w:tcBorders>
            <w:shd w:val="clear" w:color="auto" w:fill="auto"/>
            <w:hideMark/>
          </w:tcPr>
          <w:p w14:paraId="18C89BF1"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83,486 </w:t>
            </w:r>
          </w:p>
        </w:tc>
        <w:tc>
          <w:tcPr>
            <w:tcW w:w="1080" w:type="dxa"/>
            <w:tcBorders>
              <w:top w:val="nil"/>
              <w:left w:val="nil"/>
              <w:bottom w:val="single" w:sz="4" w:space="0" w:color="auto"/>
              <w:right w:val="single" w:sz="4" w:space="0" w:color="auto"/>
            </w:tcBorders>
            <w:shd w:val="clear" w:color="auto" w:fill="auto"/>
            <w:hideMark/>
          </w:tcPr>
          <w:p w14:paraId="631336BA"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103,149 </w:t>
            </w:r>
          </w:p>
        </w:tc>
        <w:tc>
          <w:tcPr>
            <w:tcW w:w="1080" w:type="dxa"/>
            <w:tcBorders>
              <w:top w:val="nil"/>
              <w:left w:val="nil"/>
              <w:bottom w:val="single" w:sz="4" w:space="0" w:color="auto"/>
              <w:right w:val="single" w:sz="4" w:space="0" w:color="auto"/>
            </w:tcBorders>
            <w:shd w:val="clear" w:color="auto" w:fill="auto"/>
            <w:hideMark/>
          </w:tcPr>
          <w:p w14:paraId="73277707"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91,198 </w:t>
            </w:r>
          </w:p>
        </w:tc>
        <w:tc>
          <w:tcPr>
            <w:tcW w:w="900" w:type="dxa"/>
            <w:tcBorders>
              <w:top w:val="nil"/>
              <w:left w:val="nil"/>
              <w:bottom w:val="single" w:sz="4" w:space="0" w:color="auto"/>
              <w:right w:val="single" w:sz="4" w:space="0" w:color="auto"/>
            </w:tcBorders>
            <w:shd w:val="clear" w:color="auto" w:fill="auto"/>
            <w:hideMark/>
          </w:tcPr>
          <w:p w14:paraId="4C0E323E"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(16,198)</w:t>
            </w:r>
          </w:p>
        </w:tc>
        <w:tc>
          <w:tcPr>
            <w:tcW w:w="990" w:type="dxa"/>
            <w:tcBorders>
              <w:top w:val="nil"/>
              <w:left w:val="nil"/>
              <w:bottom w:val="single" w:sz="4" w:space="0" w:color="auto"/>
              <w:right w:val="single" w:sz="4" w:space="0" w:color="auto"/>
            </w:tcBorders>
            <w:shd w:val="clear" w:color="auto" w:fill="auto"/>
            <w:hideMark/>
          </w:tcPr>
          <w:p w14:paraId="57AA412D"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75,000 </w:t>
            </w:r>
          </w:p>
        </w:tc>
        <w:tc>
          <w:tcPr>
            <w:tcW w:w="2520" w:type="dxa"/>
            <w:tcBorders>
              <w:top w:val="nil"/>
              <w:left w:val="nil"/>
              <w:bottom w:val="single" w:sz="4" w:space="0" w:color="auto"/>
              <w:right w:val="single" w:sz="4" w:space="0" w:color="auto"/>
            </w:tcBorders>
            <w:shd w:val="clear" w:color="auto" w:fill="auto"/>
            <w:hideMark/>
          </w:tcPr>
          <w:p w14:paraId="39932E38"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Acquisition cost-efficiencies </w:t>
            </w:r>
          </w:p>
        </w:tc>
        <w:tc>
          <w:tcPr>
            <w:tcW w:w="4730" w:type="dxa"/>
            <w:vMerge/>
            <w:tcBorders>
              <w:top w:val="nil"/>
              <w:left w:val="single" w:sz="4" w:space="0" w:color="auto"/>
              <w:bottom w:val="single" w:sz="4" w:space="0" w:color="auto"/>
              <w:right w:val="double" w:sz="6" w:space="0" w:color="auto"/>
            </w:tcBorders>
            <w:vAlign w:val="center"/>
            <w:hideMark/>
          </w:tcPr>
          <w:p w14:paraId="5E60F023"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p>
        </w:tc>
      </w:tr>
      <w:tr w:rsidR="00EF1E32" w:rsidRPr="00EF1E32" w14:paraId="6A4348C8" w14:textId="77777777" w:rsidTr="005E0EF5">
        <w:trPr>
          <w:trHeight w:val="405"/>
        </w:trPr>
        <w:tc>
          <w:tcPr>
            <w:tcW w:w="1048" w:type="dxa"/>
            <w:tcBorders>
              <w:top w:val="nil"/>
              <w:left w:val="double" w:sz="6" w:space="0" w:color="auto"/>
              <w:bottom w:val="single" w:sz="4" w:space="0" w:color="auto"/>
              <w:right w:val="single" w:sz="4" w:space="0" w:color="auto"/>
            </w:tcBorders>
            <w:shd w:val="clear" w:color="auto" w:fill="auto"/>
            <w:hideMark/>
          </w:tcPr>
          <w:p w14:paraId="5B71A2AE"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Support to Member States</w:t>
            </w:r>
          </w:p>
        </w:tc>
        <w:tc>
          <w:tcPr>
            <w:tcW w:w="999" w:type="dxa"/>
            <w:tcBorders>
              <w:top w:val="nil"/>
              <w:left w:val="nil"/>
              <w:bottom w:val="single" w:sz="4" w:space="0" w:color="auto"/>
              <w:right w:val="single" w:sz="4" w:space="0" w:color="auto"/>
            </w:tcBorders>
            <w:shd w:val="clear" w:color="auto" w:fill="auto"/>
            <w:hideMark/>
          </w:tcPr>
          <w:p w14:paraId="317ACD92"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    </w:t>
            </w:r>
          </w:p>
        </w:tc>
        <w:tc>
          <w:tcPr>
            <w:tcW w:w="1080" w:type="dxa"/>
            <w:tcBorders>
              <w:top w:val="nil"/>
              <w:left w:val="nil"/>
              <w:bottom w:val="single" w:sz="4" w:space="0" w:color="auto"/>
              <w:right w:val="single" w:sz="4" w:space="0" w:color="auto"/>
            </w:tcBorders>
            <w:shd w:val="clear" w:color="auto" w:fill="auto"/>
            <w:hideMark/>
          </w:tcPr>
          <w:p w14:paraId="4F2D2424"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    </w:t>
            </w:r>
          </w:p>
        </w:tc>
        <w:tc>
          <w:tcPr>
            <w:tcW w:w="1080" w:type="dxa"/>
            <w:tcBorders>
              <w:top w:val="nil"/>
              <w:left w:val="nil"/>
              <w:bottom w:val="single" w:sz="4" w:space="0" w:color="auto"/>
              <w:right w:val="single" w:sz="4" w:space="0" w:color="auto"/>
            </w:tcBorders>
            <w:shd w:val="clear" w:color="auto" w:fill="auto"/>
            <w:hideMark/>
          </w:tcPr>
          <w:p w14:paraId="11D06B92"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    </w:t>
            </w:r>
          </w:p>
        </w:tc>
        <w:tc>
          <w:tcPr>
            <w:tcW w:w="900" w:type="dxa"/>
            <w:tcBorders>
              <w:top w:val="nil"/>
              <w:left w:val="nil"/>
              <w:bottom w:val="single" w:sz="4" w:space="0" w:color="auto"/>
              <w:right w:val="single" w:sz="4" w:space="0" w:color="auto"/>
            </w:tcBorders>
            <w:shd w:val="clear" w:color="auto" w:fill="auto"/>
            <w:hideMark/>
          </w:tcPr>
          <w:p w14:paraId="03BB8880"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30,000 </w:t>
            </w:r>
          </w:p>
        </w:tc>
        <w:tc>
          <w:tcPr>
            <w:tcW w:w="990" w:type="dxa"/>
            <w:tcBorders>
              <w:top w:val="nil"/>
              <w:left w:val="nil"/>
              <w:bottom w:val="single" w:sz="4" w:space="0" w:color="auto"/>
              <w:right w:val="single" w:sz="4" w:space="0" w:color="auto"/>
            </w:tcBorders>
            <w:shd w:val="clear" w:color="auto" w:fill="auto"/>
            <w:hideMark/>
          </w:tcPr>
          <w:p w14:paraId="4C703C6A"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30,000 </w:t>
            </w:r>
          </w:p>
        </w:tc>
        <w:tc>
          <w:tcPr>
            <w:tcW w:w="2520" w:type="dxa"/>
            <w:tcBorders>
              <w:top w:val="nil"/>
              <w:left w:val="nil"/>
              <w:bottom w:val="single" w:sz="4" w:space="0" w:color="auto"/>
              <w:right w:val="single" w:sz="4" w:space="0" w:color="auto"/>
            </w:tcBorders>
            <w:shd w:val="clear" w:color="auto" w:fill="auto"/>
            <w:hideMark/>
          </w:tcPr>
          <w:p w14:paraId="08CA84E7"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Terms and conditions </w:t>
            </w:r>
          </w:p>
        </w:tc>
        <w:tc>
          <w:tcPr>
            <w:tcW w:w="4730" w:type="dxa"/>
            <w:vMerge/>
            <w:tcBorders>
              <w:top w:val="nil"/>
              <w:left w:val="single" w:sz="4" w:space="0" w:color="auto"/>
              <w:bottom w:val="single" w:sz="4" w:space="0" w:color="auto"/>
              <w:right w:val="double" w:sz="6" w:space="0" w:color="auto"/>
            </w:tcBorders>
            <w:vAlign w:val="center"/>
            <w:hideMark/>
          </w:tcPr>
          <w:p w14:paraId="5C5955F4"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p>
        </w:tc>
      </w:tr>
      <w:tr w:rsidR="00EF1E32" w:rsidRPr="00EF1E32" w14:paraId="351A15D9" w14:textId="77777777" w:rsidTr="005E0EF5">
        <w:trPr>
          <w:trHeight w:val="608"/>
        </w:trPr>
        <w:tc>
          <w:tcPr>
            <w:tcW w:w="1048" w:type="dxa"/>
            <w:tcBorders>
              <w:top w:val="nil"/>
              <w:left w:val="double" w:sz="6" w:space="0" w:color="auto"/>
              <w:bottom w:val="single" w:sz="4" w:space="0" w:color="auto"/>
              <w:right w:val="single" w:sz="4" w:space="0" w:color="auto"/>
            </w:tcBorders>
            <w:shd w:val="clear" w:color="auto" w:fill="auto"/>
            <w:hideMark/>
          </w:tcPr>
          <w:p w14:paraId="324C0403"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Grant Counterpart Funding</w:t>
            </w:r>
          </w:p>
        </w:tc>
        <w:tc>
          <w:tcPr>
            <w:tcW w:w="999" w:type="dxa"/>
            <w:tcBorders>
              <w:top w:val="nil"/>
              <w:left w:val="nil"/>
              <w:bottom w:val="single" w:sz="4" w:space="0" w:color="auto"/>
              <w:right w:val="single" w:sz="4" w:space="0" w:color="auto"/>
            </w:tcBorders>
            <w:shd w:val="clear" w:color="auto" w:fill="auto"/>
            <w:hideMark/>
          </w:tcPr>
          <w:p w14:paraId="2942BB63"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60,133 </w:t>
            </w:r>
          </w:p>
        </w:tc>
        <w:tc>
          <w:tcPr>
            <w:tcW w:w="1080" w:type="dxa"/>
            <w:tcBorders>
              <w:top w:val="nil"/>
              <w:left w:val="nil"/>
              <w:bottom w:val="single" w:sz="4" w:space="0" w:color="auto"/>
              <w:right w:val="single" w:sz="4" w:space="0" w:color="auto"/>
            </w:tcBorders>
            <w:shd w:val="clear" w:color="auto" w:fill="auto"/>
            <w:hideMark/>
          </w:tcPr>
          <w:p w14:paraId="001B85B5"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538,648 </w:t>
            </w:r>
          </w:p>
        </w:tc>
        <w:tc>
          <w:tcPr>
            <w:tcW w:w="1080" w:type="dxa"/>
            <w:tcBorders>
              <w:top w:val="nil"/>
              <w:left w:val="nil"/>
              <w:bottom w:val="single" w:sz="4" w:space="0" w:color="auto"/>
              <w:right w:val="single" w:sz="4" w:space="0" w:color="auto"/>
            </w:tcBorders>
            <w:shd w:val="clear" w:color="auto" w:fill="auto"/>
            <w:hideMark/>
          </w:tcPr>
          <w:p w14:paraId="3AE521D5"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134,530 </w:t>
            </w:r>
          </w:p>
        </w:tc>
        <w:tc>
          <w:tcPr>
            <w:tcW w:w="900" w:type="dxa"/>
            <w:tcBorders>
              <w:top w:val="nil"/>
              <w:left w:val="nil"/>
              <w:bottom w:val="single" w:sz="4" w:space="0" w:color="auto"/>
              <w:right w:val="single" w:sz="4" w:space="0" w:color="auto"/>
            </w:tcBorders>
            <w:shd w:val="clear" w:color="auto" w:fill="auto"/>
            <w:hideMark/>
          </w:tcPr>
          <w:p w14:paraId="034FC140"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(34,530)</w:t>
            </w:r>
          </w:p>
        </w:tc>
        <w:tc>
          <w:tcPr>
            <w:tcW w:w="990" w:type="dxa"/>
            <w:tcBorders>
              <w:top w:val="nil"/>
              <w:left w:val="nil"/>
              <w:bottom w:val="single" w:sz="4" w:space="0" w:color="auto"/>
              <w:right w:val="single" w:sz="4" w:space="0" w:color="auto"/>
            </w:tcBorders>
            <w:shd w:val="clear" w:color="auto" w:fill="auto"/>
            <w:hideMark/>
          </w:tcPr>
          <w:p w14:paraId="25B56016"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100,000 </w:t>
            </w:r>
          </w:p>
        </w:tc>
        <w:tc>
          <w:tcPr>
            <w:tcW w:w="2520" w:type="dxa"/>
            <w:tcBorders>
              <w:top w:val="nil"/>
              <w:left w:val="nil"/>
              <w:bottom w:val="single" w:sz="4" w:space="0" w:color="auto"/>
              <w:right w:val="single" w:sz="4" w:space="0" w:color="auto"/>
            </w:tcBorders>
            <w:shd w:val="clear" w:color="auto" w:fill="auto"/>
            <w:hideMark/>
          </w:tcPr>
          <w:p w14:paraId="3A33E970"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Terms and conditions </w:t>
            </w:r>
          </w:p>
        </w:tc>
        <w:tc>
          <w:tcPr>
            <w:tcW w:w="4730" w:type="dxa"/>
            <w:vMerge/>
            <w:tcBorders>
              <w:top w:val="nil"/>
              <w:left w:val="single" w:sz="4" w:space="0" w:color="auto"/>
              <w:bottom w:val="single" w:sz="4" w:space="0" w:color="auto"/>
              <w:right w:val="double" w:sz="6" w:space="0" w:color="auto"/>
            </w:tcBorders>
            <w:vAlign w:val="center"/>
            <w:hideMark/>
          </w:tcPr>
          <w:p w14:paraId="748F3611"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p>
        </w:tc>
      </w:tr>
      <w:tr w:rsidR="00EF1E32" w:rsidRPr="00EF1E32" w14:paraId="782AF2D8" w14:textId="77777777" w:rsidTr="005E0EF5">
        <w:trPr>
          <w:trHeight w:val="608"/>
        </w:trPr>
        <w:tc>
          <w:tcPr>
            <w:tcW w:w="1048" w:type="dxa"/>
            <w:tcBorders>
              <w:top w:val="nil"/>
              <w:left w:val="double" w:sz="6" w:space="0" w:color="auto"/>
              <w:bottom w:val="single" w:sz="4" w:space="0" w:color="auto"/>
              <w:right w:val="single" w:sz="4" w:space="0" w:color="auto"/>
            </w:tcBorders>
            <w:shd w:val="clear" w:color="auto" w:fill="auto"/>
            <w:hideMark/>
          </w:tcPr>
          <w:p w14:paraId="44C5006C"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lastRenderedPageBreak/>
              <w:t>Publication &amp; Visibility</w:t>
            </w:r>
          </w:p>
        </w:tc>
        <w:tc>
          <w:tcPr>
            <w:tcW w:w="999" w:type="dxa"/>
            <w:tcBorders>
              <w:top w:val="nil"/>
              <w:left w:val="nil"/>
              <w:bottom w:val="single" w:sz="4" w:space="0" w:color="auto"/>
              <w:right w:val="single" w:sz="4" w:space="0" w:color="auto"/>
            </w:tcBorders>
            <w:shd w:val="clear" w:color="auto" w:fill="auto"/>
            <w:hideMark/>
          </w:tcPr>
          <w:p w14:paraId="54ADF9DD"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119,299 </w:t>
            </w:r>
          </w:p>
        </w:tc>
        <w:tc>
          <w:tcPr>
            <w:tcW w:w="1080" w:type="dxa"/>
            <w:tcBorders>
              <w:top w:val="nil"/>
              <w:left w:val="nil"/>
              <w:bottom w:val="single" w:sz="4" w:space="0" w:color="auto"/>
              <w:right w:val="single" w:sz="4" w:space="0" w:color="auto"/>
            </w:tcBorders>
            <w:shd w:val="clear" w:color="auto" w:fill="auto"/>
            <w:hideMark/>
          </w:tcPr>
          <w:p w14:paraId="315769D4"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221,573 </w:t>
            </w:r>
          </w:p>
        </w:tc>
        <w:tc>
          <w:tcPr>
            <w:tcW w:w="1080" w:type="dxa"/>
            <w:tcBorders>
              <w:top w:val="nil"/>
              <w:left w:val="nil"/>
              <w:bottom w:val="single" w:sz="4" w:space="0" w:color="auto"/>
              <w:right w:val="single" w:sz="4" w:space="0" w:color="auto"/>
            </w:tcBorders>
            <w:shd w:val="clear" w:color="auto" w:fill="auto"/>
            <w:hideMark/>
          </w:tcPr>
          <w:p w14:paraId="0183BBFE"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90,877 </w:t>
            </w:r>
          </w:p>
        </w:tc>
        <w:tc>
          <w:tcPr>
            <w:tcW w:w="900" w:type="dxa"/>
            <w:tcBorders>
              <w:top w:val="nil"/>
              <w:left w:val="nil"/>
              <w:bottom w:val="single" w:sz="4" w:space="0" w:color="auto"/>
              <w:right w:val="single" w:sz="4" w:space="0" w:color="auto"/>
            </w:tcBorders>
            <w:shd w:val="clear" w:color="auto" w:fill="auto"/>
            <w:hideMark/>
          </w:tcPr>
          <w:p w14:paraId="35CFA7D0"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109,123 </w:t>
            </w:r>
          </w:p>
        </w:tc>
        <w:tc>
          <w:tcPr>
            <w:tcW w:w="990" w:type="dxa"/>
            <w:tcBorders>
              <w:top w:val="nil"/>
              <w:left w:val="nil"/>
              <w:bottom w:val="single" w:sz="4" w:space="0" w:color="auto"/>
              <w:right w:val="single" w:sz="4" w:space="0" w:color="auto"/>
            </w:tcBorders>
            <w:shd w:val="clear" w:color="auto" w:fill="auto"/>
            <w:hideMark/>
          </w:tcPr>
          <w:p w14:paraId="7A65944D"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200,000 </w:t>
            </w:r>
          </w:p>
        </w:tc>
        <w:tc>
          <w:tcPr>
            <w:tcW w:w="2520" w:type="dxa"/>
            <w:tcBorders>
              <w:top w:val="nil"/>
              <w:left w:val="nil"/>
              <w:bottom w:val="single" w:sz="4" w:space="0" w:color="auto"/>
              <w:right w:val="single" w:sz="4" w:space="0" w:color="auto"/>
            </w:tcBorders>
            <w:shd w:val="clear" w:color="auto" w:fill="auto"/>
            <w:hideMark/>
          </w:tcPr>
          <w:p w14:paraId="25F74D0E"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Acquisition cost-efficiencies </w:t>
            </w:r>
          </w:p>
        </w:tc>
        <w:tc>
          <w:tcPr>
            <w:tcW w:w="4730" w:type="dxa"/>
            <w:vMerge w:val="restart"/>
            <w:tcBorders>
              <w:top w:val="nil"/>
              <w:left w:val="single" w:sz="4" w:space="0" w:color="auto"/>
              <w:bottom w:val="single" w:sz="4" w:space="0" w:color="auto"/>
              <w:right w:val="double" w:sz="6" w:space="0" w:color="auto"/>
            </w:tcBorders>
            <w:shd w:val="clear" w:color="auto" w:fill="auto"/>
            <w:hideMark/>
          </w:tcPr>
          <w:p w14:paraId="492A2725" w14:textId="30625B8B" w:rsidR="005E0EF5" w:rsidRDefault="005E0EF5" w:rsidP="005E0EF5">
            <w:pPr>
              <w:spacing w:after="0" w:line="240" w:lineRule="auto"/>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Like staff cost, this too is a fixed cost, necessary to establish:</w:t>
            </w:r>
          </w:p>
          <w:p w14:paraId="712C8B1C" w14:textId="77777777" w:rsidR="005E0EF5" w:rsidRDefault="005E0EF5" w:rsidP="00552CA2">
            <w:pPr>
              <w:pStyle w:val="ListParagraph"/>
              <w:numPr>
                <w:ilvl w:val="0"/>
                <w:numId w:val="21"/>
              </w:numPr>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Programme implementation capacity</w:t>
            </w:r>
          </w:p>
          <w:p w14:paraId="54E194C0" w14:textId="77777777" w:rsidR="005E0EF5" w:rsidRPr="00EF1E32" w:rsidRDefault="005E0EF5" w:rsidP="00552CA2">
            <w:pPr>
              <w:pStyle w:val="ListParagraph"/>
              <w:numPr>
                <w:ilvl w:val="0"/>
                <w:numId w:val="21"/>
              </w:numPr>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Institutional controls across all support services.</w:t>
            </w:r>
          </w:p>
          <w:p w14:paraId="6D147306" w14:textId="77777777" w:rsidR="005E0EF5" w:rsidRDefault="005E0EF5" w:rsidP="005E0EF5">
            <w:pPr>
              <w:spacing w:after="0" w:line="240" w:lineRule="auto"/>
              <w:rPr>
                <w:rFonts w:ascii="Arial Narrow" w:eastAsia="Times New Roman" w:hAnsi="Arial Narrow" w:cs="Times New Roman"/>
                <w:b/>
                <w:color w:val="000000"/>
                <w:sz w:val="16"/>
                <w:szCs w:val="16"/>
              </w:rPr>
            </w:pPr>
            <w:r>
              <w:rPr>
                <w:rFonts w:ascii="Arial Narrow" w:eastAsia="Times New Roman" w:hAnsi="Arial Narrow" w:cs="Times New Roman"/>
                <w:color w:val="000000"/>
                <w:sz w:val="16"/>
                <w:szCs w:val="16"/>
              </w:rPr>
              <w:t>2</w:t>
            </w:r>
            <w:r w:rsidRPr="00EF1E32">
              <w:rPr>
                <w:rFonts w:ascii="Arial Narrow" w:eastAsia="Times New Roman" w:hAnsi="Arial Narrow" w:cs="Times New Roman"/>
                <w:color w:val="000000"/>
                <w:sz w:val="16"/>
                <w:szCs w:val="16"/>
              </w:rPr>
              <w:t>: This is the monetary cost</w:t>
            </w:r>
            <w:r>
              <w:rPr>
                <w:rFonts w:ascii="Arial Narrow" w:eastAsia="Times New Roman" w:hAnsi="Arial Narrow" w:cs="Times New Roman"/>
                <w:color w:val="000000"/>
                <w:sz w:val="16"/>
                <w:szCs w:val="16"/>
              </w:rPr>
              <w:t xml:space="preserve"> </w:t>
            </w:r>
            <w:r w:rsidRPr="00EF1E32">
              <w:rPr>
                <w:rFonts w:ascii="Arial Narrow" w:eastAsia="Times New Roman" w:hAnsi="Arial Narrow" w:cs="Times New Roman"/>
                <w:b/>
                <w:color w:val="000000"/>
                <w:sz w:val="16"/>
                <w:szCs w:val="16"/>
              </w:rPr>
              <w:t>(cost on Member States)</w:t>
            </w:r>
            <w:r w:rsidRPr="00EF1E32">
              <w:rPr>
                <w:rFonts w:ascii="Arial Narrow" w:eastAsia="Times New Roman" w:hAnsi="Arial Narrow" w:cs="Times New Roman"/>
                <w:color w:val="000000"/>
                <w:sz w:val="16"/>
                <w:szCs w:val="16"/>
              </w:rPr>
              <w:t xml:space="preserve">, required to receive </w:t>
            </w:r>
            <w:r>
              <w:rPr>
                <w:rFonts w:ascii="Arial Narrow" w:eastAsia="Times New Roman" w:hAnsi="Arial Narrow" w:cs="Times New Roman"/>
                <w:color w:val="000000"/>
                <w:sz w:val="16"/>
                <w:szCs w:val="16"/>
              </w:rPr>
              <w:t xml:space="preserve">US$52.9 million </w:t>
            </w:r>
            <w:r w:rsidRPr="00EF1E32">
              <w:rPr>
                <w:rFonts w:ascii="Arial Narrow" w:eastAsia="Times New Roman" w:hAnsi="Arial Narrow" w:cs="Times New Roman"/>
                <w:b/>
                <w:color w:val="000000"/>
                <w:sz w:val="16"/>
                <w:szCs w:val="16"/>
              </w:rPr>
              <w:t>(benefits to Member States)</w:t>
            </w:r>
            <w:r>
              <w:rPr>
                <w:rFonts w:ascii="Arial Narrow" w:eastAsia="Times New Roman" w:hAnsi="Arial Narrow" w:cs="Times New Roman"/>
                <w:b/>
                <w:color w:val="000000"/>
                <w:sz w:val="16"/>
                <w:szCs w:val="16"/>
              </w:rPr>
              <w:t>.</w:t>
            </w:r>
          </w:p>
          <w:p w14:paraId="448D8EE3" w14:textId="77777777" w:rsidR="005E0EF5" w:rsidRDefault="005E0EF5" w:rsidP="005E0EF5">
            <w:pPr>
              <w:spacing w:after="0" w:line="240" w:lineRule="auto"/>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 xml:space="preserve">3:  Without this investment, grant funding will be reduced. </w:t>
            </w:r>
          </w:p>
          <w:p w14:paraId="44150E33" w14:textId="27E2F6FE" w:rsidR="005E0EF5" w:rsidRDefault="005E0EF5" w:rsidP="005E0EF5">
            <w:pPr>
              <w:spacing w:after="0" w:line="240" w:lineRule="auto"/>
              <w:rPr>
                <w:rFonts w:ascii="Arial Narrow" w:eastAsia="Times New Roman" w:hAnsi="Arial Narrow" w:cs="Times New Roman"/>
                <w:b/>
                <w:color w:val="000000"/>
                <w:sz w:val="16"/>
                <w:szCs w:val="16"/>
              </w:rPr>
            </w:pPr>
          </w:p>
          <w:p w14:paraId="64037DFA" w14:textId="46B5B607" w:rsidR="005E0EF5" w:rsidRPr="005E0EF5" w:rsidRDefault="005E0EF5" w:rsidP="005E0EF5">
            <w:pPr>
              <w:spacing w:after="0" w:line="240" w:lineRule="auto"/>
              <w:rPr>
                <w:rFonts w:ascii="Arial Narrow" w:eastAsia="Times New Roman" w:hAnsi="Arial Narrow" w:cs="Times New Roman"/>
                <w:b/>
                <w:color w:val="000000"/>
                <w:sz w:val="16"/>
                <w:szCs w:val="16"/>
              </w:rPr>
            </w:pPr>
            <w:r w:rsidRPr="005E0EF5">
              <w:rPr>
                <w:rFonts w:ascii="Arial Narrow" w:eastAsia="Times New Roman" w:hAnsi="Arial Narrow" w:cs="Times New Roman"/>
                <w:b/>
                <w:color w:val="000000"/>
                <w:sz w:val="16"/>
                <w:szCs w:val="16"/>
              </w:rPr>
              <w:t xml:space="preserve">Conclusion and prospects: </w:t>
            </w:r>
          </w:p>
          <w:p w14:paraId="7504C1C0" w14:textId="77777777" w:rsidR="005E0EF5" w:rsidRDefault="005E0EF5" w:rsidP="005E0EF5">
            <w:pPr>
              <w:spacing w:after="0" w:line="240" w:lineRule="auto"/>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 xml:space="preserve">1: Continuous management controls, which include authorisation controls and cost acquisition controls ensure value for money. </w:t>
            </w:r>
          </w:p>
          <w:p w14:paraId="1B53C7F6" w14:textId="48A939A6" w:rsidR="00EF1E32" w:rsidRPr="00EF1E32" w:rsidRDefault="005E0EF5" w:rsidP="005E0EF5">
            <w:pPr>
              <w:spacing w:after="0" w:line="240" w:lineRule="auto"/>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 xml:space="preserve">2: To allow flexibility and management control, the allocations are assigned to the specific cost centers. </w:t>
            </w:r>
          </w:p>
        </w:tc>
      </w:tr>
      <w:tr w:rsidR="00EF1E32" w:rsidRPr="00EF1E32" w14:paraId="4A93A3D2" w14:textId="77777777" w:rsidTr="005E0EF5">
        <w:trPr>
          <w:trHeight w:val="608"/>
        </w:trPr>
        <w:tc>
          <w:tcPr>
            <w:tcW w:w="1048" w:type="dxa"/>
            <w:tcBorders>
              <w:top w:val="nil"/>
              <w:left w:val="double" w:sz="6" w:space="0" w:color="auto"/>
              <w:bottom w:val="single" w:sz="4" w:space="0" w:color="auto"/>
              <w:right w:val="single" w:sz="4" w:space="0" w:color="auto"/>
            </w:tcBorders>
            <w:shd w:val="clear" w:color="auto" w:fill="auto"/>
            <w:hideMark/>
          </w:tcPr>
          <w:p w14:paraId="22B33771"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IT Recurrent Costs</w:t>
            </w:r>
          </w:p>
        </w:tc>
        <w:tc>
          <w:tcPr>
            <w:tcW w:w="999" w:type="dxa"/>
            <w:tcBorders>
              <w:top w:val="nil"/>
              <w:left w:val="nil"/>
              <w:bottom w:val="single" w:sz="4" w:space="0" w:color="auto"/>
              <w:right w:val="single" w:sz="4" w:space="0" w:color="auto"/>
            </w:tcBorders>
            <w:shd w:val="clear" w:color="auto" w:fill="auto"/>
            <w:hideMark/>
          </w:tcPr>
          <w:p w14:paraId="50629DFA"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226,962 </w:t>
            </w:r>
          </w:p>
        </w:tc>
        <w:tc>
          <w:tcPr>
            <w:tcW w:w="1080" w:type="dxa"/>
            <w:tcBorders>
              <w:top w:val="nil"/>
              <w:left w:val="nil"/>
              <w:bottom w:val="single" w:sz="4" w:space="0" w:color="auto"/>
              <w:right w:val="single" w:sz="4" w:space="0" w:color="auto"/>
            </w:tcBorders>
            <w:shd w:val="clear" w:color="auto" w:fill="auto"/>
            <w:hideMark/>
          </w:tcPr>
          <w:p w14:paraId="725354F0"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342,393 </w:t>
            </w:r>
          </w:p>
        </w:tc>
        <w:tc>
          <w:tcPr>
            <w:tcW w:w="1080" w:type="dxa"/>
            <w:tcBorders>
              <w:top w:val="nil"/>
              <w:left w:val="nil"/>
              <w:bottom w:val="single" w:sz="4" w:space="0" w:color="auto"/>
              <w:right w:val="single" w:sz="4" w:space="0" w:color="auto"/>
            </w:tcBorders>
            <w:shd w:val="clear" w:color="auto" w:fill="auto"/>
            <w:hideMark/>
          </w:tcPr>
          <w:p w14:paraId="01EE6238"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194,707 </w:t>
            </w:r>
          </w:p>
        </w:tc>
        <w:tc>
          <w:tcPr>
            <w:tcW w:w="900" w:type="dxa"/>
            <w:tcBorders>
              <w:top w:val="nil"/>
              <w:left w:val="nil"/>
              <w:bottom w:val="single" w:sz="4" w:space="0" w:color="auto"/>
              <w:right w:val="single" w:sz="4" w:space="0" w:color="auto"/>
            </w:tcBorders>
            <w:shd w:val="clear" w:color="auto" w:fill="auto"/>
            <w:hideMark/>
          </w:tcPr>
          <w:p w14:paraId="313AA888"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196,793 </w:t>
            </w:r>
          </w:p>
        </w:tc>
        <w:tc>
          <w:tcPr>
            <w:tcW w:w="990" w:type="dxa"/>
            <w:tcBorders>
              <w:top w:val="nil"/>
              <w:left w:val="nil"/>
              <w:bottom w:val="single" w:sz="4" w:space="0" w:color="auto"/>
              <w:right w:val="single" w:sz="4" w:space="0" w:color="auto"/>
            </w:tcBorders>
            <w:shd w:val="clear" w:color="auto" w:fill="auto"/>
            <w:hideMark/>
          </w:tcPr>
          <w:p w14:paraId="32602700"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391,500 </w:t>
            </w:r>
          </w:p>
        </w:tc>
        <w:tc>
          <w:tcPr>
            <w:tcW w:w="2520" w:type="dxa"/>
            <w:tcBorders>
              <w:top w:val="nil"/>
              <w:left w:val="nil"/>
              <w:bottom w:val="single" w:sz="4" w:space="0" w:color="auto"/>
              <w:right w:val="single" w:sz="4" w:space="0" w:color="auto"/>
            </w:tcBorders>
            <w:shd w:val="clear" w:color="auto" w:fill="auto"/>
            <w:hideMark/>
          </w:tcPr>
          <w:p w14:paraId="2DC50152"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Acquisition cost-efficiencies </w:t>
            </w:r>
          </w:p>
        </w:tc>
        <w:tc>
          <w:tcPr>
            <w:tcW w:w="4730" w:type="dxa"/>
            <w:vMerge/>
            <w:tcBorders>
              <w:top w:val="nil"/>
              <w:left w:val="single" w:sz="4" w:space="0" w:color="auto"/>
              <w:bottom w:val="single" w:sz="4" w:space="0" w:color="auto"/>
              <w:right w:val="double" w:sz="6" w:space="0" w:color="auto"/>
            </w:tcBorders>
            <w:vAlign w:val="center"/>
            <w:hideMark/>
          </w:tcPr>
          <w:p w14:paraId="79D063DA"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p>
        </w:tc>
      </w:tr>
      <w:tr w:rsidR="00EF1E32" w:rsidRPr="00EF1E32" w14:paraId="1AD97950" w14:textId="77777777" w:rsidTr="005E0EF5">
        <w:trPr>
          <w:trHeight w:val="608"/>
        </w:trPr>
        <w:tc>
          <w:tcPr>
            <w:tcW w:w="1048" w:type="dxa"/>
            <w:tcBorders>
              <w:top w:val="nil"/>
              <w:left w:val="double" w:sz="6" w:space="0" w:color="auto"/>
              <w:bottom w:val="single" w:sz="4" w:space="0" w:color="auto"/>
              <w:right w:val="single" w:sz="4" w:space="0" w:color="auto"/>
            </w:tcBorders>
            <w:shd w:val="clear" w:color="auto" w:fill="auto"/>
            <w:hideMark/>
          </w:tcPr>
          <w:p w14:paraId="1D00926C"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Administration &amp; General Costs</w:t>
            </w:r>
          </w:p>
        </w:tc>
        <w:tc>
          <w:tcPr>
            <w:tcW w:w="999" w:type="dxa"/>
            <w:tcBorders>
              <w:top w:val="nil"/>
              <w:left w:val="nil"/>
              <w:bottom w:val="single" w:sz="4" w:space="0" w:color="auto"/>
              <w:right w:val="single" w:sz="4" w:space="0" w:color="auto"/>
            </w:tcBorders>
            <w:shd w:val="clear" w:color="auto" w:fill="auto"/>
            <w:hideMark/>
          </w:tcPr>
          <w:p w14:paraId="39FDF8A0"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815,402 </w:t>
            </w:r>
          </w:p>
        </w:tc>
        <w:tc>
          <w:tcPr>
            <w:tcW w:w="1080" w:type="dxa"/>
            <w:tcBorders>
              <w:top w:val="nil"/>
              <w:left w:val="nil"/>
              <w:bottom w:val="single" w:sz="4" w:space="0" w:color="auto"/>
              <w:right w:val="single" w:sz="4" w:space="0" w:color="auto"/>
            </w:tcBorders>
            <w:shd w:val="clear" w:color="auto" w:fill="auto"/>
            <w:hideMark/>
          </w:tcPr>
          <w:p w14:paraId="5F37DF3A"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750,026 </w:t>
            </w:r>
          </w:p>
        </w:tc>
        <w:tc>
          <w:tcPr>
            <w:tcW w:w="1080" w:type="dxa"/>
            <w:tcBorders>
              <w:top w:val="nil"/>
              <w:left w:val="nil"/>
              <w:bottom w:val="single" w:sz="4" w:space="0" w:color="auto"/>
              <w:right w:val="single" w:sz="4" w:space="0" w:color="auto"/>
            </w:tcBorders>
            <w:shd w:val="clear" w:color="auto" w:fill="auto"/>
            <w:hideMark/>
          </w:tcPr>
          <w:p w14:paraId="7D7B8A62"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235,745 </w:t>
            </w:r>
          </w:p>
        </w:tc>
        <w:tc>
          <w:tcPr>
            <w:tcW w:w="900" w:type="dxa"/>
            <w:tcBorders>
              <w:top w:val="nil"/>
              <w:left w:val="nil"/>
              <w:bottom w:val="single" w:sz="4" w:space="0" w:color="auto"/>
              <w:right w:val="single" w:sz="4" w:space="0" w:color="auto"/>
            </w:tcBorders>
            <w:shd w:val="clear" w:color="auto" w:fill="auto"/>
            <w:hideMark/>
          </w:tcPr>
          <w:p w14:paraId="0778DB66"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754,905 </w:t>
            </w:r>
          </w:p>
        </w:tc>
        <w:tc>
          <w:tcPr>
            <w:tcW w:w="990" w:type="dxa"/>
            <w:tcBorders>
              <w:top w:val="nil"/>
              <w:left w:val="nil"/>
              <w:bottom w:val="single" w:sz="4" w:space="0" w:color="auto"/>
              <w:right w:val="single" w:sz="4" w:space="0" w:color="auto"/>
            </w:tcBorders>
            <w:shd w:val="clear" w:color="auto" w:fill="auto"/>
            <w:hideMark/>
          </w:tcPr>
          <w:p w14:paraId="42858D07"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990,650 </w:t>
            </w:r>
          </w:p>
        </w:tc>
        <w:tc>
          <w:tcPr>
            <w:tcW w:w="2520" w:type="dxa"/>
            <w:tcBorders>
              <w:top w:val="nil"/>
              <w:left w:val="nil"/>
              <w:bottom w:val="single" w:sz="4" w:space="0" w:color="auto"/>
              <w:right w:val="single" w:sz="4" w:space="0" w:color="auto"/>
            </w:tcBorders>
            <w:shd w:val="clear" w:color="auto" w:fill="auto"/>
            <w:hideMark/>
          </w:tcPr>
          <w:p w14:paraId="18802F7F"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Acquisition cost-efficiencies </w:t>
            </w:r>
          </w:p>
        </w:tc>
        <w:tc>
          <w:tcPr>
            <w:tcW w:w="4730" w:type="dxa"/>
            <w:vMerge/>
            <w:tcBorders>
              <w:top w:val="nil"/>
              <w:left w:val="single" w:sz="4" w:space="0" w:color="auto"/>
              <w:bottom w:val="single" w:sz="4" w:space="0" w:color="auto"/>
              <w:right w:val="double" w:sz="6" w:space="0" w:color="auto"/>
            </w:tcBorders>
            <w:vAlign w:val="center"/>
            <w:hideMark/>
          </w:tcPr>
          <w:p w14:paraId="08AAC879"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p>
        </w:tc>
      </w:tr>
      <w:tr w:rsidR="00EF1E32" w:rsidRPr="00EF1E32" w14:paraId="69E2DDEE" w14:textId="77777777" w:rsidTr="005E0EF5">
        <w:trPr>
          <w:trHeight w:val="405"/>
        </w:trPr>
        <w:tc>
          <w:tcPr>
            <w:tcW w:w="1048" w:type="dxa"/>
            <w:tcBorders>
              <w:top w:val="nil"/>
              <w:left w:val="double" w:sz="6" w:space="0" w:color="auto"/>
              <w:bottom w:val="single" w:sz="4" w:space="0" w:color="auto"/>
              <w:right w:val="single" w:sz="4" w:space="0" w:color="auto"/>
            </w:tcBorders>
            <w:shd w:val="clear" w:color="auto" w:fill="auto"/>
            <w:hideMark/>
          </w:tcPr>
          <w:p w14:paraId="240FC41C"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Audit Costs</w:t>
            </w:r>
          </w:p>
        </w:tc>
        <w:tc>
          <w:tcPr>
            <w:tcW w:w="999" w:type="dxa"/>
            <w:tcBorders>
              <w:top w:val="nil"/>
              <w:left w:val="nil"/>
              <w:bottom w:val="single" w:sz="4" w:space="0" w:color="auto"/>
              <w:right w:val="single" w:sz="4" w:space="0" w:color="auto"/>
            </w:tcBorders>
            <w:shd w:val="clear" w:color="auto" w:fill="auto"/>
            <w:hideMark/>
          </w:tcPr>
          <w:p w14:paraId="0BE33C0B"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134,381 </w:t>
            </w:r>
          </w:p>
        </w:tc>
        <w:tc>
          <w:tcPr>
            <w:tcW w:w="1080" w:type="dxa"/>
            <w:tcBorders>
              <w:top w:val="nil"/>
              <w:left w:val="nil"/>
              <w:bottom w:val="single" w:sz="4" w:space="0" w:color="auto"/>
              <w:right w:val="single" w:sz="4" w:space="0" w:color="auto"/>
            </w:tcBorders>
            <w:shd w:val="clear" w:color="auto" w:fill="auto"/>
            <w:hideMark/>
          </w:tcPr>
          <w:p w14:paraId="27832B9E"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344,065 </w:t>
            </w:r>
          </w:p>
        </w:tc>
        <w:tc>
          <w:tcPr>
            <w:tcW w:w="1080" w:type="dxa"/>
            <w:tcBorders>
              <w:top w:val="nil"/>
              <w:left w:val="nil"/>
              <w:bottom w:val="single" w:sz="4" w:space="0" w:color="auto"/>
              <w:right w:val="single" w:sz="4" w:space="0" w:color="auto"/>
            </w:tcBorders>
            <w:shd w:val="clear" w:color="auto" w:fill="auto"/>
            <w:hideMark/>
          </w:tcPr>
          <w:p w14:paraId="6E2D1A06"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    </w:t>
            </w:r>
          </w:p>
        </w:tc>
        <w:tc>
          <w:tcPr>
            <w:tcW w:w="900" w:type="dxa"/>
            <w:tcBorders>
              <w:top w:val="nil"/>
              <w:left w:val="nil"/>
              <w:bottom w:val="single" w:sz="4" w:space="0" w:color="auto"/>
              <w:right w:val="single" w:sz="4" w:space="0" w:color="auto"/>
            </w:tcBorders>
            <w:shd w:val="clear" w:color="auto" w:fill="auto"/>
            <w:hideMark/>
          </w:tcPr>
          <w:p w14:paraId="534C38E9"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120,000 </w:t>
            </w:r>
          </w:p>
        </w:tc>
        <w:tc>
          <w:tcPr>
            <w:tcW w:w="990" w:type="dxa"/>
            <w:tcBorders>
              <w:top w:val="nil"/>
              <w:left w:val="nil"/>
              <w:bottom w:val="single" w:sz="4" w:space="0" w:color="auto"/>
              <w:right w:val="single" w:sz="4" w:space="0" w:color="auto"/>
            </w:tcBorders>
            <w:shd w:val="clear" w:color="auto" w:fill="auto"/>
            <w:hideMark/>
          </w:tcPr>
          <w:p w14:paraId="2E302FAB"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120,000 </w:t>
            </w:r>
          </w:p>
        </w:tc>
        <w:tc>
          <w:tcPr>
            <w:tcW w:w="2520" w:type="dxa"/>
            <w:tcBorders>
              <w:top w:val="nil"/>
              <w:left w:val="nil"/>
              <w:bottom w:val="single" w:sz="4" w:space="0" w:color="auto"/>
              <w:right w:val="single" w:sz="4" w:space="0" w:color="auto"/>
            </w:tcBorders>
            <w:shd w:val="clear" w:color="auto" w:fill="auto"/>
            <w:hideMark/>
          </w:tcPr>
          <w:p w14:paraId="09A1719D"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Terms and conditions </w:t>
            </w:r>
          </w:p>
        </w:tc>
        <w:tc>
          <w:tcPr>
            <w:tcW w:w="4730" w:type="dxa"/>
            <w:vMerge/>
            <w:tcBorders>
              <w:top w:val="nil"/>
              <w:left w:val="single" w:sz="4" w:space="0" w:color="auto"/>
              <w:bottom w:val="single" w:sz="4" w:space="0" w:color="auto"/>
              <w:right w:val="double" w:sz="6" w:space="0" w:color="auto"/>
            </w:tcBorders>
            <w:vAlign w:val="center"/>
            <w:hideMark/>
          </w:tcPr>
          <w:p w14:paraId="11905A3F"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p>
        </w:tc>
      </w:tr>
      <w:tr w:rsidR="00EF1E32" w:rsidRPr="00EF1E32" w14:paraId="679EE41A" w14:textId="77777777" w:rsidTr="005E0EF5">
        <w:trPr>
          <w:trHeight w:val="608"/>
        </w:trPr>
        <w:tc>
          <w:tcPr>
            <w:tcW w:w="1048" w:type="dxa"/>
            <w:tcBorders>
              <w:top w:val="nil"/>
              <w:left w:val="double" w:sz="6" w:space="0" w:color="auto"/>
              <w:bottom w:val="single" w:sz="4" w:space="0" w:color="auto"/>
              <w:right w:val="single" w:sz="4" w:space="0" w:color="auto"/>
            </w:tcBorders>
            <w:shd w:val="clear" w:color="auto" w:fill="auto"/>
            <w:hideMark/>
          </w:tcPr>
          <w:p w14:paraId="3F68D265"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Finance Costs</w:t>
            </w:r>
          </w:p>
        </w:tc>
        <w:tc>
          <w:tcPr>
            <w:tcW w:w="999" w:type="dxa"/>
            <w:tcBorders>
              <w:top w:val="nil"/>
              <w:left w:val="nil"/>
              <w:bottom w:val="single" w:sz="4" w:space="0" w:color="auto"/>
              <w:right w:val="single" w:sz="4" w:space="0" w:color="auto"/>
            </w:tcBorders>
            <w:shd w:val="clear" w:color="auto" w:fill="auto"/>
            <w:hideMark/>
          </w:tcPr>
          <w:p w14:paraId="335C4BDA"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54,377 </w:t>
            </w:r>
          </w:p>
        </w:tc>
        <w:tc>
          <w:tcPr>
            <w:tcW w:w="1080" w:type="dxa"/>
            <w:tcBorders>
              <w:top w:val="nil"/>
              <w:left w:val="nil"/>
              <w:bottom w:val="single" w:sz="4" w:space="0" w:color="auto"/>
              <w:right w:val="single" w:sz="4" w:space="0" w:color="auto"/>
            </w:tcBorders>
            <w:shd w:val="clear" w:color="auto" w:fill="auto"/>
            <w:hideMark/>
          </w:tcPr>
          <w:p w14:paraId="76D6B7E5"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74,554 </w:t>
            </w:r>
          </w:p>
        </w:tc>
        <w:tc>
          <w:tcPr>
            <w:tcW w:w="1080" w:type="dxa"/>
            <w:tcBorders>
              <w:top w:val="nil"/>
              <w:left w:val="nil"/>
              <w:bottom w:val="single" w:sz="4" w:space="0" w:color="auto"/>
              <w:right w:val="single" w:sz="4" w:space="0" w:color="auto"/>
            </w:tcBorders>
            <w:shd w:val="clear" w:color="auto" w:fill="auto"/>
            <w:hideMark/>
          </w:tcPr>
          <w:p w14:paraId="2659B3E5"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23,110 </w:t>
            </w:r>
          </w:p>
        </w:tc>
        <w:tc>
          <w:tcPr>
            <w:tcW w:w="900" w:type="dxa"/>
            <w:tcBorders>
              <w:top w:val="nil"/>
              <w:left w:val="nil"/>
              <w:bottom w:val="single" w:sz="4" w:space="0" w:color="auto"/>
              <w:right w:val="single" w:sz="4" w:space="0" w:color="auto"/>
            </w:tcBorders>
            <w:shd w:val="clear" w:color="auto" w:fill="auto"/>
            <w:hideMark/>
          </w:tcPr>
          <w:p w14:paraId="5A571AA7"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36,890 </w:t>
            </w:r>
          </w:p>
        </w:tc>
        <w:tc>
          <w:tcPr>
            <w:tcW w:w="990" w:type="dxa"/>
            <w:tcBorders>
              <w:top w:val="nil"/>
              <w:left w:val="nil"/>
              <w:bottom w:val="single" w:sz="4" w:space="0" w:color="auto"/>
              <w:right w:val="single" w:sz="4" w:space="0" w:color="auto"/>
            </w:tcBorders>
            <w:shd w:val="clear" w:color="auto" w:fill="auto"/>
            <w:hideMark/>
          </w:tcPr>
          <w:p w14:paraId="5AA656ED"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60,000 </w:t>
            </w:r>
          </w:p>
        </w:tc>
        <w:tc>
          <w:tcPr>
            <w:tcW w:w="2520" w:type="dxa"/>
            <w:tcBorders>
              <w:top w:val="nil"/>
              <w:left w:val="nil"/>
              <w:bottom w:val="single" w:sz="4" w:space="0" w:color="auto"/>
              <w:right w:val="single" w:sz="4" w:space="0" w:color="auto"/>
            </w:tcBorders>
            <w:shd w:val="clear" w:color="auto" w:fill="auto"/>
            <w:hideMark/>
          </w:tcPr>
          <w:p w14:paraId="3A61AF45"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Acquisition cost-efficiencies </w:t>
            </w:r>
          </w:p>
        </w:tc>
        <w:tc>
          <w:tcPr>
            <w:tcW w:w="4730" w:type="dxa"/>
            <w:vMerge/>
            <w:tcBorders>
              <w:top w:val="nil"/>
              <w:left w:val="single" w:sz="4" w:space="0" w:color="auto"/>
              <w:bottom w:val="single" w:sz="4" w:space="0" w:color="auto"/>
              <w:right w:val="double" w:sz="6" w:space="0" w:color="auto"/>
            </w:tcBorders>
            <w:vAlign w:val="center"/>
            <w:hideMark/>
          </w:tcPr>
          <w:p w14:paraId="508DB67E"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p>
        </w:tc>
      </w:tr>
      <w:tr w:rsidR="00EF1E32" w:rsidRPr="00EF1E32" w14:paraId="4283C877" w14:textId="77777777" w:rsidTr="005E0EF5">
        <w:trPr>
          <w:trHeight w:val="608"/>
        </w:trPr>
        <w:tc>
          <w:tcPr>
            <w:tcW w:w="1048" w:type="dxa"/>
            <w:tcBorders>
              <w:top w:val="nil"/>
              <w:left w:val="double" w:sz="6" w:space="0" w:color="auto"/>
              <w:bottom w:val="single" w:sz="4" w:space="0" w:color="auto"/>
              <w:right w:val="single" w:sz="4" w:space="0" w:color="auto"/>
            </w:tcBorders>
            <w:shd w:val="clear" w:color="auto" w:fill="auto"/>
            <w:hideMark/>
          </w:tcPr>
          <w:p w14:paraId="55A19B9A"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Capital Budget </w:t>
            </w:r>
          </w:p>
        </w:tc>
        <w:tc>
          <w:tcPr>
            <w:tcW w:w="999" w:type="dxa"/>
            <w:tcBorders>
              <w:top w:val="nil"/>
              <w:left w:val="nil"/>
              <w:bottom w:val="single" w:sz="4" w:space="0" w:color="auto"/>
              <w:right w:val="single" w:sz="4" w:space="0" w:color="auto"/>
            </w:tcBorders>
            <w:shd w:val="clear" w:color="auto" w:fill="auto"/>
            <w:hideMark/>
          </w:tcPr>
          <w:p w14:paraId="33DB3AD6"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346,102 </w:t>
            </w:r>
          </w:p>
        </w:tc>
        <w:tc>
          <w:tcPr>
            <w:tcW w:w="1080" w:type="dxa"/>
            <w:tcBorders>
              <w:top w:val="nil"/>
              <w:left w:val="nil"/>
              <w:bottom w:val="single" w:sz="4" w:space="0" w:color="auto"/>
              <w:right w:val="single" w:sz="4" w:space="0" w:color="auto"/>
            </w:tcBorders>
            <w:shd w:val="clear" w:color="auto" w:fill="auto"/>
            <w:hideMark/>
          </w:tcPr>
          <w:p w14:paraId="7C6D000D"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377,177 </w:t>
            </w:r>
          </w:p>
        </w:tc>
        <w:tc>
          <w:tcPr>
            <w:tcW w:w="1080" w:type="dxa"/>
            <w:tcBorders>
              <w:top w:val="nil"/>
              <w:left w:val="nil"/>
              <w:bottom w:val="single" w:sz="4" w:space="0" w:color="auto"/>
              <w:right w:val="single" w:sz="4" w:space="0" w:color="auto"/>
            </w:tcBorders>
            <w:shd w:val="clear" w:color="auto" w:fill="auto"/>
            <w:hideMark/>
          </w:tcPr>
          <w:p w14:paraId="7CA7EA88"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130,997 </w:t>
            </w:r>
          </w:p>
        </w:tc>
        <w:tc>
          <w:tcPr>
            <w:tcW w:w="900" w:type="dxa"/>
            <w:tcBorders>
              <w:top w:val="nil"/>
              <w:left w:val="nil"/>
              <w:bottom w:val="single" w:sz="4" w:space="0" w:color="auto"/>
              <w:right w:val="single" w:sz="4" w:space="0" w:color="auto"/>
            </w:tcBorders>
            <w:shd w:val="clear" w:color="auto" w:fill="auto"/>
            <w:hideMark/>
          </w:tcPr>
          <w:p w14:paraId="50DD4E54"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61,503 </w:t>
            </w:r>
          </w:p>
        </w:tc>
        <w:tc>
          <w:tcPr>
            <w:tcW w:w="990" w:type="dxa"/>
            <w:tcBorders>
              <w:top w:val="nil"/>
              <w:left w:val="nil"/>
              <w:bottom w:val="single" w:sz="4" w:space="0" w:color="auto"/>
              <w:right w:val="single" w:sz="4" w:space="0" w:color="auto"/>
            </w:tcBorders>
            <w:shd w:val="clear" w:color="auto" w:fill="auto"/>
            <w:hideMark/>
          </w:tcPr>
          <w:p w14:paraId="5512CE25"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192,500 </w:t>
            </w:r>
          </w:p>
        </w:tc>
        <w:tc>
          <w:tcPr>
            <w:tcW w:w="2520" w:type="dxa"/>
            <w:tcBorders>
              <w:top w:val="nil"/>
              <w:left w:val="nil"/>
              <w:bottom w:val="single" w:sz="4" w:space="0" w:color="auto"/>
              <w:right w:val="single" w:sz="4" w:space="0" w:color="auto"/>
            </w:tcBorders>
            <w:shd w:val="clear" w:color="auto" w:fill="auto"/>
            <w:hideMark/>
          </w:tcPr>
          <w:p w14:paraId="4D7B5548"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Acquisition cost-efficiencies </w:t>
            </w:r>
          </w:p>
        </w:tc>
        <w:tc>
          <w:tcPr>
            <w:tcW w:w="4730" w:type="dxa"/>
            <w:vMerge/>
            <w:tcBorders>
              <w:top w:val="nil"/>
              <w:left w:val="single" w:sz="4" w:space="0" w:color="auto"/>
              <w:bottom w:val="single" w:sz="4" w:space="0" w:color="auto"/>
              <w:right w:val="double" w:sz="6" w:space="0" w:color="auto"/>
            </w:tcBorders>
            <w:vAlign w:val="center"/>
            <w:hideMark/>
          </w:tcPr>
          <w:p w14:paraId="0F837DF5"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p>
        </w:tc>
      </w:tr>
      <w:tr w:rsidR="00EF1E32" w:rsidRPr="00EF1E32" w14:paraId="6C6315B8" w14:textId="77777777" w:rsidTr="005E0EF5">
        <w:trPr>
          <w:trHeight w:val="293"/>
        </w:trPr>
        <w:tc>
          <w:tcPr>
            <w:tcW w:w="1048" w:type="dxa"/>
            <w:tcBorders>
              <w:top w:val="nil"/>
              <w:left w:val="double" w:sz="6" w:space="0" w:color="auto"/>
              <w:bottom w:val="double" w:sz="6" w:space="0" w:color="auto"/>
              <w:right w:val="single" w:sz="4" w:space="0" w:color="auto"/>
            </w:tcBorders>
            <w:shd w:val="clear" w:color="auto" w:fill="auto"/>
            <w:noWrap/>
            <w:hideMark/>
          </w:tcPr>
          <w:p w14:paraId="54AE5A5E" w14:textId="77777777" w:rsidR="00EF1E32" w:rsidRPr="00EF1E32" w:rsidRDefault="00EF1E32" w:rsidP="00EF1E32">
            <w:pPr>
              <w:spacing w:after="0" w:line="240" w:lineRule="auto"/>
              <w:rPr>
                <w:rFonts w:ascii="Calibri" w:eastAsia="Times New Roman" w:hAnsi="Calibri" w:cs="Times New Roman"/>
                <w:color w:val="000000"/>
              </w:rPr>
            </w:pPr>
            <w:r w:rsidRPr="00EF1E32">
              <w:rPr>
                <w:rFonts w:ascii="Calibri" w:eastAsia="Times New Roman" w:hAnsi="Calibri" w:cs="Times New Roman"/>
                <w:color w:val="000000"/>
              </w:rPr>
              <w:t xml:space="preserve">Total </w:t>
            </w:r>
          </w:p>
        </w:tc>
        <w:tc>
          <w:tcPr>
            <w:tcW w:w="999" w:type="dxa"/>
            <w:tcBorders>
              <w:top w:val="nil"/>
              <w:left w:val="nil"/>
              <w:bottom w:val="double" w:sz="6" w:space="0" w:color="auto"/>
              <w:right w:val="single" w:sz="4" w:space="0" w:color="auto"/>
            </w:tcBorders>
            <w:shd w:val="clear" w:color="auto" w:fill="auto"/>
            <w:hideMark/>
          </w:tcPr>
          <w:p w14:paraId="3FCD9985"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12,748,477 </w:t>
            </w:r>
          </w:p>
        </w:tc>
        <w:tc>
          <w:tcPr>
            <w:tcW w:w="1080" w:type="dxa"/>
            <w:tcBorders>
              <w:top w:val="nil"/>
              <w:left w:val="nil"/>
              <w:bottom w:val="double" w:sz="6" w:space="0" w:color="auto"/>
              <w:right w:val="single" w:sz="4" w:space="0" w:color="auto"/>
            </w:tcBorders>
            <w:shd w:val="clear" w:color="auto" w:fill="auto"/>
            <w:hideMark/>
          </w:tcPr>
          <w:p w14:paraId="4D876732"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15,056,981 </w:t>
            </w:r>
          </w:p>
        </w:tc>
        <w:tc>
          <w:tcPr>
            <w:tcW w:w="1080" w:type="dxa"/>
            <w:tcBorders>
              <w:top w:val="nil"/>
              <w:left w:val="nil"/>
              <w:bottom w:val="double" w:sz="6" w:space="0" w:color="auto"/>
              <w:right w:val="single" w:sz="4" w:space="0" w:color="auto"/>
            </w:tcBorders>
            <w:shd w:val="clear" w:color="auto" w:fill="auto"/>
            <w:hideMark/>
          </w:tcPr>
          <w:p w14:paraId="5E8EC7DF"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5,820,921 </w:t>
            </w:r>
          </w:p>
        </w:tc>
        <w:tc>
          <w:tcPr>
            <w:tcW w:w="900" w:type="dxa"/>
            <w:tcBorders>
              <w:top w:val="nil"/>
              <w:left w:val="nil"/>
              <w:bottom w:val="double" w:sz="6" w:space="0" w:color="auto"/>
              <w:right w:val="single" w:sz="4" w:space="0" w:color="auto"/>
            </w:tcBorders>
            <w:shd w:val="clear" w:color="auto" w:fill="auto"/>
            <w:hideMark/>
          </w:tcPr>
          <w:p w14:paraId="2696A6A1"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9,781,606 </w:t>
            </w:r>
          </w:p>
        </w:tc>
        <w:tc>
          <w:tcPr>
            <w:tcW w:w="990" w:type="dxa"/>
            <w:tcBorders>
              <w:top w:val="nil"/>
              <w:left w:val="nil"/>
              <w:bottom w:val="double" w:sz="6" w:space="0" w:color="auto"/>
              <w:right w:val="single" w:sz="4" w:space="0" w:color="auto"/>
            </w:tcBorders>
            <w:shd w:val="clear" w:color="auto" w:fill="auto"/>
            <w:hideMark/>
          </w:tcPr>
          <w:p w14:paraId="7C83488C"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xml:space="preserve"> 15,602,527 </w:t>
            </w:r>
          </w:p>
        </w:tc>
        <w:tc>
          <w:tcPr>
            <w:tcW w:w="2520" w:type="dxa"/>
            <w:tcBorders>
              <w:top w:val="nil"/>
              <w:left w:val="nil"/>
              <w:bottom w:val="double" w:sz="6" w:space="0" w:color="auto"/>
              <w:right w:val="single" w:sz="4" w:space="0" w:color="auto"/>
            </w:tcBorders>
            <w:shd w:val="clear" w:color="auto" w:fill="auto"/>
            <w:hideMark/>
          </w:tcPr>
          <w:p w14:paraId="53832FCC" w14:textId="77777777" w:rsidR="00EF1E32" w:rsidRPr="00EF1E32" w:rsidRDefault="00EF1E32" w:rsidP="00EF1E32">
            <w:pPr>
              <w:spacing w:after="0" w:line="240" w:lineRule="auto"/>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w:t>
            </w:r>
          </w:p>
        </w:tc>
        <w:tc>
          <w:tcPr>
            <w:tcW w:w="4730" w:type="dxa"/>
            <w:tcBorders>
              <w:top w:val="nil"/>
              <w:left w:val="nil"/>
              <w:bottom w:val="double" w:sz="6" w:space="0" w:color="auto"/>
              <w:right w:val="double" w:sz="6" w:space="0" w:color="auto"/>
            </w:tcBorders>
            <w:shd w:val="clear" w:color="auto" w:fill="auto"/>
            <w:hideMark/>
          </w:tcPr>
          <w:p w14:paraId="6ACD9892" w14:textId="77777777" w:rsidR="00EF1E32" w:rsidRPr="00EF1E32" w:rsidRDefault="00EF1E32" w:rsidP="00EF1E32">
            <w:pPr>
              <w:spacing w:after="0" w:line="240" w:lineRule="auto"/>
              <w:jc w:val="right"/>
              <w:rPr>
                <w:rFonts w:ascii="Arial Narrow" w:eastAsia="Times New Roman" w:hAnsi="Arial Narrow" w:cs="Times New Roman"/>
                <w:color w:val="000000"/>
                <w:sz w:val="16"/>
                <w:szCs w:val="16"/>
              </w:rPr>
            </w:pPr>
            <w:r w:rsidRPr="00EF1E32">
              <w:rPr>
                <w:rFonts w:ascii="Arial Narrow" w:eastAsia="Times New Roman" w:hAnsi="Arial Narrow" w:cs="Times New Roman"/>
                <w:color w:val="000000"/>
                <w:sz w:val="16"/>
                <w:szCs w:val="16"/>
              </w:rPr>
              <w:t> </w:t>
            </w:r>
          </w:p>
        </w:tc>
      </w:tr>
    </w:tbl>
    <w:p w14:paraId="57324F07" w14:textId="4EDF620C" w:rsidR="00EF1E32" w:rsidRDefault="00EF1E32" w:rsidP="00132717">
      <w:pPr>
        <w:rPr>
          <w:b/>
        </w:rPr>
        <w:sectPr w:rsidR="00EF1E32" w:rsidSect="00EF1E32">
          <w:headerReference w:type="default" r:id="rId21"/>
          <w:pgSz w:w="16838" w:h="11906" w:orient="landscape"/>
          <w:pgMar w:top="450" w:right="1440" w:bottom="1440" w:left="1440" w:header="708" w:footer="708" w:gutter="0"/>
          <w:cols w:space="708"/>
          <w:docGrid w:linePitch="360"/>
        </w:sectPr>
      </w:pPr>
    </w:p>
    <w:p w14:paraId="0AC30738" w14:textId="45C9A24E" w:rsidR="00132717" w:rsidRPr="00132717" w:rsidRDefault="00132717" w:rsidP="00132717">
      <w:pPr>
        <w:rPr>
          <w:b/>
        </w:rPr>
      </w:pPr>
      <w:r w:rsidRPr="00132717">
        <w:rPr>
          <w:b/>
        </w:rPr>
        <w:lastRenderedPageBreak/>
        <w:t xml:space="preserve">Utilisation of </w:t>
      </w:r>
      <w:r w:rsidR="00781888">
        <w:rPr>
          <w:b/>
        </w:rPr>
        <w:t xml:space="preserve">Grants </w:t>
      </w:r>
      <w:r w:rsidRPr="00132717">
        <w:rPr>
          <w:b/>
        </w:rPr>
        <w:t>fund</w:t>
      </w:r>
      <w:r w:rsidR="00781888">
        <w:rPr>
          <w:b/>
        </w:rPr>
        <w:t xml:space="preserve">ing </w:t>
      </w:r>
    </w:p>
    <w:p w14:paraId="76F8B3E6" w14:textId="03A2C785" w:rsidR="00132717" w:rsidRDefault="00781888" w:rsidP="00552CA2">
      <w:pPr>
        <w:pStyle w:val="ListParagraph"/>
        <w:numPr>
          <w:ilvl w:val="0"/>
          <w:numId w:val="4"/>
        </w:numPr>
        <w:tabs>
          <w:tab w:val="left" w:pos="720"/>
        </w:tabs>
        <w:ind w:left="0" w:firstLine="0"/>
        <w:jc w:val="both"/>
        <w:rPr>
          <w:rFonts w:ascii="Arial" w:hAnsi="Arial" w:cs="Arial"/>
        </w:rPr>
      </w:pPr>
      <w:r>
        <w:rPr>
          <w:rFonts w:ascii="Arial" w:hAnsi="Arial" w:cs="Arial"/>
        </w:rPr>
        <w:t>Measures are being taken to improve utilisation of funds appropriated under grants. Low implementation rates were recorded in first half of 2019. Improvements aimed at better planning and streamlining of implementation will result higher utilisation levels in the second half of 2019.</w:t>
      </w:r>
    </w:p>
    <w:p w14:paraId="16CCFA48" w14:textId="77777777" w:rsidR="00781888" w:rsidRDefault="00781888" w:rsidP="00781888">
      <w:pPr>
        <w:pStyle w:val="ListParagraph"/>
        <w:tabs>
          <w:tab w:val="left" w:pos="720"/>
        </w:tabs>
        <w:ind w:left="0"/>
        <w:jc w:val="both"/>
        <w:rPr>
          <w:rFonts w:ascii="Arial" w:hAnsi="Arial" w:cs="Arial"/>
        </w:rPr>
      </w:pPr>
    </w:p>
    <w:p w14:paraId="3383CB95" w14:textId="1D4FB657" w:rsidR="00781888" w:rsidRDefault="00781888" w:rsidP="00552CA2">
      <w:pPr>
        <w:pStyle w:val="ListParagraph"/>
        <w:numPr>
          <w:ilvl w:val="0"/>
          <w:numId w:val="4"/>
        </w:numPr>
        <w:tabs>
          <w:tab w:val="left" w:pos="720"/>
        </w:tabs>
        <w:ind w:left="0" w:firstLine="0"/>
        <w:jc w:val="both"/>
        <w:rPr>
          <w:rFonts w:ascii="Arial" w:hAnsi="Arial" w:cs="Arial"/>
        </w:rPr>
      </w:pPr>
      <w:r>
        <w:rPr>
          <w:rFonts w:ascii="Arial" w:hAnsi="Arial" w:cs="Arial"/>
        </w:rPr>
        <w:t>Notwithstanding the above, the Secretariat will circulate the revised Grant spending financial report for the nine (9) months period to September 2019.</w:t>
      </w:r>
    </w:p>
    <w:p w14:paraId="6EDB4A3C" w14:textId="77777777" w:rsidR="00781888" w:rsidRDefault="00781888" w:rsidP="00F82BA5">
      <w:pPr>
        <w:pStyle w:val="Heading2"/>
        <w:tabs>
          <w:tab w:val="left" w:pos="720"/>
        </w:tabs>
        <w:rPr>
          <w:rFonts w:ascii="Arial" w:eastAsia="Times New Roman" w:hAnsi="Arial" w:cs="Arial"/>
          <w:sz w:val="22"/>
          <w:szCs w:val="22"/>
        </w:rPr>
      </w:pPr>
    </w:p>
    <w:p w14:paraId="67D8717D" w14:textId="1612EB58" w:rsidR="00F82BA5" w:rsidRPr="0009691A" w:rsidRDefault="009F4A69" w:rsidP="00F82BA5">
      <w:pPr>
        <w:pStyle w:val="Heading2"/>
        <w:tabs>
          <w:tab w:val="left" w:pos="720"/>
        </w:tabs>
        <w:rPr>
          <w:rFonts w:ascii="Arial" w:eastAsia="Arial" w:hAnsi="Arial" w:cs="Arial"/>
          <w:sz w:val="22"/>
          <w:szCs w:val="22"/>
        </w:rPr>
      </w:pPr>
      <w:bookmarkStart w:id="15" w:name="_Toc23006787"/>
      <w:r>
        <w:rPr>
          <w:rFonts w:ascii="Arial" w:eastAsia="Times New Roman" w:hAnsi="Arial" w:cs="Arial"/>
          <w:sz w:val="22"/>
          <w:szCs w:val="22"/>
        </w:rPr>
        <w:t>A5</w:t>
      </w:r>
      <w:r w:rsidR="000C6B33" w:rsidRPr="0009691A">
        <w:rPr>
          <w:rFonts w:ascii="Arial" w:eastAsia="Times New Roman" w:hAnsi="Arial" w:cs="Arial"/>
          <w:sz w:val="22"/>
          <w:szCs w:val="22"/>
        </w:rPr>
        <w:t>:</w:t>
      </w:r>
      <w:r w:rsidR="000C6B33" w:rsidRPr="0009691A">
        <w:rPr>
          <w:rFonts w:ascii="Arial" w:eastAsia="Times New Roman" w:hAnsi="Arial" w:cs="Arial"/>
          <w:sz w:val="22"/>
          <w:szCs w:val="22"/>
        </w:rPr>
        <w:tab/>
      </w:r>
      <w:bookmarkStart w:id="16" w:name="_Toc526999492"/>
      <w:r w:rsidR="00C563F4">
        <w:rPr>
          <w:rFonts w:ascii="Arial" w:eastAsia="Arial" w:hAnsi="Arial" w:cs="Arial"/>
          <w:sz w:val="22"/>
          <w:szCs w:val="22"/>
        </w:rPr>
        <w:t>2020</w:t>
      </w:r>
      <w:r w:rsidR="00F82BA5" w:rsidRPr="0009691A">
        <w:rPr>
          <w:rFonts w:ascii="Arial" w:eastAsia="Arial" w:hAnsi="Arial" w:cs="Arial"/>
          <w:sz w:val="22"/>
          <w:szCs w:val="22"/>
        </w:rPr>
        <w:t xml:space="preserve"> Priorities and </w:t>
      </w:r>
      <w:bookmarkEnd w:id="16"/>
      <w:r w:rsidR="00563950" w:rsidRPr="0009691A">
        <w:rPr>
          <w:rFonts w:ascii="Arial" w:eastAsia="Arial" w:hAnsi="Arial" w:cs="Arial"/>
          <w:sz w:val="22"/>
          <w:szCs w:val="22"/>
        </w:rPr>
        <w:t>interventions</w:t>
      </w:r>
      <w:bookmarkEnd w:id="15"/>
    </w:p>
    <w:p w14:paraId="0CC2ECB8" w14:textId="77777777" w:rsidR="00860392" w:rsidRDefault="00860392" w:rsidP="00860392">
      <w:pPr>
        <w:pStyle w:val="Heading3"/>
        <w:rPr>
          <w:sz w:val="22"/>
          <w:szCs w:val="22"/>
        </w:rPr>
      </w:pPr>
    </w:p>
    <w:p w14:paraId="1ABEC2CF" w14:textId="301AFDBB" w:rsidR="00860392" w:rsidRPr="0009691A" w:rsidRDefault="00860392" w:rsidP="00860392">
      <w:pPr>
        <w:pStyle w:val="Heading3"/>
        <w:rPr>
          <w:sz w:val="22"/>
          <w:szCs w:val="22"/>
        </w:rPr>
      </w:pPr>
      <w:bookmarkStart w:id="17" w:name="_Toc23006788"/>
      <w:r>
        <w:rPr>
          <w:sz w:val="22"/>
          <w:szCs w:val="22"/>
        </w:rPr>
        <w:t>Strategic objectives</w:t>
      </w:r>
      <w:r w:rsidR="00265122">
        <w:rPr>
          <w:sz w:val="22"/>
          <w:szCs w:val="22"/>
        </w:rPr>
        <w:t xml:space="preserve"> re-affirmed by on-going Medium-Term Strategic Plan review</w:t>
      </w:r>
      <w:bookmarkEnd w:id="17"/>
    </w:p>
    <w:p w14:paraId="4A2D39D9" w14:textId="77777777" w:rsidR="00307F98" w:rsidRPr="0009691A" w:rsidRDefault="00307F98" w:rsidP="00552CA2">
      <w:pPr>
        <w:pStyle w:val="ListParagraph"/>
        <w:numPr>
          <w:ilvl w:val="0"/>
          <w:numId w:val="4"/>
        </w:numPr>
        <w:tabs>
          <w:tab w:val="left" w:pos="720"/>
        </w:tabs>
        <w:ind w:left="0" w:firstLine="0"/>
        <w:jc w:val="both"/>
        <w:rPr>
          <w:rFonts w:ascii="Arial" w:hAnsi="Arial" w:cs="Arial"/>
        </w:rPr>
      </w:pPr>
      <w:r w:rsidRPr="0009691A">
        <w:rPr>
          <w:rFonts w:ascii="Arial" w:hAnsi="Arial" w:cs="Arial"/>
        </w:rPr>
        <w:t xml:space="preserve">In developing the </w:t>
      </w:r>
      <w:r w:rsidR="00C563F4">
        <w:rPr>
          <w:rFonts w:ascii="Arial" w:hAnsi="Arial" w:cs="Arial"/>
        </w:rPr>
        <w:t>2020</w:t>
      </w:r>
      <w:r w:rsidRPr="0009691A">
        <w:rPr>
          <w:rFonts w:ascii="Arial" w:hAnsi="Arial" w:cs="Arial"/>
        </w:rPr>
        <w:t xml:space="preserve"> Work Programme, the Secretariat has been guided by the Treaty, Summit and Council decisions, Vision and Mission and the Medium</w:t>
      </w:r>
      <w:r w:rsidR="0077521D">
        <w:rPr>
          <w:rFonts w:ascii="Arial" w:hAnsi="Arial" w:cs="Arial"/>
        </w:rPr>
        <w:t>-</w:t>
      </w:r>
      <w:r w:rsidRPr="0009691A">
        <w:rPr>
          <w:rFonts w:ascii="Arial" w:hAnsi="Arial" w:cs="Arial"/>
        </w:rPr>
        <w:t xml:space="preserve">Term Strategic Plan 2016 to 2020 of COMESA. </w:t>
      </w:r>
    </w:p>
    <w:p w14:paraId="441116F8" w14:textId="77777777" w:rsidR="00307F98" w:rsidRPr="0009691A" w:rsidRDefault="00307F98" w:rsidP="00307F98">
      <w:pPr>
        <w:pStyle w:val="ListParagraph"/>
        <w:tabs>
          <w:tab w:val="left" w:pos="720"/>
        </w:tabs>
        <w:ind w:left="0"/>
        <w:jc w:val="both"/>
        <w:rPr>
          <w:rFonts w:ascii="Arial" w:hAnsi="Arial" w:cs="Arial"/>
        </w:rPr>
      </w:pPr>
    </w:p>
    <w:p w14:paraId="5EAAF977" w14:textId="77777777" w:rsidR="00307F98" w:rsidRPr="0009691A" w:rsidRDefault="00307F98" w:rsidP="00552CA2">
      <w:pPr>
        <w:pStyle w:val="ListParagraph"/>
        <w:numPr>
          <w:ilvl w:val="0"/>
          <w:numId w:val="4"/>
        </w:numPr>
        <w:tabs>
          <w:tab w:val="left" w:pos="720"/>
        </w:tabs>
        <w:ind w:left="0" w:firstLine="0"/>
        <w:jc w:val="both"/>
        <w:rPr>
          <w:rFonts w:ascii="Arial" w:hAnsi="Arial" w:cs="Arial"/>
        </w:rPr>
      </w:pPr>
      <w:r w:rsidRPr="0009691A">
        <w:rPr>
          <w:rFonts w:ascii="Arial" w:hAnsi="Arial" w:cs="Arial"/>
        </w:rPr>
        <w:t xml:space="preserve">The Vision is to achieve a fully integrated, internationally competitive regional economic community within which there is economic prosperity and peace as evidenced by political and social stability and high standards of living for its people, while its  mission is to achieve sustainable economic and social progress in all member States through increased co-operation and integration in all fields of development. </w:t>
      </w:r>
    </w:p>
    <w:p w14:paraId="60312E1C" w14:textId="4C814148" w:rsidR="00307F98" w:rsidRDefault="00307F98" w:rsidP="00307F98"/>
    <w:p w14:paraId="59C2C6E1" w14:textId="77777777" w:rsidR="00563950" w:rsidRPr="0009691A" w:rsidRDefault="00C563F4" w:rsidP="00552CA2">
      <w:pPr>
        <w:pStyle w:val="ListParagraph"/>
        <w:numPr>
          <w:ilvl w:val="0"/>
          <w:numId w:val="4"/>
        </w:numPr>
        <w:tabs>
          <w:tab w:val="left" w:pos="720"/>
        </w:tabs>
        <w:ind w:left="0" w:firstLine="0"/>
        <w:jc w:val="both"/>
        <w:rPr>
          <w:rFonts w:ascii="Arial" w:hAnsi="Arial" w:cs="Arial"/>
        </w:rPr>
      </w:pPr>
      <w:r>
        <w:rPr>
          <w:rFonts w:ascii="Arial" w:hAnsi="Arial" w:cs="Arial"/>
        </w:rPr>
        <w:t>2020</w:t>
      </w:r>
      <w:r w:rsidR="00563950" w:rsidRPr="0009691A">
        <w:rPr>
          <w:rFonts w:ascii="Arial" w:hAnsi="Arial" w:cs="Arial"/>
        </w:rPr>
        <w:t xml:space="preserve"> Work programme builds on the progress made in the period, 2016 to </w:t>
      </w:r>
      <w:r>
        <w:rPr>
          <w:rFonts w:ascii="Arial" w:hAnsi="Arial" w:cs="Arial"/>
        </w:rPr>
        <w:t>2019</w:t>
      </w:r>
      <w:r w:rsidR="00563950" w:rsidRPr="0009691A">
        <w:rPr>
          <w:rFonts w:ascii="Arial" w:hAnsi="Arial" w:cs="Arial"/>
        </w:rPr>
        <w:t xml:space="preserve">. </w:t>
      </w:r>
      <w:r w:rsidR="00307F98" w:rsidRPr="0009691A">
        <w:rPr>
          <w:rFonts w:ascii="Arial" w:hAnsi="Arial" w:cs="Arial"/>
        </w:rPr>
        <w:t xml:space="preserve"> </w:t>
      </w:r>
      <w:r w:rsidR="00563950" w:rsidRPr="0009691A">
        <w:rPr>
          <w:rFonts w:ascii="Arial" w:hAnsi="Arial" w:cs="Arial"/>
        </w:rPr>
        <w:t>Accordingly, outputs are being pursued in t</w:t>
      </w:r>
      <w:r w:rsidR="00307F98" w:rsidRPr="0009691A">
        <w:rPr>
          <w:rFonts w:ascii="Arial" w:hAnsi="Arial" w:cs="Arial"/>
        </w:rPr>
        <w:t xml:space="preserve">he </w:t>
      </w:r>
      <w:r>
        <w:rPr>
          <w:rFonts w:ascii="Arial" w:hAnsi="Arial" w:cs="Arial"/>
        </w:rPr>
        <w:t>2020</w:t>
      </w:r>
      <w:r w:rsidR="00307F98" w:rsidRPr="0009691A">
        <w:rPr>
          <w:rFonts w:ascii="Arial" w:hAnsi="Arial" w:cs="Arial"/>
        </w:rPr>
        <w:t xml:space="preserve"> proposed work programme, developed from the following:</w:t>
      </w:r>
      <w:r w:rsidR="00563950" w:rsidRPr="0009691A">
        <w:rPr>
          <w:rFonts w:ascii="Arial" w:hAnsi="Arial" w:cs="Arial"/>
        </w:rPr>
        <w:t xml:space="preserve"> -</w:t>
      </w:r>
    </w:p>
    <w:p w14:paraId="2054965C" w14:textId="77777777" w:rsidR="00AE35BE" w:rsidRPr="0009691A" w:rsidRDefault="00AE35BE" w:rsidP="001D67CD">
      <w:pPr>
        <w:pStyle w:val="ListParagraph"/>
        <w:rPr>
          <w:rFonts w:ascii="Arial" w:hAnsi="Arial" w:cs="Arial"/>
        </w:rPr>
      </w:pPr>
    </w:p>
    <w:p w14:paraId="6818FB1F" w14:textId="77777777" w:rsidR="00307F98" w:rsidRPr="0009691A" w:rsidRDefault="00307F98" w:rsidP="00552CA2">
      <w:pPr>
        <w:pStyle w:val="ListParagraph"/>
        <w:numPr>
          <w:ilvl w:val="0"/>
          <w:numId w:val="1"/>
        </w:numPr>
        <w:ind w:right="4"/>
        <w:jc w:val="both"/>
        <w:rPr>
          <w:rFonts w:ascii="Arial" w:hAnsi="Arial" w:cs="Arial"/>
        </w:rPr>
      </w:pPr>
      <w:r w:rsidRPr="0009691A">
        <w:rPr>
          <w:rFonts w:ascii="Arial" w:hAnsi="Arial" w:cs="Arial"/>
        </w:rPr>
        <w:t>Strategic Objective 1: Strengthen Market Integration</w:t>
      </w:r>
    </w:p>
    <w:p w14:paraId="2166BAD7" w14:textId="77777777" w:rsidR="00307F98" w:rsidRPr="0009691A" w:rsidRDefault="00307F98" w:rsidP="00552CA2">
      <w:pPr>
        <w:pStyle w:val="ListParagraph"/>
        <w:numPr>
          <w:ilvl w:val="0"/>
          <w:numId w:val="1"/>
        </w:numPr>
        <w:ind w:right="4"/>
        <w:jc w:val="both"/>
        <w:rPr>
          <w:rFonts w:ascii="Arial" w:hAnsi="Arial" w:cs="Arial"/>
        </w:rPr>
      </w:pPr>
      <w:r w:rsidRPr="0009691A">
        <w:rPr>
          <w:rFonts w:ascii="Arial" w:hAnsi="Arial" w:cs="Arial"/>
        </w:rPr>
        <w:t>Strategic Objective 2: Attract Increased Investments</w:t>
      </w:r>
    </w:p>
    <w:p w14:paraId="7D1A9721" w14:textId="77777777" w:rsidR="00307F98" w:rsidRPr="0009691A" w:rsidRDefault="00307F98" w:rsidP="00552CA2">
      <w:pPr>
        <w:pStyle w:val="ListParagraph"/>
        <w:numPr>
          <w:ilvl w:val="0"/>
          <w:numId w:val="1"/>
        </w:numPr>
        <w:ind w:right="4"/>
        <w:jc w:val="both"/>
        <w:rPr>
          <w:rFonts w:ascii="Arial" w:hAnsi="Arial" w:cs="Arial"/>
        </w:rPr>
      </w:pPr>
      <w:r w:rsidRPr="0009691A">
        <w:rPr>
          <w:rFonts w:ascii="Arial" w:hAnsi="Arial" w:cs="Arial"/>
        </w:rPr>
        <w:t>Strategic Objective 3: Strengthen the Blue / Ocean Economy</w:t>
      </w:r>
    </w:p>
    <w:p w14:paraId="0024C2B4" w14:textId="77777777" w:rsidR="00307F98" w:rsidRPr="0009691A" w:rsidRDefault="00307F98" w:rsidP="00552CA2">
      <w:pPr>
        <w:pStyle w:val="ListParagraph"/>
        <w:numPr>
          <w:ilvl w:val="0"/>
          <w:numId w:val="1"/>
        </w:numPr>
        <w:ind w:right="4"/>
        <w:jc w:val="both"/>
        <w:rPr>
          <w:rFonts w:ascii="Arial" w:hAnsi="Arial" w:cs="Arial"/>
        </w:rPr>
      </w:pPr>
      <w:r w:rsidRPr="0009691A">
        <w:rPr>
          <w:rFonts w:ascii="Arial" w:hAnsi="Arial" w:cs="Arial"/>
        </w:rPr>
        <w:t>Strategic Objective 4: Harness the Benefits of Strategic Partnerships</w:t>
      </w:r>
    </w:p>
    <w:p w14:paraId="1D4E34A8" w14:textId="77777777" w:rsidR="00307F98" w:rsidRPr="0009691A" w:rsidRDefault="00307F98" w:rsidP="00552CA2">
      <w:pPr>
        <w:pStyle w:val="ListParagraph"/>
        <w:numPr>
          <w:ilvl w:val="0"/>
          <w:numId w:val="1"/>
        </w:numPr>
        <w:ind w:right="4"/>
        <w:jc w:val="both"/>
        <w:rPr>
          <w:rFonts w:ascii="Arial" w:hAnsi="Arial" w:cs="Arial"/>
        </w:rPr>
      </w:pPr>
      <w:r w:rsidRPr="0009691A">
        <w:rPr>
          <w:rFonts w:ascii="Arial" w:hAnsi="Arial" w:cs="Arial"/>
        </w:rPr>
        <w:t>Strategic Objective 5: Strengthen Development of Economic Infrastructure (Energy, Transport and ICTs)</w:t>
      </w:r>
    </w:p>
    <w:p w14:paraId="5C46CC86" w14:textId="77777777" w:rsidR="00307F98" w:rsidRPr="0009691A" w:rsidRDefault="00307F98" w:rsidP="00552CA2">
      <w:pPr>
        <w:pStyle w:val="ListParagraph"/>
        <w:numPr>
          <w:ilvl w:val="0"/>
          <w:numId w:val="1"/>
        </w:numPr>
        <w:ind w:right="4"/>
        <w:jc w:val="both"/>
        <w:rPr>
          <w:rFonts w:ascii="Arial" w:hAnsi="Arial" w:cs="Arial"/>
        </w:rPr>
      </w:pPr>
      <w:r w:rsidRPr="0009691A">
        <w:rPr>
          <w:rFonts w:ascii="Arial" w:hAnsi="Arial" w:cs="Arial"/>
        </w:rPr>
        <w:t>Strategic Objective 6: Industrialization</w:t>
      </w:r>
    </w:p>
    <w:p w14:paraId="23212173" w14:textId="77777777" w:rsidR="00307F98" w:rsidRPr="0009691A" w:rsidRDefault="00307F98" w:rsidP="00552CA2">
      <w:pPr>
        <w:pStyle w:val="ListParagraph"/>
        <w:numPr>
          <w:ilvl w:val="0"/>
          <w:numId w:val="1"/>
        </w:numPr>
        <w:ind w:right="4"/>
        <w:jc w:val="both"/>
        <w:rPr>
          <w:rFonts w:ascii="Arial" w:hAnsi="Arial" w:cs="Arial"/>
        </w:rPr>
      </w:pPr>
      <w:r w:rsidRPr="0009691A">
        <w:rPr>
          <w:rFonts w:ascii="Arial" w:hAnsi="Arial" w:cs="Arial"/>
        </w:rPr>
        <w:t>Strategic Objective 7: Foster Gender Equality &amp; Social Development</w:t>
      </w:r>
    </w:p>
    <w:p w14:paraId="490CFA6A" w14:textId="77777777" w:rsidR="00307F98" w:rsidRPr="0009691A" w:rsidRDefault="00307F98" w:rsidP="00552CA2">
      <w:pPr>
        <w:pStyle w:val="ListParagraph"/>
        <w:numPr>
          <w:ilvl w:val="0"/>
          <w:numId w:val="1"/>
        </w:numPr>
        <w:ind w:right="4"/>
        <w:jc w:val="both"/>
        <w:rPr>
          <w:rFonts w:ascii="Arial" w:hAnsi="Arial" w:cs="Arial"/>
        </w:rPr>
      </w:pPr>
      <w:r w:rsidRPr="0009691A">
        <w:rPr>
          <w:rFonts w:ascii="Arial" w:hAnsi="Arial" w:cs="Arial"/>
        </w:rPr>
        <w:t>Strategic Objective 8: Ensure Regional and Secretariat Readiness</w:t>
      </w:r>
    </w:p>
    <w:p w14:paraId="11EF92D8" w14:textId="77777777" w:rsidR="00307F98" w:rsidRPr="0009691A" w:rsidRDefault="00307F98" w:rsidP="00552CA2">
      <w:pPr>
        <w:pStyle w:val="ListParagraph"/>
        <w:numPr>
          <w:ilvl w:val="0"/>
          <w:numId w:val="1"/>
        </w:numPr>
        <w:ind w:right="4"/>
        <w:jc w:val="both"/>
        <w:rPr>
          <w:rFonts w:ascii="Arial" w:hAnsi="Arial" w:cs="Arial"/>
        </w:rPr>
      </w:pPr>
      <w:r w:rsidRPr="0009691A">
        <w:rPr>
          <w:rFonts w:ascii="Arial" w:hAnsi="Arial" w:cs="Arial"/>
        </w:rPr>
        <w:t>Strategic Objective 9: Strengthen Regional Knowledge and Skills Capacity</w:t>
      </w:r>
    </w:p>
    <w:p w14:paraId="38795A61" w14:textId="77777777" w:rsidR="00860392" w:rsidRDefault="00860392" w:rsidP="00860392">
      <w:pPr>
        <w:pStyle w:val="Heading3"/>
        <w:rPr>
          <w:sz w:val="22"/>
          <w:szCs w:val="22"/>
        </w:rPr>
      </w:pPr>
    </w:p>
    <w:p w14:paraId="7A0E6AA9" w14:textId="484C06D4" w:rsidR="00860392" w:rsidRPr="0009691A" w:rsidRDefault="00860392" w:rsidP="00860392">
      <w:pPr>
        <w:pStyle w:val="Heading3"/>
        <w:rPr>
          <w:sz w:val="22"/>
          <w:szCs w:val="22"/>
        </w:rPr>
      </w:pPr>
      <w:bookmarkStart w:id="18" w:name="_Toc23006789"/>
      <w:r>
        <w:rPr>
          <w:sz w:val="22"/>
          <w:szCs w:val="22"/>
        </w:rPr>
        <w:t>2020 Priorities refined</w:t>
      </w:r>
      <w:bookmarkEnd w:id="18"/>
    </w:p>
    <w:p w14:paraId="0F3D9E83" w14:textId="75AA7BC0" w:rsidR="00860392" w:rsidRDefault="00860392" w:rsidP="00552CA2">
      <w:pPr>
        <w:pStyle w:val="ListParagraph"/>
        <w:numPr>
          <w:ilvl w:val="0"/>
          <w:numId w:val="4"/>
        </w:numPr>
        <w:tabs>
          <w:tab w:val="left" w:pos="720"/>
        </w:tabs>
        <w:ind w:left="0" w:firstLine="0"/>
        <w:jc w:val="both"/>
        <w:rPr>
          <w:rFonts w:ascii="Arial" w:hAnsi="Arial" w:cs="Arial"/>
        </w:rPr>
      </w:pPr>
      <w:r>
        <w:rPr>
          <w:rFonts w:ascii="Arial" w:hAnsi="Arial" w:cs="Arial"/>
        </w:rPr>
        <w:t xml:space="preserve">Within </w:t>
      </w:r>
      <w:r w:rsidR="00203159">
        <w:rPr>
          <w:rFonts w:ascii="Arial" w:hAnsi="Arial" w:cs="Arial"/>
        </w:rPr>
        <w:t xml:space="preserve">all </w:t>
      </w:r>
      <w:r>
        <w:rPr>
          <w:rFonts w:ascii="Arial" w:hAnsi="Arial" w:cs="Arial"/>
        </w:rPr>
        <w:t>the above strategic objectives, activities being implemented are line with the following priorities:</w:t>
      </w:r>
    </w:p>
    <w:p w14:paraId="1E9653DF" w14:textId="081C5E11" w:rsidR="00860392" w:rsidRDefault="00860392" w:rsidP="00860392">
      <w:pPr>
        <w:pStyle w:val="ListParagraph"/>
        <w:tabs>
          <w:tab w:val="left" w:pos="720"/>
        </w:tabs>
        <w:ind w:left="0"/>
        <w:jc w:val="both"/>
        <w:rPr>
          <w:rFonts w:ascii="Arial" w:hAnsi="Arial" w:cs="Arial"/>
        </w:rPr>
      </w:pPr>
    </w:p>
    <w:p w14:paraId="435173AA" w14:textId="0598E445" w:rsidR="00860392" w:rsidRDefault="00860392" w:rsidP="00552CA2">
      <w:pPr>
        <w:pStyle w:val="ListParagraph"/>
        <w:numPr>
          <w:ilvl w:val="0"/>
          <w:numId w:val="22"/>
        </w:numPr>
        <w:tabs>
          <w:tab w:val="left" w:pos="720"/>
        </w:tabs>
        <w:jc w:val="both"/>
        <w:rPr>
          <w:rFonts w:ascii="Arial" w:hAnsi="Arial" w:cs="Arial"/>
        </w:rPr>
      </w:pPr>
      <w:r>
        <w:rPr>
          <w:rFonts w:ascii="Arial" w:hAnsi="Arial" w:cs="Arial"/>
        </w:rPr>
        <w:t xml:space="preserve">Leveraging on the digital age </w:t>
      </w:r>
      <w:r w:rsidR="00203159">
        <w:rPr>
          <w:rFonts w:ascii="Arial" w:hAnsi="Arial" w:cs="Arial"/>
        </w:rPr>
        <w:t xml:space="preserve">infrastructure and technology </w:t>
      </w:r>
      <w:r>
        <w:rPr>
          <w:rFonts w:ascii="Arial" w:hAnsi="Arial" w:cs="Arial"/>
        </w:rPr>
        <w:t>to advance intra-regional trade, innovation, social and economic opportunities</w:t>
      </w:r>
      <w:r w:rsidR="006D1FDE">
        <w:rPr>
          <w:rFonts w:ascii="Arial" w:hAnsi="Arial" w:cs="Arial"/>
        </w:rPr>
        <w:t>.</w:t>
      </w:r>
    </w:p>
    <w:p w14:paraId="0917BB7B" w14:textId="77777777" w:rsidR="00860392" w:rsidRDefault="00860392" w:rsidP="00860392">
      <w:pPr>
        <w:pStyle w:val="ListParagraph"/>
        <w:tabs>
          <w:tab w:val="left" w:pos="720"/>
        </w:tabs>
        <w:ind w:left="1440"/>
        <w:jc w:val="both"/>
        <w:rPr>
          <w:rFonts w:ascii="Arial" w:hAnsi="Arial" w:cs="Arial"/>
        </w:rPr>
      </w:pPr>
    </w:p>
    <w:p w14:paraId="37EDA323" w14:textId="729D5241" w:rsidR="00203159" w:rsidRDefault="00203159" w:rsidP="00552CA2">
      <w:pPr>
        <w:pStyle w:val="ListParagraph"/>
        <w:numPr>
          <w:ilvl w:val="0"/>
          <w:numId w:val="22"/>
        </w:numPr>
        <w:tabs>
          <w:tab w:val="left" w:pos="720"/>
        </w:tabs>
        <w:jc w:val="both"/>
        <w:rPr>
          <w:rFonts w:ascii="Arial" w:hAnsi="Arial" w:cs="Arial"/>
        </w:rPr>
      </w:pPr>
      <w:r>
        <w:rPr>
          <w:rFonts w:ascii="Arial" w:hAnsi="Arial" w:cs="Arial"/>
        </w:rPr>
        <w:t>Creating opportunities for citizens</w:t>
      </w:r>
      <w:r w:rsidR="006D1FDE">
        <w:rPr>
          <w:rFonts w:ascii="Arial" w:hAnsi="Arial" w:cs="Arial"/>
        </w:rPr>
        <w:t xml:space="preserve"> (</w:t>
      </w:r>
      <w:r>
        <w:rPr>
          <w:rFonts w:ascii="Arial" w:hAnsi="Arial" w:cs="Arial"/>
        </w:rPr>
        <w:t>natural and legal</w:t>
      </w:r>
      <w:r w:rsidR="006D1FDE">
        <w:rPr>
          <w:rFonts w:ascii="Arial" w:hAnsi="Arial" w:cs="Arial"/>
        </w:rPr>
        <w:t>)</w:t>
      </w:r>
      <w:r w:rsidR="0091344E">
        <w:rPr>
          <w:rFonts w:ascii="Arial" w:hAnsi="Arial" w:cs="Arial"/>
        </w:rPr>
        <w:t xml:space="preserve"> and across all sectors in </w:t>
      </w:r>
      <w:r>
        <w:rPr>
          <w:rFonts w:ascii="Arial" w:hAnsi="Arial" w:cs="Arial"/>
        </w:rPr>
        <w:t xml:space="preserve">Member States, </w:t>
      </w:r>
      <w:proofErr w:type="gramStart"/>
      <w:r>
        <w:rPr>
          <w:rFonts w:ascii="Arial" w:hAnsi="Arial" w:cs="Arial"/>
        </w:rPr>
        <w:t>taking into account</w:t>
      </w:r>
      <w:proofErr w:type="gramEnd"/>
      <w:r>
        <w:rPr>
          <w:rFonts w:ascii="Arial" w:hAnsi="Arial" w:cs="Arial"/>
        </w:rPr>
        <w:t xml:space="preserve"> their level of development; geographical location; small</w:t>
      </w:r>
      <w:r w:rsidR="0091344E">
        <w:rPr>
          <w:rFonts w:ascii="Arial" w:hAnsi="Arial" w:cs="Arial"/>
        </w:rPr>
        <w:t xml:space="preserve">, land locked </w:t>
      </w:r>
      <w:r>
        <w:rPr>
          <w:rFonts w:ascii="Arial" w:hAnsi="Arial" w:cs="Arial"/>
        </w:rPr>
        <w:t>and island Member States.</w:t>
      </w:r>
    </w:p>
    <w:p w14:paraId="32984178" w14:textId="77777777" w:rsidR="00203159" w:rsidRPr="00203159" w:rsidRDefault="00203159" w:rsidP="00203159">
      <w:pPr>
        <w:pStyle w:val="ListParagraph"/>
        <w:rPr>
          <w:rFonts w:ascii="Arial" w:hAnsi="Arial" w:cs="Arial"/>
        </w:rPr>
      </w:pPr>
    </w:p>
    <w:p w14:paraId="223B4DA5" w14:textId="66355EF1" w:rsidR="00860392" w:rsidRPr="0009691A" w:rsidRDefault="00860392" w:rsidP="00552CA2">
      <w:pPr>
        <w:pStyle w:val="ListParagraph"/>
        <w:numPr>
          <w:ilvl w:val="0"/>
          <w:numId w:val="22"/>
        </w:numPr>
        <w:tabs>
          <w:tab w:val="left" w:pos="720"/>
        </w:tabs>
        <w:jc w:val="both"/>
        <w:rPr>
          <w:rFonts w:ascii="Arial" w:hAnsi="Arial" w:cs="Arial"/>
        </w:rPr>
      </w:pPr>
      <w:r>
        <w:rPr>
          <w:rFonts w:ascii="Arial" w:hAnsi="Arial" w:cs="Arial"/>
        </w:rPr>
        <w:t xml:space="preserve">Compliance with internal control objectives, across all institutional </w:t>
      </w:r>
      <w:r w:rsidR="006D1FDE">
        <w:rPr>
          <w:rFonts w:ascii="Arial" w:hAnsi="Arial" w:cs="Arial"/>
        </w:rPr>
        <w:t>processes to achieve better value for money, as well as institutional effectiveness and efficiency</w:t>
      </w:r>
      <w:r w:rsidR="00203159">
        <w:rPr>
          <w:rFonts w:ascii="Arial" w:hAnsi="Arial" w:cs="Arial"/>
        </w:rPr>
        <w:t>.</w:t>
      </w:r>
    </w:p>
    <w:p w14:paraId="4A5DE597" w14:textId="77777777" w:rsidR="00860392" w:rsidRPr="00860392" w:rsidRDefault="00860392" w:rsidP="00860392"/>
    <w:p w14:paraId="03871E0C" w14:textId="2C48944A" w:rsidR="00203159" w:rsidRDefault="00203159" w:rsidP="00552CA2">
      <w:pPr>
        <w:pStyle w:val="ListParagraph"/>
        <w:numPr>
          <w:ilvl w:val="0"/>
          <w:numId w:val="4"/>
        </w:numPr>
        <w:tabs>
          <w:tab w:val="left" w:pos="720"/>
        </w:tabs>
        <w:ind w:left="0" w:firstLine="0"/>
        <w:jc w:val="both"/>
        <w:rPr>
          <w:rFonts w:ascii="Arial" w:hAnsi="Arial" w:cs="Arial"/>
        </w:rPr>
      </w:pPr>
      <w:bookmarkStart w:id="19" w:name="_Hlk528172298"/>
      <w:r>
        <w:rPr>
          <w:rFonts w:ascii="Arial" w:hAnsi="Arial" w:cs="Arial"/>
        </w:rPr>
        <w:t xml:space="preserve">The above priorities were deliberated upon within the Secretariat. The deliberations drew on evidence of subject matter experts.  </w:t>
      </w:r>
    </w:p>
    <w:p w14:paraId="41C407CC" w14:textId="77777777" w:rsidR="00203159" w:rsidRDefault="00203159" w:rsidP="00203159">
      <w:pPr>
        <w:pStyle w:val="ListParagraph"/>
        <w:tabs>
          <w:tab w:val="left" w:pos="720"/>
        </w:tabs>
        <w:ind w:left="0"/>
        <w:jc w:val="both"/>
        <w:rPr>
          <w:rFonts w:ascii="Arial" w:hAnsi="Arial" w:cs="Arial"/>
        </w:rPr>
      </w:pPr>
    </w:p>
    <w:p w14:paraId="71986888" w14:textId="7178161F" w:rsidR="00203159" w:rsidRPr="00203159" w:rsidRDefault="00203159" w:rsidP="00552CA2">
      <w:pPr>
        <w:pStyle w:val="ListParagraph"/>
        <w:numPr>
          <w:ilvl w:val="0"/>
          <w:numId w:val="4"/>
        </w:numPr>
        <w:tabs>
          <w:tab w:val="left" w:pos="720"/>
        </w:tabs>
        <w:ind w:left="0" w:firstLine="0"/>
        <w:jc w:val="both"/>
        <w:rPr>
          <w:rFonts w:ascii="Arial" w:hAnsi="Arial" w:cs="Arial"/>
        </w:rPr>
      </w:pPr>
      <w:r w:rsidRPr="00203159">
        <w:rPr>
          <w:rFonts w:ascii="Arial" w:hAnsi="Arial" w:cs="Arial"/>
        </w:rPr>
        <w:t xml:space="preserve">The Secretary General is emphasizing </w:t>
      </w:r>
      <w:r w:rsidR="00265122">
        <w:rPr>
          <w:rFonts w:ascii="Arial" w:hAnsi="Arial" w:cs="Arial"/>
        </w:rPr>
        <w:t xml:space="preserve">and challenging </w:t>
      </w:r>
      <w:r w:rsidRPr="00203159">
        <w:rPr>
          <w:rFonts w:ascii="Arial" w:hAnsi="Arial" w:cs="Arial"/>
        </w:rPr>
        <w:t xml:space="preserve">the COMESA Policy Organs of the need to deepen </w:t>
      </w:r>
      <w:r w:rsidR="00265122">
        <w:rPr>
          <w:rFonts w:ascii="Arial" w:hAnsi="Arial" w:cs="Arial"/>
        </w:rPr>
        <w:t xml:space="preserve">their </w:t>
      </w:r>
      <w:r w:rsidRPr="00203159">
        <w:rPr>
          <w:rFonts w:ascii="Arial" w:hAnsi="Arial" w:cs="Arial"/>
        </w:rPr>
        <w:t>dialogue and participation of citizens, natural and legal</w:t>
      </w:r>
      <w:r>
        <w:rPr>
          <w:rFonts w:ascii="Arial" w:hAnsi="Arial" w:cs="Arial"/>
        </w:rPr>
        <w:t>, whether state and or non-state sectors. COMESA is a vehicle that offers long-term development opportunities to all.</w:t>
      </w:r>
    </w:p>
    <w:p w14:paraId="54D462C1" w14:textId="77777777" w:rsidR="00203159" w:rsidRDefault="00203159" w:rsidP="00860392">
      <w:pPr>
        <w:pStyle w:val="Heading3"/>
        <w:rPr>
          <w:sz w:val="22"/>
          <w:szCs w:val="22"/>
        </w:rPr>
      </w:pPr>
    </w:p>
    <w:p w14:paraId="68527D97" w14:textId="4BD8BCEB" w:rsidR="00860392" w:rsidRPr="0009691A" w:rsidRDefault="00860392" w:rsidP="00860392">
      <w:pPr>
        <w:pStyle w:val="Heading3"/>
        <w:rPr>
          <w:sz w:val="22"/>
          <w:szCs w:val="22"/>
        </w:rPr>
      </w:pPr>
      <w:bookmarkStart w:id="20" w:name="_Toc23006790"/>
      <w:r>
        <w:rPr>
          <w:sz w:val="22"/>
          <w:szCs w:val="22"/>
        </w:rPr>
        <w:t>Interventions</w:t>
      </w:r>
      <w:bookmarkEnd w:id="20"/>
    </w:p>
    <w:p w14:paraId="047FCE80" w14:textId="11DE734C" w:rsidR="009F4A69" w:rsidRDefault="000F39BD" w:rsidP="00552CA2">
      <w:pPr>
        <w:pStyle w:val="ListParagraph"/>
        <w:numPr>
          <w:ilvl w:val="0"/>
          <w:numId w:val="4"/>
        </w:numPr>
        <w:tabs>
          <w:tab w:val="left" w:pos="720"/>
        </w:tabs>
        <w:ind w:left="0" w:firstLine="0"/>
        <w:jc w:val="both"/>
        <w:rPr>
          <w:rFonts w:ascii="Arial" w:hAnsi="Arial" w:cs="Arial"/>
        </w:rPr>
      </w:pPr>
      <w:bookmarkStart w:id="21" w:name="_Hlk22993747"/>
      <w:r w:rsidRPr="0009691A">
        <w:rPr>
          <w:rFonts w:ascii="Arial" w:hAnsi="Arial" w:cs="Arial"/>
        </w:rPr>
        <w:t xml:space="preserve">As reported in </w:t>
      </w:r>
      <w:r w:rsidR="00203159">
        <w:rPr>
          <w:rFonts w:ascii="Arial" w:hAnsi="Arial" w:cs="Arial"/>
        </w:rPr>
        <w:t xml:space="preserve">the on-going </w:t>
      </w:r>
      <w:r w:rsidRPr="0009691A">
        <w:rPr>
          <w:rFonts w:ascii="Arial" w:hAnsi="Arial" w:cs="Arial"/>
        </w:rPr>
        <w:t>2016-</w:t>
      </w:r>
      <w:r w:rsidR="00C563F4">
        <w:rPr>
          <w:rFonts w:ascii="Arial" w:hAnsi="Arial" w:cs="Arial"/>
        </w:rPr>
        <w:t>20</w:t>
      </w:r>
      <w:r w:rsidR="00203159">
        <w:rPr>
          <w:rFonts w:ascii="Arial" w:hAnsi="Arial" w:cs="Arial"/>
        </w:rPr>
        <w:t xml:space="preserve">20 Medium Term Strategic Plan review, </w:t>
      </w:r>
      <w:r w:rsidRPr="0009691A">
        <w:rPr>
          <w:rFonts w:ascii="Arial" w:hAnsi="Arial" w:cs="Arial"/>
        </w:rPr>
        <w:t>COMESA has remained steadily focused on the 2016-2020 MTSP</w:t>
      </w:r>
      <w:r w:rsidR="00203159">
        <w:rPr>
          <w:rFonts w:ascii="Arial" w:hAnsi="Arial" w:cs="Arial"/>
        </w:rPr>
        <w:t>, with its long</w:t>
      </w:r>
      <w:r w:rsidR="00364C1B">
        <w:rPr>
          <w:rFonts w:ascii="Arial" w:hAnsi="Arial" w:cs="Arial"/>
        </w:rPr>
        <w:t>-</w:t>
      </w:r>
      <w:r w:rsidR="00203159">
        <w:rPr>
          <w:rFonts w:ascii="Arial" w:hAnsi="Arial" w:cs="Arial"/>
        </w:rPr>
        <w:t>term focus on the following interventions: -</w:t>
      </w:r>
    </w:p>
    <w:p w14:paraId="32983546" w14:textId="14407E32" w:rsidR="00203159" w:rsidRDefault="00203159" w:rsidP="00203159">
      <w:pPr>
        <w:pStyle w:val="ListParagraph"/>
        <w:tabs>
          <w:tab w:val="left" w:pos="720"/>
        </w:tabs>
        <w:ind w:left="0"/>
        <w:jc w:val="both"/>
        <w:rPr>
          <w:rFonts w:ascii="Arial" w:hAnsi="Arial" w:cs="Arial"/>
        </w:rPr>
      </w:pPr>
    </w:p>
    <w:p w14:paraId="1FFB1FF7" w14:textId="77777777" w:rsidR="00015AF1" w:rsidRPr="00015AF1" w:rsidRDefault="00015AF1" w:rsidP="00552CA2">
      <w:pPr>
        <w:pStyle w:val="ListParagraph"/>
        <w:numPr>
          <w:ilvl w:val="0"/>
          <w:numId w:val="23"/>
        </w:numPr>
        <w:tabs>
          <w:tab w:val="left" w:pos="720"/>
        </w:tabs>
        <w:jc w:val="both"/>
        <w:rPr>
          <w:rFonts w:ascii="Arial" w:hAnsi="Arial" w:cs="Arial"/>
        </w:rPr>
      </w:pPr>
      <w:r w:rsidRPr="00015AF1">
        <w:rPr>
          <w:rFonts w:ascii="Arial" w:hAnsi="Arial" w:cs="Arial"/>
          <w:b/>
        </w:rPr>
        <w:t>Strengthen Market Integration</w:t>
      </w:r>
      <w:r w:rsidRPr="00015AF1">
        <w:rPr>
          <w:rFonts w:ascii="Arial" w:hAnsi="Arial" w:cs="Arial"/>
        </w:rPr>
        <w:t>: Sanitary and Phyto – Sanitary Measures (SPS/TBT); Simplified Trade Regime (STR); Cross Border Trade; Non-Tariff Barriers Regulations; Rules of Origin; Trade and Transit Facilitation Instruments; COMESA-EAC-SADC Tripartite Arrangement; Trade in Services; Customs Union; Free Trade Area; Border Management; Intellectual Property Policy; Capacity building; Research; Statistical Programme.</w:t>
      </w:r>
    </w:p>
    <w:p w14:paraId="0006024D" w14:textId="77777777" w:rsidR="00015AF1" w:rsidRPr="00015AF1" w:rsidRDefault="00015AF1" w:rsidP="00015AF1">
      <w:pPr>
        <w:pStyle w:val="ListParagraph"/>
        <w:tabs>
          <w:tab w:val="left" w:pos="720"/>
        </w:tabs>
        <w:ind w:left="1440"/>
        <w:jc w:val="both"/>
        <w:rPr>
          <w:rFonts w:ascii="Arial" w:hAnsi="Arial" w:cs="Arial"/>
        </w:rPr>
      </w:pPr>
    </w:p>
    <w:p w14:paraId="019306F6" w14:textId="77777777" w:rsidR="00015AF1" w:rsidRPr="00015AF1" w:rsidRDefault="00015AF1" w:rsidP="00552CA2">
      <w:pPr>
        <w:pStyle w:val="ListParagraph"/>
        <w:numPr>
          <w:ilvl w:val="0"/>
          <w:numId w:val="23"/>
        </w:numPr>
        <w:tabs>
          <w:tab w:val="left" w:pos="720"/>
        </w:tabs>
        <w:jc w:val="both"/>
        <w:rPr>
          <w:rFonts w:ascii="Arial" w:hAnsi="Arial" w:cs="Arial"/>
        </w:rPr>
      </w:pPr>
      <w:r w:rsidRPr="00015AF1">
        <w:rPr>
          <w:rFonts w:ascii="Arial" w:hAnsi="Arial" w:cs="Arial"/>
          <w:b/>
        </w:rPr>
        <w:t>Attract Increased Investments</w:t>
      </w:r>
      <w:r w:rsidRPr="00015AF1">
        <w:rPr>
          <w:rFonts w:ascii="Arial" w:hAnsi="Arial" w:cs="Arial"/>
        </w:rPr>
        <w:t>: Creating an Enabling Business Environment; Investment Promotion Strategies; Cross Border Investment; Increasing Investment Awareness; Undertaking analytical work including data collection and analysis; Harmonizing Investment Policy – CCIA; Capacity building; Statistical Programme; Research.</w:t>
      </w:r>
    </w:p>
    <w:p w14:paraId="007ECDAF" w14:textId="77777777" w:rsidR="00015AF1" w:rsidRPr="00015AF1" w:rsidRDefault="00015AF1" w:rsidP="00015AF1">
      <w:pPr>
        <w:pStyle w:val="ListParagraph"/>
        <w:tabs>
          <w:tab w:val="left" w:pos="720"/>
        </w:tabs>
        <w:ind w:left="1440"/>
        <w:jc w:val="both"/>
        <w:rPr>
          <w:rFonts w:ascii="Arial" w:hAnsi="Arial" w:cs="Arial"/>
        </w:rPr>
      </w:pPr>
    </w:p>
    <w:p w14:paraId="33E797C1" w14:textId="39D3CAD4" w:rsidR="00015AF1" w:rsidRPr="00015AF1" w:rsidRDefault="00015AF1" w:rsidP="00552CA2">
      <w:pPr>
        <w:pStyle w:val="ListParagraph"/>
        <w:numPr>
          <w:ilvl w:val="0"/>
          <w:numId w:val="23"/>
        </w:numPr>
        <w:tabs>
          <w:tab w:val="left" w:pos="720"/>
        </w:tabs>
        <w:jc w:val="both"/>
        <w:rPr>
          <w:rFonts w:ascii="Arial" w:hAnsi="Arial" w:cs="Arial"/>
        </w:rPr>
      </w:pPr>
      <w:r w:rsidRPr="00015AF1">
        <w:rPr>
          <w:rFonts w:ascii="Arial" w:hAnsi="Arial" w:cs="Arial"/>
          <w:b/>
        </w:rPr>
        <w:t>Strengthen the Blue / Ocean Economy</w:t>
      </w:r>
      <w:r w:rsidRPr="00015AF1">
        <w:rPr>
          <w:rFonts w:ascii="Arial" w:hAnsi="Arial" w:cs="Arial"/>
        </w:rPr>
        <w:t xml:space="preserve">: Legal, fiscal and other institutional frameworks ; Fisheries, seafood and aquaculture; Deep ocean water applications; Establish and / or strengthen marine services; Seaport related activities; Ocean knowledge/Research; Climate finance; Environmental Safeguards and Climate Risks; Maritime security and safety and ocean economy development; Blue/Ocean Economy Strategies and National Plans; Marine spatial planning; Ocean management and governance; Disaster risk reduction policy; Monitoring protocol for the coastal and ocean region; Capacity building; Statistical Programme; </w:t>
      </w:r>
    </w:p>
    <w:p w14:paraId="56B59261" w14:textId="77777777" w:rsidR="00015AF1" w:rsidRPr="00015AF1" w:rsidRDefault="00015AF1" w:rsidP="00015AF1">
      <w:pPr>
        <w:pStyle w:val="ListParagraph"/>
        <w:tabs>
          <w:tab w:val="left" w:pos="720"/>
        </w:tabs>
        <w:ind w:left="1440"/>
        <w:jc w:val="both"/>
        <w:rPr>
          <w:rFonts w:ascii="Arial" w:hAnsi="Arial" w:cs="Arial"/>
        </w:rPr>
      </w:pPr>
    </w:p>
    <w:p w14:paraId="0EBD6B78" w14:textId="77777777" w:rsidR="00015AF1" w:rsidRPr="00015AF1" w:rsidRDefault="00015AF1" w:rsidP="00552CA2">
      <w:pPr>
        <w:pStyle w:val="ListParagraph"/>
        <w:numPr>
          <w:ilvl w:val="0"/>
          <w:numId w:val="23"/>
        </w:numPr>
        <w:tabs>
          <w:tab w:val="left" w:pos="720"/>
        </w:tabs>
        <w:jc w:val="both"/>
        <w:rPr>
          <w:rFonts w:ascii="Arial" w:hAnsi="Arial" w:cs="Arial"/>
        </w:rPr>
      </w:pPr>
      <w:r w:rsidRPr="00015AF1">
        <w:rPr>
          <w:rFonts w:ascii="Arial" w:hAnsi="Arial" w:cs="Arial"/>
          <w:b/>
        </w:rPr>
        <w:t>Harness the Benefits of Strategic Partnerships</w:t>
      </w:r>
      <w:r w:rsidRPr="00015AF1">
        <w:rPr>
          <w:rFonts w:ascii="Arial" w:hAnsi="Arial" w:cs="Arial"/>
        </w:rPr>
        <w:t>: Access and development of information systems (databases); Policy research, development and training; Capacity building; Statistical Programme</w:t>
      </w:r>
    </w:p>
    <w:p w14:paraId="13D09CAF" w14:textId="77777777" w:rsidR="00015AF1" w:rsidRPr="00015AF1" w:rsidRDefault="00015AF1" w:rsidP="00015AF1">
      <w:pPr>
        <w:pStyle w:val="ListParagraph"/>
        <w:tabs>
          <w:tab w:val="left" w:pos="720"/>
        </w:tabs>
        <w:ind w:left="1440"/>
        <w:jc w:val="both"/>
        <w:rPr>
          <w:rFonts w:ascii="Arial" w:hAnsi="Arial" w:cs="Arial"/>
        </w:rPr>
      </w:pPr>
    </w:p>
    <w:p w14:paraId="4517A0FE" w14:textId="56205ECF" w:rsidR="00015AF1" w:rsidRPr="00015AF1" w:rsidRDefault="00015AF1" w:rsidP="00552CA2">
      <w:pPr>
        <w:pStyle w:val="ListParagraph"/>
        <w:numPr>
          <w:ilvl w:val="0"/>
          <w:numId w:val="23"/>
        </w:numPr>
        <w:tabs>
          <w:tab w:val="left" w:pos="720"/>
        </w:tabs>
        <w:jc w:val="both"/>
        <w:rPr>
          <w:rFonts w:ascii="Arial" w:hAnsi="Arial" w:cs="Arial"/>
        </w:rPr>
      </w:pPr>
      <w:r w:rsidRPr="00015AF1">
        <w:rPr>
          <w:rFonts w:ascii="Arial" w:hAnsi="Arial" w:cs="Arial"/>
          <w:b/>
        </w:rPr>
        <w:t>Economic Infrastructure:</w:t>
      </w:r>
      <w:r>
        <w:rPr>
          <w:rFonts w:ascii="Arial" w:hAnsi="Arial" w:cs="Arial"/>
        </w:rPr>
        <w:t xml:space="preserve"> </w:t>
      </w:r>
      <w:r w:rsidRPr="00015AF1">
        <w:rPr>
          <w:rFonts w:ascii="Arial" w:hAnsi="Arial" w:cs="Arial"/>
        </w:rPr>
        <w:t>Energy; Transport; ICT; Infrastructure capacity building; Statistical Programme</w:t>
      </w:r>
    </w:p>
    <w:p w14:paraId="36880BB0" w14:textId="77777777" w:rsidR="00015AF1" w:rsidRPr="00015AF1" w:rsidRDefault="00015AF1" w:rsidP="00015AF1">
      <w:pPr>
        <w:pStyle w:val="ListParagraph"/>
        <w:tabs>
          <w:tab w:val="left" w:pos="720"/>
        </w:tabs>
        <w:ind w:left="1440"/>
        <w:jc w:val="both"/>
        <w:rPr>
          <w:rFonts w:ascii="Arial" w:hAnsi="Arial" w:cs="Arial"/>
        </w:rPr>
      </w:pPr>
    </w:p>
    <w:p w14:paraId="1C35297E" w14:textId="77777777" w:rsidR="00015AF1" w:rsidRPr="00015AF1" w:rsidRDefault="00015AF1" w:rsidP="00552CA2">
      <w:pPr>
        <w:pStyle w:val="ListParagraph"/>
        <w:numPr>
          <w:ilvl w:val="0"/>
          <w:numId w:val="23"/>
        </w:numPr>
        <w:tabs>
          <w:tab w:val="left" w:pos="720"/>
        </w:tabs>
        <w:jc w:val="both"/>
        <w:rPr>
          <w:rFonts w:ascii="Arial" w:hAnsi="Arial" w:cs="Arial"/>
        </w:rPr>
      </w:pPr>
      <w:r w:rsidRPr="00015AF1">
        <w:rPr>
          <w:rFonts w:ascii="Arial" w:hAnsi="Arial" w:cs="Arial"/>
          <w:b/>
        </w:rPr>
        <w:t>Industrialization</w:t>
      </w:r>
      <w:r w:rsidRPr="00015AF1">
        <w:rPr>
          <w:rFonts w:ascii="Arial" w:hAnsi="Arial" w:cs="Arial"/>
        </w:rPr>
        <w:t>: Investment Promotion; Promoting Micro Small Medium Enterprises; Public Private Partnerships (PPPs) - Industrial development; Illicit Trade and Counterfeiting; Standardization and Quality Assurance; Climate Smart Agriculture; Women and Youth Entrepreneurship; Environmental Sustainability in Industrial Development; Research and Development for Innovation and Industrial Development;  COMESA Industrial Policy - Implement and Align; Capacity building; Statistical Programme</w:t>
      </w:r>
    </w:p>
    <w:p w14:paraId="3E859659" w14:textId="77777777" w:rsidR="00015AF1" w:rsidRPr="00015AF1" w:rsidRDefault="00015AF1" w:rsidP="00015AF1">
      <w:pPr>
        <w:pStyle w:val="ListParagraph"/>
        <w:tabs>
          <w:tab w:val="left" w:pos="720"/>
        </w:tabs>
        <w:ind w:left="1440"/>
        <w:jc w:val="both"/>
        <w:rPr>
          <w:rFonts w:ascii="Arial" w:hAnsi="Arial" w:cs="Arial"/>
        </w:rPr>
      </w:pPr>
    </w:p>
    <w:p w14:paraId="25E5AA6D" w14:textId="77777777" w:rsidR="00015AF1" w:rsidRPr="00015AF1" w:rsidRDefault="00015AF1" w:rsidP="00552CA2">
      <w:pPr>
        <w:pStyle w:val="ListParagraph"/>
        <w:numPr>
          <w:ilvl w:val="0"/>
          <w:numId w:val="23"/>
        </w:numPr>
        <w:tabs>
          <w:tab w:val="left" w:pos="720"/>
        </w:tabs>
        <w:jc w:val="both"/>
        <w:rPr>
          <w:rFonts w:ascii="Arial" w:hAnsi="Arial" w:cs="Arial"/>
        </w:rPr>
      </w:pPr>
      <w:r w:rsidRPr="00015AF1">
        <w:rPr>
          <w:rFonts w:ascii="Arial" w:hAnsi="Arial" w:cs="Arial"/>
          <w:b/>
        </w:rPr>
        <w:lastRenderedPageBreak/>
        <w:t>Foster Gender Equality &amp; Social Development</w:t>
      </w:r>
      <w:r w:rsidRPr="00015AF1">
        <w:rPr>
          <w:rFonts w:ascii="Arial" w:hAnsi="Arial" w:cs="Arial"/>
        </w:rPr>
        <w:t>: Research, gender audits and assessments; Information exchange and business linkages for women and youth in business; Trade related security and cross border trading issues affecting women traders; Youth empowerment; Access to basic health and reproductive services; COMESA Gender Policy, Social Charter and other mechanisms; COMESA Economic Empowerment Fund; Capacity building; Statistical Programme</w:t>
      </w:r>
    </w:p>
    <w:p w14:paraId="76C7E61F" w14:textId="77777777" w:rsidR="00015AF1" w:rsidRPr="00015AF1" w:rsidRDefault="00015AF1" w:rsidP="00015AF1">
      <w:pPr>
        <w:pStyle w:val="ListParagraph"/>
        <w:tabs>
          <w:tab w:val="left" w:pos="720"/>
        </w:tabs>
        <w:ind w:left="1440"/>
        <w:jc w:val="both"/>
        <w:rPr>
          <w:rFonts w:ascii="Arial" w:hAnsi="Arial" w:cs="Arial"/>
        </w:rPr>
      </w:pPr>
    </w:p>
    <w:p w14:paraId="6DD41AE3" w14:textId="6DAA9B0F" w:rsidR="00015AF1" w:rsidRPr="00015AF1" w:rsidRDefault="00015AF1" w:rsidP="00552CA2">
      <w:pPr>
        <w:pStyle w:val="ListParagraph"/>
        <w:numPr>
          <w:ilvl w:val="0"/>
          <w:numId w:val="23"/>
        </w:numPr>
        <w:tabs>
          <w:tab w:val="left" w:pos="720"/>
        </w:tabs>
        <w:jc w:val="both"/>
        <w:rPr>
          <w:rFonts w:ascii="Arial" w:hAnsi="Arial" w:cs="Arial"/>
        </w:rPr>
      </w:pPr>
      <w:r w:rsidRPr="00015AF1">
        <w:rPr>
          <w:rFonts w:ascii="Arial" w:hAnsi="Arial" w:cs="Arial"/>
          <w:b/>
        </w:rPr>
        <w:t>Peace and Security</w:t>
      </w:r>
      <w:r>
        <w:rPr>
          <w:rFonts w:ascii="Arial" w:hAnsi="Arial" w:cs="Arial"/>
        </w:rPr>
        <w:t xml:space="preserve">: </w:t>
      </w:r>
      <w:r w:rsidRPr="00015AF1">
        <w:rPr>
          <w:rFonts w:ascii="Arial" w:hAnsi="Arial" w:cs="Arial"/>
        </w:rPr>
        <w:t>APSA; Elections monitoring; Maritime Security</w:t>
      </w:r>
    </w:p>
    <w:p w14:paraId="7D185865" w14:textId="77777777" w:rsidR="00015AF1" w:rsidRPr="00015AF1" w:rsidRDefault="00015AF1" w:rsidP="00015AF1">
      <w:pPr>
        <w:pStyle w:val="ListParagraph"/>
        <w:tabs>
          <w:tab w:val="left" w:pos="720"/>
        </w:tabs>
        <w:ind w:left="1440"/>
        <w:jc w:val="both"/>
        <w:rPr>
          <w:rFonts w:ascii="Arial" w:hAnsi="Arial" w:cs="Arial"/>
        </w:rPr>
      </w:pPr>
    </w:p>
    <w:p w14:paraId="79F865C7" w14:textId="2A04041E" w:rsidR="00015AF1" w:rsidRDefault="00015AF1" w:rsidP="00552CA2">
      <w:pPr>
        <w:pStyle w:val="ListParagraph"/>
        <w:numPr>
          <w:ilvl w:val="0"/>
          <w:numId w:val="23"/>
        </w:numPr>
        <w:tabs>
          <w:tab w:val="left" w:pos="720"/>
        </w:tabs>
        <w:jc w:val="both"/>
        <w:rPr>
          <w:rFonts w:ascii="Arial" w:hAnsi="Arial" w:cs="Arial"/>
        </w:rPr>
      </w:pPr>
      <w:r w:rsidRPr="00015AF1">
        <w:rPr>
          <w:rFonts w:ascii="Arial" w:hAnsi="Arial" w:cs="Arial"/>
          <w:b/>
        </w:rPr>
        <w:t>Ensure Regional and Secretariat Readiness</w:t>
      </w:r>
      <w:r w:rsidRPr="00015AF1">
        <w:rPr>
          <w:rFonts w:ascii="Arial" w:hAnsi="Arial" w:cs="Arial"/>
        </w:rPr>
        <w:t>: Executive Management; Risk Management; Climate Change; Human Resources and Administration; Budget and Finance; Legal and Institutional Affairs; Information Technology; Internal Audit; Resource Mobilisation and International Cooperation; Strategic Planning; Corporate Communications; Brussels Liaison Office; Monitoring and Evaluation; Capacity building; Statistical Programme; Research;</w:t>
      </w:r>
    </w:p>
    <w:bookmarkEnd w:id="21"/>
    <w:p w14:paraId="3621C7C9" w14:textId="77777777" w:rsidR="009F4A69" w:rsidRDefault="009F4A69" w:rsidP="009F4A69">
      <w:pPr>
        <w:pStyle w:val="ListParagraph"/>
        <w:tabs>
          <w:tab w:val="left" w:pos="720"/>
        </w:tabs>
        <w:ind w:left="0"/>
        <w:jc w:val="both"/>
        <w:rPr>
          <w:rFonts w:ascii="Arial" w:hAnsi="Arial" w:cs="Arial"/>
        </w:rPr>
      </w:pPr>
    </w:p>
    <w:p w14:paraId="48FA4834" w14:textId="77777777" w:rsidR="00263E60" w:rsidRPr="0009691A" w:rsidRDefault="000F39BD" w:rsidP="00552CA2">
      <w:pPr>
        <w:pStyle w:val="ListParagraph"/>
        <w:numPr>
          <w:ilvl w:val="0"/>
          <w:numId w:val="4"/>
        </w:numPr>
        <w:tabs>
          <w:tab w:val="left" w:pos="720"/>
        </w:tabs>
        <w:ind w:left="0" w:firstLine="0"/>
        <w:jc w:val="both"/>
        <w:rPr>
          <w:rFonts w:ascii="Arial" w:hAnsi="Arial" w:cs="Arial"/>
        </w:rPr>
      </w:pPr>
      <w:r w:rsidRPr="0009691A">
        <w:rPr>
          <w:rFonts w:ascii="Arial" w:hAnsi="Arial" w:cs="Arial"/>
        </w:rPr>
        <w:t xml:space="preserve">Significant resources committed </w:t>
      </w:r>
      <w:r w:rsidR="009F4A69">
        <w:rPr>
          <w:rFonts w:ascii="Arial" w:hAnsi="Arial" w:cs="Arial"/>
        </w:rPr>
        <w:t xml:space="preserve">by Cooperating Partners in </w:t>
      </w:r>
      <w:r w:rsidR="00C563F4">
        <w:rPr>
          <w:rFonts w:ascii="Arial" w:hAnsi="Arial" w:cs="Arial"/>
        </w:rPr>
        <w:t>2019</w:t>
      </w:r>
      <w:r w:rsidRPr="0009691A">
        <w:rPr>
          <w:rFonts w:ascii="Arial" w:hAnsi="Arial" w:cs="Arial"/>
        </w:rPr>
        <w:t xml:space="preserve"> in particular the European Union </w:t>
      </w:r>
      <w:r w:rsidR="009F4A69">
        <w:rPr>
          <w:rFonts w:ascii="Arial" w:hAnsi="Arial" w:cs="Arial"/>
        </w:rPr>
        <w:t>(under 11</w:t>
      </w:r>
      <w:r w:rsidR="009F4A69" w:rsidRPr="009F4A69">
        <w:rPr>
          <w:rFonts w:ascii="Arial" w:hAnsi="Arial" w:cs="Arial"/>
          <w:vertAlign w:val="superscript"/>
        </w:rPr>
        <w:t>th</w:t>
      </w:r>
      <w:r w:rsidR="009F4A69">
        <w:rPr>
          <w:rFonts w:ascii="Arial" w:hAnsi="Arial" w:cs="Arial"/>
        </w:rPr>
        <w:t xml:space="preserve"> RIP/EDF) </w:t>
      </w:r>
      <w:r w:rsidRPr="0009691A">
        <w:rPr>
          <w:rFonts w:ascii="Arial" w:hAnsi="Arial" w:cs="Arial"/>
        </w:rPr>
        <w:t xml:space="preserve">and USAID </w:t>
      </w:r>
      <w:r w:rsidR="009F4A69">
        <w:rPr>
          <w:rFonts w:ascii="Arial" w:hAnsi="Arial" w:cs="Arial"/>
        </w:rPr>
        <w:t xml:space="preserve">(under RDOAG) </w:t>
      </w:r>
      <w:r w:rsidRPr="0009691A">
        <w:rPr>
          <w:rFonts w:ascii="Arial" w:hAnsi="Arial" w:cs="Arial"/>
        </w:rPr>
        <w:t xml:space="preserve">will ensure accelerated implementation of the 2016-2020 MTSP over the </w:t>
      </w:r>
      <w:r w:rsidR="009F4A69">
        <w:rPr>
          <w:rFonts w:ascii="Arial" w:hAnsi="Arial" w:cs="Arial"/>
        </w:rPr>
        <w:t xml:space="preserve">next </w:t>
      </w:r>
      <w:r w:rsidRPr="0009691A">
        <w:rPr>
          <w:rFonts w:ascii="Arial" w:hAnsi="Arial" w:cs="Arial"/>
        </w:rPr>
        <w:t xml:space="preserve">two years. </w:t>
      </w:r>
      <w:r w:rsidR="009F4A69">
        <w:rPr>
          <w:rFonts w:ascii="Arial" w:hAnsi="Arial" w:cs="Arial"/>
        </w:rPr>
        <w:t xml:space="preserve">The implementation of MTSP has thus reached a mid-point. </w:t>
      </w:r>
    </w:p>
    <w:p w14:paraId="44B0D918" w14:textId="77777777" w:rsidR="000F39BD" w:rsidRPr="0009691A" w:rsidRDefault="000F39BD" w:rsidP="000F39BD">
      <w:pPr>
        <w:pStyle w:val="ListParagraph"/>
        <w:tabs>
          <w:tab w:val="left" w:pos="720"/>
        </w:tabs>
        <w:ind w:left="0"/>
        <w:jc w:val="both"/>
        <w:rPr>
          <w:rFonts w:ascii="Arial" w:hAnsi="Arial" w:cs="Arial"/>
        </w:rPr>
      </w:pPr>
    </w:p>
    <w:p w14:paraId="4F853E44" w14:textId="77777777" w:rsidR="000F39BD" w:rsidRPr="0009691A" w:rsidRDefault="000F39BD" w:rsidP="00552CA2">
      <w:pPr>
        <w:pStyle w:val="ListParagraph"/>
        <w:numPr>
          <w:ilvl w:val="0"/>
          <w:numId w:val="4"/>
        </w:numPr>
        <w:tabs>
          <w:tab w:val="left" w:pos="720"/>
        </w:tabs>
        <w:ind w:left="0" w:firstLine="0"/>
        <w:jc w:val="both"/>
        <w:rPr>
          <w:rFonts w:ascii="Arial" w:hAnsi="Arial" w:cs="Arial"/>
        </w:rPr>
      </w:pPr>
      <w:r w:rsidRPr="0009691A">
        <w:rPr>
          <w:rFonts w:ascii="Arial" w:hAnsi="Arial" w:cs="Arial"/>
        </w:rPr>
        <w:t>Given the above, COMESA should remain optimistic of impact of 2016-2020 MTSP on its objectives, particularly contributing to the growth of the COMESA economy.</w:t>
      </w:r>
    </w:p>
    <w:bookmarkEnd w:id="19"/>
    <w:p w14:paraId="45B29AA8" w14:textId="77777777" w:rsidR="00966FC3" w:rsidRPr="0009691A" w:rsidRDefault="00966FC3" w:rsidP="00966FC3">
      <w:pPr>
        <w:pStyle w:val="Heading1"/>
        <w:spacing w:before="0" w:line="240" w:lineRule="auto"/>
        <w:rPr>
          <w:rFonts w:ascii="Arial" w:hAnsi="Arial" w:cs="Arial"/>
          <w:b/>
          <w:sz w:val="22"/>
          <w:szCs w:val="22"/>
        </w:rPr>
      </w:pPr>
    </w:p>
    <w:p w14:paraId="6FE404B5" w14:textId="77777777" w:rsidR="00966FC3" w:rsidRPr="0009691A" w:rsidRDefault="00307F98" w:rsidP="00966FC3">
      <w:pPr>
        <w:pStyle w:val="Heading1"/>
        <w:spacing w:before="0" w:line="240" w:lineRule="auto"/>
        <w:rPr>
          <w:rFonts w:ascii="Arial" w:hAnsi="Arial" w:cs="Arial"/>
          <w:b/>
          <w:sz w:val="22"/>
          <w:szCs w:val="22"/>
        </w:rPr>
      </w:pPr>
      <w:bookmarkStart w:id="22" w:name="_Toc23006791"/>
      <w:r w:rsidRPr="0009691A">
        <w:rPr>
          <w:rFonts w:ascii="Arial" w:hAnsi="Arial" w:cs="Arial"/>
          <w:b/>
          <w:sz w:val="22"/>
          <w:szCs w:val="22"/>
        </w:rPr>
        <w:t>PART B</w:t>
      </w:r>
      <w:r w:rsidR="00966FC3" w:rsidRPr="0009691A">
        <w:rPr>
          <w:rFonts w:ascii="Arial" w:hAnsi="Arial" w:cs="Arial"/>
          <w:b/>
          <w:sz w:val="22"/>
          <w:szCs w:val="22"/>
        </w:rPr>
        <w:t>:</w:t>
      </w:r>
      <w:r w:rsidR="00966FC3" w:rsidRPr="0009691A">
        <w:rPr>
          <w:rFonts w:ascii="Arial" w:hAnsi="Arial" w:cs="Arial"/>
          <w:b/>
          <w:sz w:val="22"/>
          <w:szCs w:val="22"/>
        </w:rPr>
        <w:tab/>
        <w:t xml:space="preserve">OVERVIEW OF THE </w:t>
      </w:r>
      <w:r w:rsidR="00C563F4">
        <w:rPr>
          <w:rFonts w:ascii="Arial" w:hAnsi="Arial" w:cs="Arial"/>
          <w:b/>
          <w:sz w:val="22"/>
          <w:szCs w:val="22"/>
        </w:rPr>
        <w:t>2020</w:t>
      </w:r>
      <w:r w:rsidR="00966FC3" w:rsidRPr="0009691A">
        <w:rPr>
          <w:rFonts w:ascii="Arial" w:hAnsi="Arial" w:cs="Arial"/>
          <w:b/>
          <w:sz w:val="22"/>
          <w:szCs w:val="22"/>
        </w:rPr>
        <w:t xml:space="preserve"> BUDGET ESTIMATES</w:t>
      </w:r>
      <w:bookmarkEnd w:id="22"/>
    </w:p>
    <w:p w14:paraId="19958041" w14:textId="77777777" w:rsidR="00966FC3" w:rsidRPr="0009691A" w:rsidRDefault="00966FC3" w:rsidP="004D4365">
      <w:pPr>
        <w:spacing w:after="0" w:line="240" w:lineRule="auto"/>
        <w:rPr>
          <w:rFonts w:ascii="Arial" w:hAnsi="Arial" w:cs="Arial"/>
          <w:b/>
        </w:rPr>
      </w:pPr>
    </w:p>
    <w:p w14:paraId="1765F1B1" w14:textId="77777777" w:rsidR="00307F98" w:rsidRPr="0009691A" w:rsidRDefault="00307F98" w:rsidP="00307F98">
      <w:pPr>
        <w:pStyle w:val="Heading2"/>
        <w:tabs>
          <w:tab w:val="left" w:pos="720"/>
        </w:tabs>
        <w:rPr>
          <w:rFonts w:ascii="Arial" w:eastAsia="Times New Roman" w:hAnsi="Arial" w:cs="Arial"/>
          <w:sz w:val="22"/>
          <w:szCs w:val="22"/>
        </w:rPr>
      </w:pPr>
      <w:bookmarkStart w:id="23" w:name="_Toc23006792"/>
      <w:r w:rsidRPr="0009691A">
        <w:rPr>
          <w:rFonts w:ascii="Arial" w:eastAsia="Times New Roman" w:hAnsi="Arial" w:cs="Arial"/>
          <w:sz w:val="22"/>
          <w:szCs w:val="22"/>
        </w:rPr>
        <w:t>B1:</w:t>
      </w:r>
      <w:r w:rsidRPr="0009691A">
        <w:rPr>
          <w:rFonts w:ascii="Arial" w:eastAsia="Times New Roman" w:hAnsi="Arial" w:cs="Arial"/>
          <w:sz w:val="22"/>
          <w:szCs w:val="22"/>
        </w:rPr>
        <w:tab/>
      </w:r>
      <w:r w:rsidR="00C563F4">
        <w:rPr>
          <w:rFonts w:ascii="Arial" w:eastAsia="Times New Roman" w:hAnsi="Arial" w:cs="Arial"/>
          <w:sz w:val="22"/>
          <w:szCs w:val="22"/>
        </w:rPr>
        <w:t>2020</w:t>
      </w:r>
      <w:r w:rsidRPr="0009691A">
        <w:rPr>
          <w:rFonts w:ascii="Arial" w:eastAsia="Times New Roman" w:hAnsi="Arial" w:cs="Arial"/>
          <w:sz w:val="22"/>
          <w:szCs w:val="22"/>
        </w:rPr>
        <w:t xml:space="preserve"> Funding Framework</w:t>
      </w:r>
      <w:bookmarkEnd w:id="23"/>
    </w:p>
    <w:p w14:paraId="3CF5CFFE" w14:textId="77777777" w:rsidR="00307F98" w:rsidRPr="0009691A" w:rsidRDefault="00307F98" w:rsidP="004D4365">
      <w:pPr>
        <w:spacing w:after="0" w:line="240" w:lineRule="auto"/>
        <w:rPr>
          <w:rFonts w:ascii="Arial" w:hAnsi="Arial" w:cs="Arial"/>
          <w:b/>
        </w:rPr>
      </w:pPr>
    </w:p>
    <w:p w14:paraId="3D39220F" w14:textId="77777777" w:rsidR="00307F98" w:rsidRPr="0009691A" w:rsidRDefault="00C563F4" w:rsidP="00552CA2">
      <w:pPr>
        <w:pStyle w:val="ListParagraph"/>
        <w:numPr>
          <w:ilvl w:val="0"/>
          <w:numId w:val="4"/>
        </w:numPr>
        <w:tabs>
          <w:tab w:val="left" w:pos="720"/>
        </w:tabs>
        <w:ind w:left="0" w:firstLine="0"/>
        <w:jc w:val="both"/>
        <w:rPr>
          <w:rFonts w:ascii="Arial" w:hAnsi="Arial" w:cs="Arial"/>
        </w:rPr>
      </w:pPr>
      <w:r>
        <w:rPr>
          <w:rFonts w:ascii="Arial" w:hAnsi="Arial" w:cs="Arial"/>
        </w:rPr>
        <w:t>2020</w:t>
      </w:r>
      <w:r w:rsidR="00307F98" w:rsidRPr="0009691A">
        <w:rPr>
          <w:rFonts w:ascii="Arial" w:hAnsi="Arial" w:cs="Arial"/>
        </w:rPr>
        <w:t xml:space="preserve"> Funding framework is set based on </w:t>
      </w:r>
      <w:r w:rsidR="004C4EF9" w:rsidRPr="0009691A">
        <w:rPr>
          <w:rFonts w:ascii="Arial" w:hAnsi="Arial" w:cs="Arial"/>
        </w:rPr>
        <w:t xml:space="preserve">indicative levels of funding to be availed by Member States through assessed annual contribution and Cooperating Partners through agreements. </w:t>
      </w:r>
    </w:p>
    <w:p w14:paraId="53DC6AAC" w14:textId="77777777" w:rsidR="00307F98" w:rsidRPr="0009691A" w:rsidRDefault="00307F98" w:rsidP="00307F98">
      <w:pPr>
        <w:pStyle w:val="ListParagraph"/>
        <w:tabs>
          <w:tab w:val="left" w:pos="720"/>
        </w:tabs>
        <w:ind w:left="0"/>
        <w:jc w:val="both"/>
        <w:rPr>
          <w:rFonts w:ascii="Arial" w:hAnsi="Arial" w:cs="Arial"/>
        </w:rPr>
      </w:pPr>
    </w:p>
    <w:p w14:paraId="49F51E6D" w14:textId="77777777" w:rsidR="004C4EF9" w:rsidRPr="0009691A" w:rsidRDefault="004C4EF9" w:rsidP="004C4EF9">
      <w:pPr>
        <w:pStyle w:val="Heading3"/>
        <w:rPr>
          <w:sz w:val="22"/>
          <w:szCs w:val="22"/>
        </w:rPr>
      </w:pPr>
      <w:bookmarkStart w:id="24" w:name="_Toc23006793"/>
      <w:r w:rsidRPr="0009691A">
        <w:rPr>
          <w:sz w:val="22"/>
          <w:szCs w:val="22"/>
        </w:rPr>
        <w:t>Assessed annual contribution from Member States</w:t>
      </w:r>
      <w:bookmarkEnd w:id="24"/>
      <w:r w:rsidRPr="0009691A">
        <w:rPr>
          <w:sz w:val="22"/>
          <w:szCs w:val="22"/>
        </w:rPr>
        <w:t xml:space="preserve"> </w:t>
      </w:r>
      <w:r w:rsidRPr="0009691A">
        <w:rPr>
          <w:sz w:val="22"/>
          <w:szCs w:val="22"/>
        </w:rPr>
        <w:tab/>
      </w:r>
    </w:p>
    <w:p w14:paraId="5B9D228C" w14:textId="77777777" w:rsidR="00AE1A04" w:rsidRPr="0009691A" w:rsidRDefault="004C4EF9" w:rsidP="00552CA2">
      <w:pPr>
        <w:pStyle w:val="ListParagraph"/>
        <w:numPr>
          <w:ilvl w:val="0"/>
          <w:numId w:val="4"/>
        </w:numPr>
        <w:tabs>
          <w:tab w:val="left" w:pos="720"/>
        </w:tabs>
        <w:ind w:left="0" w:firstLine="0"/>
        <w:jc w:val="both"/>
        <w:rPr>
          <w:rFonts w:ascii="Arial" w:hAnsi="Arial" w:cs="Arial"/>
        </w:rPr>
      </w:pPr>
      <w:r w:rsidRPr="0009691A">
        <w:rPr>
          <w:rFonts w:ascii="Arial" w:hAnsi="Arial" w:cs="Arial"/>
        </w:rPr>
        <w:t>COMESA’s framework for determining assessed annual Member States contributions incorporates parameters, relating to gross national product, gross national income; population size; intra COMESA imports; and extra COMESA imports. These parameters enable the resultant assessed annual contribution to reflect capacity to pay. Adjustments</w:t>
      </w:r>
      <w:r w:rsidR="00D06644" w:rsidRPr="0009691A">
        <w:rPr>
          <w:rFonts w:ascii="Arial" w:hAnsi="Arial" w:cs="Arial"/>
        </w:rPr>
        <w:t xml:space="preserve">; </w:t>
      </w:r>
    </w:p>
    <w:p w14:paraId="364344BA" w14:textId="77777777" w:rsidR="00AE1A04" w:rsidRPr="0009691A" w:rsidRDefault="00AE1A04" w:rsidP="00AE1A04">
      <w:pPr>
        <w:pStyle w:val="ListParagraph"/>
        <w:tabs>
          <w:tab w:val="left" w:pos="720"/>
        </w:tabs>
        <w:ind w:left="0"/>
        <w:jc w:val="both"/>
        <w:rPr>
          <w:rFonts w:ascii="Arial" w:hAnsi="Arial" w:cs="Arial"/>
        </w:rPr>
      </w:pPr>
    </w:p>
    <w:p w14:paraId="4DB074AD" w14:textId="77777777" w:rsidR="004C4EF9" w:rsidRPr="0009691A" w:rsidRDefault="00AE1A04" w:rsidP="00552CA2">
      <w:pPr>
        <w:pStyle w:val="ListParagraph"/>
        <w:numPr>
          <w:ilvl w:val="0"/>
          <w:numId w:val="6"/>
        </w:numPr>
        <w:tabs>
          <w:tab w:val="left" w:pos="720"/>
        </w:tabs>
        <w:jc w:val="both"/>
        <w:rPr>
          <w:rFonts w:ascii="Arial" w:hAnsi="Arial" w:cs="Arial"/>
        </w:rPr>
      </w:pPr>
      <w:r w:rsidRPr="0009691A">
        <w:rPr>
          <w:rFonts w:ascii="Arial" w:hAnsi="Arial" w:cs="Arial"/>
        </w:rPr>
        <w:t xml:space="preserve">being upper capping and floor capping, </w:t>
      </w:r>
      <w:r w:rsidR="004C4EF9" w:rsidRPr="0009691A">
        <w:rPr>
          <w:rFonts w:ascii="Arial" w:hAnsi="Arial" w:cs="Arial"/>
        </w:rPr>
        <w:t xml:space="preserve">are made to ensure all Member States contribute towards </w:t>
      </w:r>
      <w:r w:rsidRPr="0009691A">
        <w:rPr>
          <w:rFonts w:ascii="Arial" w:hAnsi="Arial" w:cs="Arial"/>
        </w:rPr>
        <w:t>the implementation of COMESA work programme.</w:t>
      </w:r>
    </w:p>
    <w:p w14:paraId="0578FA47" w14:textId="77777777" w:rsidR="00AE1A04" w:rsidRPr="0009691A" w:rsidRDefault="00AE1A04" w:rsidP="00AE1A04">
      <w:pPr>
        <w:pStyle w:val="ListParagraph"/>
        <w:tabs>
          <w:tab w:val="left" w:pos="720"/>
        </w:tabs>
        <w:ind w:left="1440"/>
        <w:jc w:val="both"/>
        <w:rPr>
          <w:rFonts w:ascii="Arial" w:hAnsi="Arial" w:cs="Arial"/>
        </w:rPr>
      </w:pPr>
    </w:p>
    <w:p w14:paraId="0D2618B7" w14:textId="77777777" w:rsidR="00AE1A04" w:rsidRPr="0009691A" w:rsidRDefault="00AE1A04" w:rsidP="00552CA2">
      <w:pPr>
        <w:pStyle w:val="ListParagraph"/>
        <w:numPr>
          <w:ilvl w:val="0"/>
          <w:numId w:val="6"/>
        </w:numPr>
        <w:tabs>
          <w:tab w:val="left" w:pos="720"/>
        </w:tabs>
        <w:jc w:val="both"/>
        <w:rPr>
          <w:rFonts w:ascii="Arial" w:hAnsi="Arial" w:cs="Arial"/>
        </w:rPr>
      </w:pPr>
      <w:r w:rsidRPr="0009691A">
        <w:rPr>
          <w:rFonts w:ascii="Arial" w:hAnsi="Arial" w:cs="Arial"/>
        </w:rPr>
        <w:t>Are also made to smoothen budgetary impact.</w:t>
      </w:r>
    </w:p>
    <w:p w14:paraId="098ECA53" w14:textId="14E245DE" w:rsidR="00AE1A04" w:rsidRDefault="00AE1A04" w:rsidP="00AE1A04">
      <w:pPr>
        <w:pStyle w:val="ListParagraph"/>
        <w:tabs>
          <w:tab w:val="left" w:pos="720"/>
        </w:tabs>
        <w:ind w:left="0"/>
        <w:jc w:val="both"/>
        <w:rPr>
          <w:rFonts w:ascii="Arial" w:hAnsi="Arial" w:cs="Arial"/>
        </w:rPr>
      </w:pPr>
    </w:p>
    <w:p w14:paraId="2B0943F4" w14:textId="2AF528BA" w:rsidR="00265122" w:rsidRPr="0009691A" w:rsidRDefault="00265122" w:rsidP="00552CA2">
      <w:pPr>
        <w:pStyle w:val="ListParagraph"/>
        <w:numPr>
          <w:ilvl w:val="0"/>
          <w:numId w:val="4"/>
        </w:numPr>
        <w:tabs>
          <w:tab w:val="left" w:pos="720"/>
        </w:tabs>
        <w:ind w:left="0" w:firstLine="0"/>
        <w:jc w:val="both"/>
        <w:rPr>
          <w:rFonts w:ascii="Arial" w:hAnsi="Arial" w:cs="Arial"/>
        </w:rPr>
      </w:pPr>
      <w:r>
        <w:rPr>
          <w:rFonts w:ascii="Arial" w:hAnsi="Arial" w:cs="Arial"/>
        </w:rPr>
        <w:t xml:space="preserve">Based on the above, Appendix 2 highlights levels of Member States funding available for 2020 work programmes, including the </w:t>
      </w:r>
      <w:r w:rsidR="00364C1B">
        <w:rPr>
          <w:rFonts w:ascii="Arial" w:hAnsi="Arial" w:cs="Arial"/>
        </w:rPr>
        <w:t>distribution of the assessed annual Member States contributions.</w:t>
      </w:r>
    </w:p>
    <w:p w14:paraId="479F072D" w14:textId="3AE325A9" w:rsidR="00265122" w:rsidRDefault="00265122" w:rsidP="00AE1A04">
      <w:pPr>
        <w:pStyle w:val="ListParagraph"/>
        <w:tabs>
          <w:tab w:val="left" w:pos="720"/>
        </w:tabs>
        <w:ind w:left="0"/>
        <w:jc w:val="both"/>
        <w:rPr>
          <w:rFonts w:ascii="Arial" w:hAnsi="Arial" w:cs="Arial"/>
        </w:rPr>
      </w:pPr>
    </w:p>
    <w:p w14:paraId="1D09FF65" w14:textId="77777777" w:rsidR="00D06644" w:rsidRPr="0009691A" w:rsidRDefault="00D06644" w:rsidP="00D06644">
      <w:pPr>
        <w:pStyle w:val="ListParagraph"/>
        <w:tabs>
          <w:tab w:val="left" w:pos="720"/>
        </w:tabs>
        <w:ind w:left="1440"/>
        <w:jc w:val="both"/>
        <w:rPr>
          <w:rFonts w:ascii="Arial" w:hAnsi="Arial" w:cs="Arial"/>
        </w:rPr>
        <w:sectPr w:rsidR="00D06644" w:rsidRPr="0009691A" w:rsidSect="00E51962">
          <w:headerReference w:type="default" r:id="rId22"/>
          <w:pgSz w:w="11906" w:h="16838"/>
          <w:pgMar w:top="1440" w:right="1440" w:bottom="1440" w:left="450" w:header="708" w:footer="708" w:gutter="0"/>
          <w:cols w:space="708"/>
          <w:docGrid w:linePitch="360"/>
        </w:sectPr>
      </w:pPr>
    </w:p>
    <w:p w14:paraId="44A5F34B" w14:textId="77777777" w:rsidR="00A034CC" w:rsidRPr="0009691A" w:rsidRDefault="00A034CC" w:rsidP="00A034CC">
      <w:pPr>
        <w:pStyle w:val="Heading3"/>
        <w:rPr>
          <w:sz w:val="22"/>
          <w:szCs w:val="22"/>
        </w:rPr>
      </w:pPr>
      <w:bookmarkStart w:id="25" w:name="_Toc23006794"/>
      <w:r w:rsidRPr="0009691A">
        <w:rPr>
          <w:sz w:val="22"/>
          <w:szCs w:val="22"/>
        </w:rPr>
        <w:lastRenderedPageBreak/>
        <w:t>Contributions from Cooperating Partners</w:t>
      </w:r>
      <w:bookmarkEnd w:id="25"/>
      <w:r w:rsidRPr="0009691A">
        <w:rPr>
          <w:sz w:val="22"/>
          <w:szCs w:val="22"/>
        </w:rPr>
        <w:t xml:space="preserve"> </w:t>
      </w:r>
    </w:p>
    <w:p w14:paraId="2D73503A" w14:textId="77777777" w:rsidR="00A034CC" w:rsidRPr="0009691A" w:rsidRDefault="00A034CC" w:rsidP="00552CA2">
      <w:pPr>
        <w:pStyle w:val="ListParagraph"/>
        <w:numPr>
          <w:ilvl w:val="0"/>
          <w:numId w:val="4"/>
        </w:numPr>
        <w:tabs>
          <w:tab w:val="left" w:pos="720"/>
        </w:tabs>
        <w:ind w:left="0" w:firstLine="0"/>
        <w:jc w:val="both"/>
        <w:rPr>
          <w:rFonts w:ascii="Arial" w:hAnsi="Arial" w:cs="Arial"/>
        </w:rPr>
      </w:pPr>
      <w:r w:rsidRPr="0009691A">
        <w:rPr>
          <w:rFonts w:ascii="Arial" w:hAnsi="Arial" w:cs="Arial"/>
        </w:rPr>
        <w:t xml:space="preserve">COMESA shall continue to rely on resources from Cooperating Partners to complement its own resources.  </w:t>
      </w:r>
      <w:r w:rsidR="002F468E" w:rsidRPr="0009691A">
        <w:rPr>
          <w:rFonts w:ascii="Arial" w:hAnsi="Arial" w:cs="Arial"/>
        </w:rPr>
        <w:t xml:space="preserve">It is important that resources from Cooperating Partners are applied on interventions of significant impact. </w:t>
      </w:r>
    </w:p>
    <w:p w14:paraId="3BD97B97" w14:textId="77777777" w:rsidR="00A034CC" w:rsidRPr="0009691A" w:rsidRDefault="00A034CC" w:rsidP="00A034CC">
      <w:pPr>
        <w:pStyle w:val="ListParagraph"/>
        <w:tabs>
          <w:tab w:val="left" w:pos="720"/>
        </w:tabs>
        <w:ind w:left="0"/>
        <w:jc w:val="both"/>
        <w:rPr>
          <w:rFonts w:ascii="Arial" w:hAnsi="Arial" w:cs="Arial"/>
        </w:rPr>
      </w:pPr>
    </w:p>
    <w:p w14:paraId="21672460" w14:textId="77777777" w:rsidR="00A034CC" w:rsidRPr="0009691A" w:rsidRDefault="00A034CC" w:rsidP="00552CA2">
      <w:pPr>
        <w:pStyle w:val="ListParagraph"/>
        <w:numPr>
          <w:ilvl w:val="0"/>
          <w:numId w:val="4"/>
        </w:numPr>
        <w:tabs>
          <w:tab w:val="left" w:pos="720"/>
        </w:tabs>
        <w:ind w:left="0" w:firstLine="0"/>
        <w:jc w:val="both"/>
        <w:rPr>
          <w:rFonts w:ascii="Arial" w:hAnsi="Arial" w:cs="Arial"/>
        </w:rPr>
      </w:pPr>
      <w:r w:rsidRPr="0009691A">
        <w:rPr>
          <w:rFonts w:ascii="Arial" w:hAnsi="Arial" w:cs="Arial"/>
        </w:rPr>
        <w:t>COMESA Policy Organs should thus require its Cooperating Partners to focus on interventions relating to: -</w:t>
      </w:r>
    </w:p>
    <w:p w14:paraId="0CEB4C85" w14:textId="77777777" w:rsidR="00A034CC" w:rsidRPr="0009691A" w:rsidRDefault="00A034CC" w:rsidP="00A034CC">
      <w:pPr>
        <w:pStyle w:val="ListParagraph"/>
        <w:rPr>
          <w:rFonts w:ascii="Arial" w:hAnsi="Arial" w:cs="Arial"/>
        </w:rPr>
      </w:pPr>
    </w:p>
    <w:p w14:paraId="39E35565" w14:textId="77777777" w:rsidR="00A034CC" w:rsidRPr="0009691A" w:rsidRDefault="00A034CC" w:rsidP="00552CA2">
      <w:pPr>
        <w:pStyle w:val="ListParagraph"/>
        <w:numPr>
          <w:ilvl w:val="0"/>
          <w:numId w:val="7"/>
        </w:numPr>
        <w:tabs>
          <w:tab w:val="left" w:pos="720"/>
        </w:tabs>
        <w:jc w:val="both"/>
        <w:rPr>
          <w:rFonts w:ascii="Arial" w:hAnsi="Arial" w:cs="Arial"/>
        </w:rPr>
      </w:pPr>
      <w:r w:rsidRPr="0009691A">
        <w:rPr>
          <w:rFonts w:ascii="Arial" w:hAnsi="Arial" w:cs="Arial"/>
        </w:rPr>
        <w:t>Market Integration and Industrial Development; and</w:t>
      </w:r>
    </w:p>
    <w:p w14:paraId="614FDDAE" w14:textId="77777777" w:rsidR="00A034CC" w:rsidRPr="0009691A" w:rsidRDefault="00A034CC" w:rsidP="00552CA2">
      <w:pPr>
        <w:pStyle w:val="ListParagraph"/>
        <w:numPr>
          <w:ilvl w:val="0"/>
          <w:numId w:val="7"/>
        </w:numPr>
        <w:tabs>
          <w:tab w:val="left" w:pos="720"/>
        </w:tabs>
        <w:jc w:val="both"/>
        <w:rPr>
          <w:rFonts w:ascii="Arial" w:hAnsi="Arial" w:cs="Arial"/>
        </w:rPr>
      </w:pPr>
      <w:r w:rsidRPr="0009691A">
        <w:rPr>
          <w:rFonts w:ascii="Arial" w:hAnsi="Arial" w:cs="Arial"/>
        </w:rPr>
        <w:t xml:space="preserve">Investment Facilitation and Promotion. </w:t>
      </w:r>
    </w:p>
    <w:p w14:paraId="4FF83BD2" w14:textId="77777777" w:rsidR="00C219CF" w:rsidRPr="0009691A" w:rsidRDefault="00C219CF" w:rsidP="00552CA2">
      <w:pPr>
        <w:pStyle w:val="ListParagraph"/>
        <w:numPr>
          <w:ilvl w:val="0"/>
          <w:numId w:val="7"/>
        </w:numPr>
        <w:tabs>
          <w:tab w:val="left" w:pos="720"/>
        </w:tabs>
        <w:jc w:val="both"/>
        <w:rPr>
          <w:rFonts w:ascii="Arial" w:hAnsi="Arial" w:cs="Arial"/>
        </w:rPr>
      </w:pPr>
      <w:r w:rsidRPr="0009691A">
        <w:rPr>
          <w:rFonts w:ascii="Arial" w:hAnsi="Arial" w:cs="Arial"/>
        </w:rPr>
        <w:t>Interventions from the strategic objectives impacting on the above (</w:t>
      </w:r>
      <w:proofErr w:type="spellStart"/>
      <w:r w:rsidRPr="0009691A">
        <w:rPr>
          <w:rFonts w:ascii="Arial" w:hAnsi="Arial" w:cs="Arial"/>
        </w:rPr>
        <w:t>i</w:t>
      </w:r>
      <w:proofErr w:type="spellEnd"/>
      <w:r w:rsidRPr="0009691A">
        <w:rPr>
          <w:rFonts w:ascii="Arial" w:hAnsi="Arial" w:cs="Arial"/>
        </w:rPr>
        <w:t>) and (ii).</w:t>
      </w:r>
    </w:p>
    <w:p w14:paraId="011BB871" w14:textId="77777777" w:rsidR="00A034CC" w:rsidRPr="0009691A" w:rsidRDefault="00A034CC" w:rsidP="00A034CC">
      <w:pPr>
        <w:pStyle w:val="ListParagraph"/>
        <w:tabs>
          <w:tab w:val="left" w:pos="720"/>
        </w:tabs>
        <w:ind w:left="0"/>
        <w:jc w:val="both"/>
        <w:rPr>
          <w:rFonts w:ascii="Arial" w:hAnsi="Arial" w:cs="Arial"/>
        </w:rPr>
      </w:pPr>
      <w:r w:rsidRPr="0009691A">
        <w:rPr>
          <w:rFonts w:ascii="Arial" w:hAnsi="Arial" w:cs="Arial"/>
        </w:rPr>
        <w:t xml:space="preserve"> </w:t>
      </w:r>
    </w:p>
    <w:p w14:paraId="1F7F6FAA" w14:textId="77777777" w:rsidR="002F468E" w:rsidRPr="0009691A" w:rsidRDefault="002F468E" w:rsidP="00552CA2">
      <w:pPr>
        <w:pStyle w:val="ListParagraph"/>
        <w:numPr>
          <w:ilvl w:val="0"/>
          <w:numId w:val="4"/>
        </w:numPr>
        <w:tabs>
          <w:tab w:val="left" w:pos="720"/>
        </w:tabs>
        <w:ind w:left="0" w:firstLine="0"/>
        <w:jc w:val="both"/>
        <w:rPr>
          <w:rFonts w:ascii="Arial" w:hAnsi="Arial" w:cs="Arial"/>
        </w:rPr>
      </w:pPr>
      <w:r w:rsidRPr="0009691A">
        <w:rPr>
          <w:rFonts w:ascii="Arial" w:hAnsi="Arial" w:cs="Arial"/>
        </w:rPr>
        <w:t xml:space="preserve">New </w:t>
      </w:r>
      <w:r w:rsidR="00C219CF" w:rsidRPr="0009691A">
        <w:rPr>
          <w:rFonts w:ascii="Arial" w:hAnsi="Arial" w:cs="Arial"/>
        </w:rPr>
        <w:t xml:space="preserve">cooperation instruments and financing </w:t>
      </w:r>
      <w:r w:rsidRPr="0009691A">
        <w:rPr>
          <w:rFonts w:ascii="Arial" w:hAnsi="Arial" w:cs="Arial"/>
        </w:rPr>
        <w:t xml:space="preserve">agreements </w:t>
      </w:r>
      <w:r w:rsidR="00C219CF" w:rsidRPr="0009691A">
        <w:rPr>
          <w:rFonts w:ascii="Arial" w:hAnsi="Arial" w:cs="Arial"/>
        </w:rPr>
        <w:t>should only be concluded bas</w:t>
      </w:r>
      <w:r w:rsidRPr="0009691A">
        <w:rPr>
          <w:rFonts w:ascii="Arial" w:hAnsi="Arial" w:cs="Arial"/>
        </w:rPr>
        <w:t>ed</w:t>
      </w:r>
      <w:r w:rsidR="00C219CF" w:rsidRPr="0009691A">
        <w:rPr>
          <w:rFonts w:ascii="Arial" w:hAnsi="Arial" w:cs="Arial"/>
        </w:rPr>
        <w:t xml:space="preserve"> on assessed impact on the above focus intervention areas. </w:t>
      </w:r>
    </w:p>
    <w:p w14:paraId="799CD0DB" w14:textId="23C5A44D" w:rsidR="00E70A86" w:rsidRPr="00E70A86" w:rsidRDefault="00E70A86" w:rsidP="00E70A86">
      <w:pPr>
        <w:autoSpaceDE w:val="0"/>
        <w:autoSpaceDN w:val="0"/>
        <w:adjustRightInd w:val="0"/>
        <w:spacing w:after="0" w:line="240" w:lineRule="auto"/>
        <w:ind w:left="720"/>
        <w:rPr>
          <w:rFonts w:ascii="Calibri" w:hAnsi="Calibri" w:cs="Calibri"/>
          <w:color w:val="000000"/>
        </w:rPr>
      </w:pPr>
      <w:r w:rsidRPr="00E70A86">
        <w:rPr>
          <w:rFonts w:ascii="Calibri" w:hAnsi="Calibri" w:cs="Calibri"/>
          <w:color w:val="000000"/>
        </w:rPr>
        <w:tab/>
      </w:r>
      <w:r w:rsidRPr="00E70A86">
        <w:rPr>
          <w:rFonts w:ascii="Calibri" w:hAnsi="Calibri" w:cs="Calibri"/>
          <w:color w:val="000000"/>
        </w:rPr>
        <w:tab/>
      </w:r>
    </w:p>
    <w:p w14:paraId="1005484A" w14:textId="059B3D5A" w:rsidR="00C219CF" w:rsidRPr="0009691A" w:rsidRDefault="00C219CF" w:rsidP="00C219CF">
      <w:pPr>
        <w:pStyle w:val="Heading3"/>
        <w:rPr>
          <w:sz w:val="22"/>
          <w:szCs w:val="22"/>
        </w:rPr>
      </w:pPr>
      <w:bookmarkStart w:id="26" w:name="_Toc23006795"/>
      <w:r w:rsidRPr="0009691A">
        <w:rPr>
          <w:sz w:val="22"/>
          <w:szCs w:val="22"/>
        </w:rPr>
        <w:t xml:space="preserve">Deliberate measure to </w:t>
      </w:r>
      <w:r w:rsidR="003B63CB">
        <w:rPr>
          <w:sz w:val="22"/>
          <w:szCs w:val="22"/>
        </w:rPr>
        <w:t>come up with a sustainable financing mechanism</w:t>
      </w:r>
      <w:bookmarkEnd w:id="26"/>
      <w:r w:rsidR="003B63CB">
        <w:rPr>
          <w:sz w:val="22"/>
          <w:szCs w:val="22"/>
        </w:rPr>
        <w:t xml:space="preserve"> </w:t>
      </w:r>
    </w:p>
    <w:p w14:paraId="35B2F38F" w14:textId="203B0FEE" w:rsidR="00D06644" w:rsidRDefault="003B63CB" w:rsidP="00552CA2">
      <w:pPr>
        <w:pStyle w:val="ListParagraph"/>
        <w:numPr>
          <w:ilvl w:val="0"/>
          <w:numId w:val="4"/>
        </w:numPr>
        <w:tabs>
          <w:tab w:val="left" w:pos="720"/>
        </w:tabs>
        <w:ind w:left="0" w:firstLine="0"/>
        <w:jc w:val="both"/>
        <w:rPr>
          <w:rFonts w:ascii="Arial" w:hAnsi="Arial" w:cs="Arial"/>
        </w:rPr>
      </w:pPr>
      <w:r>
        <w:rPr>
          <w:rFonts w:ascii="Arial" w:hAnsi="Arial" w:cs="Arial"/>
        </w:rPr>
        <w:t xml:space="preserve">Ministers responsible Finance and Central Bank Governors are overseeing work, which is aimed at coming up with sustainable mechanism for financing COMESA programmes. At their meeting held in Washington, USA in October 2019 they adopted a Road Map to guide their work. </w:t>
      </w:r>
    </w:p>
    <w:p w14:paraId="7FDB0924" w14:textId="77777777" w:rsidR="003B63CB" w:rsidRDefault="003B63CB" w:rsidP="003B63CB">
      <w:pPr>
        <w:pStyle w:val="ListParagraph"/>
        <w:tabs>
          <w:tab w:val="left" w:pos="720"/>
        </w:tabs>
        <w:ind w:left="0"/>
        <w:jc w:val="both"/>
        <w:rPr>
          <w:rFonts w:ascii="Arial" w:hAnsi="Arial" w:cs="Arial"/>
        </w:rPr>
      </w:pPr>
    </w:p>
    <w:p w14:paraId="3F77350C" w14:textId="3EF1785D" w:rsidR="003B63CB" w:rsidRPr="0009691A" w:rsidRDefault="003B63CB" w:rsidP="00552CA2">
      <w:pPr>
        <w:pStyle w:val="ListParagraph"/>
        <w:numPr>
          <w:ilvl w:val="0"/>
          <w:numId w:val="4"/>
        </w:numPr>
        <w:tabs>
          <w:tab w:val="left" w:pos="720"/>
        </w:tabs>
        <w:ind w:left="0" w:firstLine="0"/>
        <w:jc w:val="both"/>
        <w:rPr>
          <w:rFonts w:ascii="Arial" w:hAnsi="Arial" w:cs="Arial"/>
        </w:rPr>
      </w:pPr>
      <w:r>
        <w:rPr>
          <w:rFonts w:ascii="Arial" w:hAnsi="Arial" w:cs="Arial"/>
        </w:rPr>
        <w:t xml:space="preserve">Current financing mechanism characterized by Member States not being remitting assessed annual Member States contributions in a predictable manner and over-dependence on grant funding. </w:t>
      </w:r>
    </w:p>
    <w:p w14:paraId="03AC8B7D" w14:textId="77777777" w:rsidR="00D06644" w:rsidRPr="0009691A" w:rsidRDefault="00D06644" w:rsidP="00D06644">
      <w:pPr>
        <w:pStyle w:val="ListParagraph"/>
        <w:tabs>
          <w:tab w:val="left" w:pos="720"/>
        </w:tabs>
        <w:ind w:left="0"/>
        <w:jc w:val="both"/>
        <w:rPr>
          <w:rFonts w:ascii="Arial" w:hAnsi="Arial" w:cs="Arial"/>
        </w:rPr>
      </w:pPr>
    </w:p>
    <w:p w14:paraId="0D6FE725" w14:textId="588F8579" w:rsidR="00307F98" w:rsidRPr="0009691A" w:rsidRDefault="00307F98" w:rsidP="00307F98">
      <w:pPr>
        <w:pStyle w:val="Heading2"/>
        <w:tabs>
          <w:tab w:val="left" w:pos="720"/>
        </w:tabs>
        <w:rPr>
          <w:rFonts w:ascii="Arial" w:eastAsia="Times New Roman" w:hAnsi="Arial" w:cs="Arial"/>
          <w:sz w:val="22"/>
          <w:szCs w:val="22"/>
        </w:rPr>
      </w:pPr>
      <w:bookmarkStart w:id="27" w:name="_Toc23006796"/>
      <w:r w:rsidRPr="0009691A">
        <w:rPr>
          <w:rFonts w:ascii="Arial" w:eastAsia="Times New Roman" w:hAnsi="Arial" w:cs="Arial"/>
          <w:sz w:val="22"/>
          <w:szCs w:val="22"/>
        </w:rPr>
        <w:t>B</w:t>
      </w:r>
      <w:r w:rsidR="006D1FDE">
        <w:rPr>
          <w:rFonts w:ascii="Arial" w:eastAsia="Times New Roman" w:hAnsi="Arial" w:cs="Arial"/>
          <w:sz w:val="22"/>
          <w:szCs w:val="22"/>
        </w:rPr>
        <w:t>2</w:t>
      </w:r>
      <w:r w:rsidRPr="0009691A">
        <w:rPr>
          <w:rFonts w:ascii="Arial" w:eastAsia="Times New Roman" w:hAnsi="Arial" w:cs="Arial"/>
          <w:sz w:val="22"/>
          <w:szCs w:val="22"/>
        </w:rPr>
        <w:t>:</w:t>
      </w:r>
      <w:r w:rsidRPr="0009691A">
        <w:rPr>
          <w:rFonts w:ascii="Arial" w:eastAsia="Times New Roman" w:hAnsi="Arial" w:cs="Arial"/>
          <w:sz w:val="22"/>
          <w:szCs w:val="22"/>
        </w:rPr>
        <w:tab/>
      </w:r>
      <w:r w:rsidR="00C563F4">
        <w:rPr>
          <w:rFonts w:ascii="Arial" w:eastAsia="Times New Roman" w:hAnsi="Arial" w:cs="Arial"/>
          <w:sz w:val="22"/>
          <w:szCs w:val="22"/>
        </w:rPr>
        <w:t>2020</w:t>
      </w:r>
      <w:r w:rsidRPr="0009691A">
        <w:rPr>
          <w:rFonts w:ascii="Arial" w:eastAsia="Times New Roman" w:hAnsi="Arial" w:cs="Arial"/>
          <w:sz w:val="22"/>
          <w:szCs w:val="22"/>
        </w:rPr>
        <w:t xml:space="preserve"> Expenditure Framework</w:t>
      </w:r>
      <w:bookmarkEnd w:id="27"/>
    </w:p>
    <w:p w14:paraId="19033AC7" w14:textId="1C008BA1" w:rsidR="0023306E" w:rsidRDefault="0023306E" w:rsidP="0023306E">
      <w:pPr>
        <w:pStyle w:val="Heading3"/>
        <w:rPr>
          <w:sz w:val="22"/>
          <w:szCs w:val="22"/>
        </w:rPr>
      </w:pPr>
      <w:bookmarkStart w:id="28" w:name="_Toc23006797"/>
      <w:r w:rsidRPr="0009691A">
        <w:rPr>
          <w:sz w:val="22"/>
          <w:szCs w:val="22"/>
        </w:rPr>
        <w:t>De facto resource allocation framework</w:t>
      </w:r>
      <w:bookmarkEnd w:id="28"/>
    </w:p>
    <w:p w14:paraId="2BF2B0F2" w14:textId="77777777" w:rsidR="002F7776" w:rsidRPr="0009691A" w:rsidRDefault="0023306E" w:rsidP="00552CA2">
      <w:pPr>
        <w:pStyle w:val="ListParagraph"/>
        <w:numPr>
          <w:ilvl w:val="0"/>
          <w:numId w:val="4"/>
        </w:numPr>
        <w:tabs>
          <w:tab w:val="left" w:pos="720"/>
        </w:tabs>
        <w:ind w:left="0" w:firstLine="0"/>
        <w:jc w:val="both"/>
        <w:rPr>
          <w:rFonts w:ascii="Arial" w:hAnsi="Arial" w:cs="Arial"/>
        </w:rPr>
      </w:pPr>
      <w:r w:rsidRPr="0009691A">
        <w:rPr>
          <w:rFonts w:ascii="Arial" w:hAnsi="Arial" w:cs="Arial"/>
        </w:rPr>
        <w:t xml:space="preserve">For </w:t>
      </w:r>
      <w:r w:rsidR="00C563F4">
        <w:rPr>
          <w:rFonts w:ascii="Arial" w:hAnsi="Arial" w:cs="Arial"/>
        </w:rPr>
        <w:t>2020</w:t>
      </w:r>
      <w:r w:rsidRPr="0009691A">
        <w:rPr>
          <w:rFonts w:ascii="Arial" w:hAnsi="Arial" w:cs="Arial"/>
        </w:rPr>
        <w:t xml:space="preserve">, COMESA Secretariat will continue with the allocation of resources as has been implemented from 2016, through to </w:t>
      </w:r>
      <w:r w:rsidR="00C563F4">
        <w:rPr>
          <w:rFonts w:ascii="Arial" w:hAnsi="Arial" w:cs="Arial"/>
        </w:rPr>
        <w:t>2019</w:t>
      </w:r>
      <w:r w:rsidRPr="0009691A">
        <w:rPr>
          <w:rFonts w:ascii="Arial" w:hAnsi="Arial" w:cs="Arial"/>
        </w:rPr>
        <w:t xml:space="preserve">. </w:t>
      </w:r>
    </w:p>
    <w:p w14:paraId="187B06CA" w14:textId="77777777" w:rsidR="002F7776" w:rsidRPr="0009691A" w:rsidRDefault="002F7776" w:rsidP="002F7776">
      <w:pPr>
        <w:pStyle w:val="ListParagraph"/>
        <w:tabs>
          <w:tab w:val="left" w:pos="720"/>
        </w:tabs>
        <w:ind w:left="0"/>
        <w:jc w:val="both"/>
        <w:rPr>
          <w:rFonts w:ascii="Arial" w:hAnsi="Arial" w:cs="Arial"/>
        </w:rPr>
      </w:pPr>
    </w:p>
    <w:p w14:paraId="42C022D0" w14:textId="77777777" w:rsidR="002F7776" w:rsidRPr="0009691A" w:rsidRDefault="002F7776" w:rsidP="00552CA2">
      <w:pPr>
        <w:pStyle w:val="ListParagraph"/>
        <w:numPr>
          <w:ilvl w:val="0"/>
          <w:numId w:val="4"/>
        </w:numPr>
        <w:tabs>
          <w:tab w:val="left" w:pos="720"/>
        </w:tabs>
        <w:ind w:left="0" w:firstLine="0"/>
        <w:jc w:val="both"/>
        <w:rPr>
          <w:rFonts w:ascii="Arial" w:hAnsi="Arial" w:cs="Arial"/>
        </w:rPr>
      </w:pPr>
      <w:r w:rsidRPr="0009691A">
        <w:rPr>
          <w:rFonts w:ascii="Arial" w:hAnsi="Arial" w:cs="Arial"/>
        </w:rPr>
        <w:t>Funding provided through assessed annual contributions are primarily intended to meet staff emoluments and institutional support activities. Cooperating Partners: -</w:t>
      </w:r>
    </w:p>
    <w:p w14:paraId="60045E93" w14:textId="77777777" w:rsidR="002F7776" w:rsidRPr="0009691A" w:rsidRDefault="002F7776" w:rsidP="002F7776">
      <w:pPr>
        <w:pStyle w:val="ListParagraph"/>
        <w:rPr>
          <w:rFonts w:ascii="Arial" w:hAnsi="Arial" w:cs="Arial"/>
        </w:rPr>
      </w:pPr>
    </w:p>
    <w:p w14:paraId="22AD2584" w14:textId="77777777" w:rsidR="002F7776" w:rsidRPr="0009691A" w:rsidRDefault="002F7776" w:rsidP="00552CA2">
      <w:pPr>
        <w:pStyle w:val="ListParagraph"/>
        <w:numPr>
          <w:ilvl w:val="0"/>
          <w:numId w:val="8"/>
        </w:numPr>
        <w:tabs>
          <w:tab w:val="left" w:pos="720"/>
        </w:tabs>
        <w:jc w:val="both"/>
        <w:rPr>
          <w:rFonts w:ascii="Arial" w:hAnsi="Arial" w:cs="Arial"/>
        </w:rPr>
      </w:pPr>
      <w:r w:rsidRPr="0009691A">
        <w:rPr>
          <w:rFonts w:ascii="Arial" w:hAnsi="Arial" w:cs="Arial"/>
        </w:rPr>
        <w:t>Have gradually withdrawn direct support towards institutional staffing, as well as institutional support activities; and</w:t>
      </w:r>
    </w:p>
    <w:p w14:paraId="6784F2F2" w14:textId="77777777" w:rsidR="002F7776" w:rsidRPr="0009691A" w:rsidRDefault="002F7776" w:rsidP="002F7776">
      <w:pPr>
        <w:pStyle w:val="ListParagraph"/>
        <w:tabs>
          <w:tab w:val="left" w:pos="720"/>
        </w:tabs>
        <w:ind w:left="1440"/>
        <w:jc w:val="both"/>
        <w:rPr>
          <w:rFonts w:ascii="Arial" w:hAnsi="Arial" w:cs="Arial"/>
        </w:rPr>
      </w:pPr>
    </w:p>
    <w:p w14:paraId="72691E61" w14:textId="77777777" w:rsidR="002F7776" w:rsidRPr="0009691A" w:rsidRDefault="002F7776" w:rsidP="00552CA2">
      <w:pPr>
        <w:pStyle w:val="ListParagraph"/>
        <w:numPr>
          <w:ilvl w:val="0"/>
          <w:numId w:val="8"/>
        </w:numPr>
        <w:tabs>
          <w:tab w:val="left" w:pos="720"/>
        </w:tabs>
        <w:jc w:val="both"/>
        <w:rPr>
          <w:rFonts w:ascii="Arial" w:hAnsi="Arial" w:cs="Arial"/>
        </w:rPr>
      </w:pPr>
      <w:r w:rsidRPr="0009691A">
        <w:rPr>
          <w:rFonts w:ascii="Arial" w:hAnsi="Arial" w:cs="Arial"/>
        </w:rPr>
        <w:t>In particular, the has agreed to provide cash contribution towards institutional capacity. It is thus important that this support is allocated to address significant Member States funding gaps, key of which are: -</w:t>
      </w:r>
    </w:p>
    <w:p w14:paraId="45BF61BB" w14:textId="77777777" w:rsidR="002F7776" w:rsidRPr="0009691A" w:rsidRDefault="002F7776" w:rsidP="002F7776">
      <w:pPr>
        <w:pStyle w:val="ListParagraph"/>
        <w:rPr>
          <w:rFonts w:ascii="Arial" w:hAnsi="Arial" w:cs="Arial"/>
        </w:rPr>
      </w:pPr>
    </w:p>
    <w:p w14:paraId="5A150B63" w14:textId="77777777" w:rsidR="002F7776" w:rsidRPr="0009691A" w:rsidRDefault="002F7776" w:rsidP="00552CA2">
      <w:pPr>
        <w:pStyle w:val="ListParagraph"/>
        <w:numPr>
          <w:ilvl w:val="0"/>
          <w:numId w:val="9"/>
        </w:numPr>
        <w:tabs>
          <w:tab w:val="left" w:pos="720"/>
        </w:tabs>
        <w:ind w:left="2160" w:hanging="720"/>
        <w:jc w:val="both"/>
        <w:rPr>
          <w:rFonts w:ascii="Arial" w:hAnsi="Arial" w:cs="Arial"/>
        </w:rPr>
      </w:pPr>
      <w:r w:rsidRPr="0009691A">
        <w:rPr>
          <w:rFonts w:ascii="Arial" w:hAnsi="Arial" w:cs="Arial"/>
        </w:rPr>
        <w:t xml:space="preserve">Web Editor; </w:t>
      </w:r>
    </w:p>
    <w:p w14:paraId="7462C79A" w14:textId="7981EC53" w:rsidR="002F7776" w:rsidRPr="0009691A" w:rsidRDefault="002F7776" w:rsidP="00552CA2">
      <w:pPr>
        <w:pStyle w:val="ListParagraph"/>
        <w:numPr>
          <w:ilvl w:val="0"/>
          <w:numId w:val="9"/>
        </w:numPr>
        <w:tabs>
          <w:tab w:val="left" w:pos="720"/>
        </w:tabs>
        <w:ind w:left="2160" w:hanging="720"/>
        <w:jc w:val="both"/>
        <w:rPr>
          <w:rFonts w:ascii="Arial" w:hAnsi="Arial" w:cs="Arial"/>
        </w:rPr>
      </w:pPr>
      <w:r w:rsidRPr="0009691A">
        <w:rPr>
          <w:rFonts w:ascii="Arial" w:hAnsi="Arial" w:cs="Arial"/>
        </w:rPr>
        <w:t xml:space="preserve">Staffing under </w:t>
      </w:r>
      <w:r w:rsidR="00542022">
        <w:rPr>
          <w:rFonts w:ascii="Arial" w:hAnsi="Arial" w:cs="Arial"/>
        </w:rPr>
        <w:t>Governance, p</w:t>
      </w:r>
      <w:r w:rsidRPr="0009691A">
        <w:rPr>
          <w:rFonts w:ascii="Arial" w:hAnsi="Arial" w:cs="Arial"/>
        </w:rPr>
        <w:t xml:space="preserve">eace and </w:t>
      </w:r>
      <w:r w:rsidR="00542022">
        <w:rPr>
          <w:rFonts w:ascii="Arial" w:hAnsi="Arial" w:cs="Arial"/>
        </w:rPr>
        <w:t>s</w:t>
      </w:r>
      <w:r w:rsidRPr="0009691A">
        <w:rPr>
          <w:rFonts w:ascii="Arial" w:hAnsi="Arial" w:cs="Arial"/>
        </w:rPr>
        <w:t>ecurity;</w:t>
      </w:r>
    </w:p>
    <w:p w14:paraId="0C905BB4" w14:textId="77777777" w:rsidR="002F7776" w:rsidRDefault="002F7776" w:rsidP="00552CA2">
      <w:pPr>
        <w:pStyle w:val="ListParagraph"/>
        <w:numPr>
          <w:ilvl w:val="0"/>
          <w:numId w:val="9"/>
        </w:numPr>
        <w:tabs>
          <w:tab w:val="left" w:pos="720"/>
        </w:tabs>
        <w:ind w:left="2160" w:hanging="720"/>
        <w:jc w:val="both"/>
        <w:rPr>
          <w:rFonts w:ascii="Arial" w:hAnsi="Arial" w:cs="Arial"/>
        </w:rPr>
      </w:pPr>
      <w:r w:rsidRPr="0009691A">
        <w:rPr>
          <w:rFonts w:ascii="Arial" w:hAnsi="Arial" w:cs="Arial"/>
        </w:rPr>
        <w:t>Mandatory cash counter-part funding</w:t>
      </w:r>
      <w:r w:rsidR="008D3A21">
        <w:rPr>
          <w:rFonts w:ascii="Arial" w:hAnsi="Arial" w:cs="Arial"/>
        </w:rPr>
        <w:t>; and</w:t>
      </w:r>
    </w:p>
    <w:p w14:paraId="191ACC81" w14:textId="77777777" w:rsidR="008D3A21" w:rsidRPr="0009691A" w:rsidRDefault="008D3A21" w:rsidP="00552CA2">
      <w:pPr>
        <w:pStyle w:val="ListParagraph"/>
        <w:numPr>
          <w:ilvl w:val="0"/>
          <w:numId w:val="9"/>
        </w:numPr>
        <w:tabs>
          <w:tab w:val="left" w:pos="720"/>
        </w:tabs>
        <w:ind w:left="2160" w:hanging="720"/>
        <w:jc w:val="both"/>
        <w:rPr>
          <w:rFonts w:ascii="Arial" w:hAnsi="Arial" w:cs="Arial"/>
        </w:rPr>
      </w:pPr>
      <w:r>
        <w:rPr>
          <w:rFonts w:ascii="Arial" w:hAnsi="Arial" w:cs="Arial"/>
        </w:rPr>
        <w:t>Matching costs on EU projects.</w:t>
      </w:r>
    </w:p>
    <w:p w14:paraId="3424289C" w14:textId="77777777" w:rsidR="002F7776" w:rsidRPr="0009691A" w:rsidRDefault="002F7776" w:rsidP="002F7776">
      <w:pPr>
        <w:pStyle w:val="ListParagraph"/>
        <w:rPr>
          <w:rFonts w:ascii="Arial" w:hAnsi="Arial" w:cs="Arial"/>
        </w:rPr>
      </w:pPr>
    </w:p>
    <w:p w14:paraId="6A36C7E7" w14:textId="0E6A9B1A" w:rsidR="0023306E" w:rsidRPr="0009691A" w:rsidRDefault="00A670F5" w:rsidP="00552CA2">
      <w:pPr>
        <w:pStyle w:val="ListParagraph"/>
        <w:numPr>
          <w:ilvl w:val="0"/>
          <w:numId w:val="4"/>
        </w:numPr>
        <w:tabs>
          <w:tab w:val="left" w:pos="720"/>
        </w:tabs>
        <w:ind w:left="0" w:firstLine="0"/>
        <w:jc w:val="both"/>
        <w:rPr>
          <w:rFonts w:ascii="Arial" w:hAnsi="Arial" w:cs="Arial"/>
        </w:rPr>
      </w:pPr>
      <w:r>
        <w:rPr>
          <w:rFonts w:ascii="Arial" w:hAnsi="Arial" w:cs="Arial"/>
        </w:rPr>
        <w:t>The de facto</w:t>
      </w:r>
      <w:r w:rsidR="002F7776" w:rsidRPr="0009691A">
        <w:rPr>
          <w:rFonts w:ascii="Arial" w:hAnsi="Arial" w:cs="Arial"/>
        </w:rPr>
        <w:t xml:space="preserve"> resource allocation on Member States</w:t>
      </w:r>
      <w:r w:rsidR="0077521D">
        <w:rPr>
          <w:rFonts w:ascii="Arial" w:hAnsi="Arial" w:cs="Arial"/>
        </w:rPr>
        <w:t xml:space="preserve"> and Grants funding</w:t>
      </w:r>
      <w:r w:rsidR="002F7776" w:rsidRPr="0009691A">
        <w:rPr>
          <w:rFonts w:ascii="Arial" w:hAnsi="Arial" w:cs="Arial"/>
        </w:rPr>
        <w:t xml:space="preserve">, is </w:t>
      </w:r>
      <w:r w:rsidR="0023306E" w:rsidRPr="0009691A">
        <w:rPr>
          <w:rFonts w:ascii="Arial" w:hAnsi="Arial" w:cs="Arial"/>
        </w:rPr>
        <w:t xml:space="preserve">indicated in </w:t>
      </w:r>
      <w:r w:rsidR="00542022">
        <w:rPr>
          <w:rFonts w:ascii="Arial" w:hAnsi="Arial" w:cs="Arial"/>
        </w:rPr>
        <w:t xml:space="preserve">Appendix </w:t>
      </w:r>
      <w:r w:rsidR="0023306E" w:rsidRPr="0009691A">
        <w:rPr>
          <w:rFonts w:ascii="Arial" w:hAnsi="Arial" w:cs="Arial"/>
        </w:rPr>
        <w:t xml:space="preserve">3 </w:t>
      </w:r>
      <w:r w:rsidR="0077521D">
        <w:rPr>
          <w:rFonts w:ascii="Arial" w:hAnsi="Arial" w:cs="Arial"/>
        </w:rPr>
        <w:t>to 5, as follows: -</w:t>
      </w:r>
    </w:p>
    <w:p w14:paraId="529FE3F3" w14:textId="77777777" w:rsidR="00DF628A" w:rsidRDefault="00DF628A" w:rsidP="00C840EF">
      <w:pPr>
        <w:pStyle w:val="Heading3"/>
        <w:rPr>
          <w:sz w:val="22"/>
          <w:szCs w:val="22"/>
        </w:rPr>
      </w:pPr>
    </w:p>
    <w:p w14:paraId="5AF8C4DB" w14:textId="184BD585" w:rsidR="0077521D" w:rsidRDefault="0077521D" w:rsidP="00552CA2">
      <w:pPr>
        <w:pStyle w:val="ListParagraph"/>
        <w:numPr>
          <w:ilvl w:val="0"/>
          <w:numId w:val="13"/>
        </w:numPr>
        <w:tabs>
          <w:tab w:val="left" w:pos="720"/>
        </w:tabs>
        <w:jc w:val="both"/>
        <w:rPr>
          <w:rFonts w:ascii="Arial" w:hAnsi="Arial" w:cs="Arial"/>
        </w:rPr>
      </w:pPr>
      <w:r>
        <w:rPr>
          <w:rFonts w:ascii="Arial" w:hAnsi="Arial" w:cs="Arial"/>
        </w:rPr>
        <w:t>Member States funding: largely pa</w:t>
      </w:r>
      <w:r w:rsidR="00DB1D56">
        <w:rPr>
          <w:rFonts w:ascii="Arial" w:hAnsi="Arial" w:cs="Arial"/>
        </w:rPr>
        <w:t>ying for salaries; institutional support; limited programme activities</w:t>
      </w:r>
      <w:r w:rsidR="00542022">
        <w:rPr>
          <w:rFonts w:ascii="Arial" w:hAnsi="Arial" w:cs="Arial"/>
        </w:rPr>
        <w:t>; and critically establishing capacity to manage grant funds.</w:t>
      </w:r>
    </w:p>
    <w:p w14:paraId="14A4EEC3" w14:textId="77777777" w:rsidR="00DB1D56" w:rsidRDefault="00DB1D56" w:rsidP="00DB1D56">
      <w:pPr>
        <w:pStyle w:val="ListParagraph"/>
        <w:tabs>
          <w:tab w:val="left" w:pos="720"/>
        </w:tabs>
        <w:ind w:left="1440"/>
        <w:jc w:val="both"/>
        <w:rPr>
          <w:rFonts w:ascii="Arial" w:hAnsi="Arial" w:cs="Arial"/>
        </w:rPr>
      </w:pPr>
    </w:p>
    <w:p w14:paraId="16686338" w14:textId="77777777" w:rsidR="00DB1D56" w:rsidRDefault="00DB1D56" w:rsidP="00552CA2">
      <w:pPr>
        <w:pStyle w:val="ListParagraph"/>
        <w:numPr>
          <w:ilvl w:val="0"/>
          <w:numId w:val="13"/>
        </w:numPr>
        <w:tabs>
          <w:tab w:val="left" w:pos="720"/>
        </w:tabs>
        <w:jc w:val="both"/>
        <w:rPr>
          <w:rFonts w:ascii="Arial" w:hAnsi="Arial" w:cs="Arial"/>
        </w:rPr>
      </w:pPr>
      <w:r>
        <w:rPr>
          <w:rFonts w:ascii="Arial" w:hAnsi="Arial" w:cs="Arial"/>
        </w:rPr>
        <w:lastRenderedPageBreak/>
        <w:t>Grants’ funding: allocated to programme services, with a limited contribution towards human capacity and administrative support.</w:t>
      </w:r>
    </w:p>
    <w:p w14:paraId="3DB30D8C" w14:textId="77777777" w:rsidR="00DB1D56" w:rsidRDefault="00DB1D56" w:rsidP="00DB1D56">
      <w:pPr>
        <w:pStyle w:val="ListParagraph"/>
        <w:tabs>
          <w:tab w:val="left" w:pos="720"/>
        </w:tabs>
        <w:ind w:left="1440"/>
        <w:jc w:val="both"/>
        <w:rPr>
          <w:rFonts w:ascii="Arial" w:hAnsi="Arial" w:cs="Arial"/>
        </w:rPr>
      </w:pPr>
    </w:p>
    <w:p w14:paraId="191B822A" w14:textId="77777777" w:rsidR="00DF628A" w:rsidRPr="0009691A" w:rsidRDefault="00DF628A" w:rsidP="00DF628A">
      <w:pPr>
        <w:pStyle w:val="Heading3"/>
        <w:rPr>
          <w:sz w:val="22"/>
          <w:szCs w:val="22"/>
        </w:rPr>
      </w:pPr>
      <w:bookmarkStart w:id="29" w:name="_Toc23006798"/>
      <w:r>
        <w:rPr>
          <w:sz w:val="22"/>
          <w:szCs w:val="22"/>
        </w:rPr>
        <w:t>Utilisation of contributions by Cooperating Partners towards institutional support</w:t>
      </w:r>
      <w:bookmarkEnd w:id="29"/>
    </w:p>
    <w:p w14:paraId="4F5D319D" w14:textId="77777777" w:rsidR="00DF628A" w:rsidRDefault="00DF628A" w:rsidP="00552CA2">
      <w:pPr>
        <w:pStyle w:val="ListParagraph"/>
        <w:numPr>
          <w:ilvl w:val="0"/>
          <w:numId w:val="4"/>
        </w:numPr>
        <w:tabs>
          <w:tab w:val="left" w:pos="720"/>
        </w:tabs>
        <w:ind w:left="0" w:firstLine="0"/>
        <w:jc w:val="both"/>
        <w:rPr>
          <w:rFonts w:ascii="Arial" w:hAnsi="Arial" w:cs="Arial"/>
        </w:rPr>
      </w:pPr>
      <w:r>
        <w:rPr>
          <w:rFonts w:ascii="Arial" w:hAnsi="Arial" w:cs="Arial"/>
        </w:rPr>
        <w:t xml:space="preserve">Cooperating Partners have moved away from including institutional support activities, as part of core activities to be funded under financing agreements. </w:t>
      </w:r>
    </w:p>
    <w:p w14:paraId="45454241" w14:textId="77777777" w:rsidR="00DF628A" w:rsidRDefault="00DF628A" w:rsidP="00DF628A">
      <w:pPr>
        <w:pStyle w:val="ListParagraph"/>
        <w:tabs>
          <w:tab w:val="left" w:pos="720"/>
        </w:tabs>
        <w:ind w:left="0"/>
        <w:jc w:val="both"/>
        <w:rPr>
          <w:rFonts w:ascii="Arial" w:hAnsi="Arial" w:cs="Arial"/>
        </w:rPr>
      </w:pPr>
    </w:p>
    <w:p w14:paraId="0D0B98E0" w14:textId="30496F41" w:rsidR="00DF628A" w:rsidRPr="008D3A21" w:rsidRDefault="00DF628A" w:rsidP="00552CA2">
      <w:pPr>
        <w:pStyle w:val="ListParagraph"/>
        <w:numPr>
          <w:ilvl w:val="0"/>
          <w:numId w:val="4"/>
        </w:numPr>
        <w:tabs>
          <w:tab w:val="left" w:pos="720"/>
        </w:tabs>
        <w:ind w:left="0" w:firstLine="0"/>
        <w:jc w:val="both"/>
        <w:rPr>
          <w:rFonts w:ascii="Arial" w:hAnsi="Arial" w:cs="Arial"/>
        </w:rPr>
      </w:pPr>
      <w:r>
        <w:rPr>
          <w:rFonts w:ascii="Arial" w:hAnsi="Arial" w:cs="Arial"/>
        </w:rPr>
        <w:t xml:space="preserve"> EU has recognised the need for the COMESA Secretariat to continue focusing on strengthening its institutional systems and processes. Towards this, the EU provides a contribution based on spending, ranging from 5% to 7%. </w:t>
      </w:r>
      <w:r w:rsidR="00672164">
        <w:rPr>
          <w:rFonts w:ascii="Arial" w:hAnsi="Arial" w:cs="Arial"/>
        </w:rPr>
        <w:t xml:space="preserve">Based on internal analysis, the Secretariat has indicated how the contribution shall be applied. At this stage, the submission </w:t>
      </w:r>
      <w:r w:rsidR="00672164" w:rsidRPr="008D3A21">
        <w:rPr>
          <w:rFonts w:ascii="Arial" w:hAnsi="Arial" w:cs="Arial"/>
        </w:rPr>
        <w:t xml:space="preserve">indicates proposed areas, when cash is earned, as outlined in Table </w:t>
      </w:r>
      <w:r w:rsidR="003B63CB">
        <w:rPr>
          <w:rFonts w:ascii="Arial" w:hAnsi="Arial" w:cs="Arial"/>
        </w:rPr>
        <w:t xml:space="preserve">6 </w:t>
      </w:r>
      <w:r w:rsidR="00672164" w:rsidRPr="008D3A21">
        <w:rPr>
          <w:rFonts w:ascii="Arial" w:hAnsi="Arial" w:cs="Arial"/>
        </w:rPr>
        <w:t>below:</w:t>
      </w:r>
    </w:p>
    <w:p w14:paraId="460D55D0" w14:textId="77777777" w:rsidR="003B63CB" w:rsidRDefault="003B63CB" w:rsidP="000B6C36">
      <w:pPr>
        <w:spacing w:after="0" w:line="240" w:lineRule="auto"/>
      </w:pPr>
    </w:p>
    <w:p w14:paraId="0D135822" w14:textId="6F03234D" w:rsidR="004B02BF" w:rsidRDefault="00672164" w:rsidP="000B6C36">
      <w:pPr>
        <w:spacing w:after="0" w:line="240" w:lineRule="auto"/>
        <w:jc w:val="both"/>
        <w:rPr>
          <w:rFonts w:ascii="Arial" w:hAnsi="Arial" w:cs="Arial"/>
          <w:b/>
          <w:sz w:val="20"/>
          <w:szCs w:val="20"/>
        </w:rPr>
      </w:pPr>
      <w:r w:rsidRPr="003B63CB">
        <w:rPr>
          <w:rFonts w:ascii="Arial" w:hAnsi="Arial" w:cs="Arial"/>
          <w:b/>
          <w:sz w:val="20"/>
          <w:szCs w:val="20"/>
        </w:rPr>
        <w:t xml:space="preserve">Table </w:t>
      </w:r>
      <w:r w:rsidR="003B63CB" w:rsidRPr="003B63CB">
        <w:rPr>
          <w:rFonts w:ascii="Arial" w:hAnsi="Arial" w:cs="Arial"/>
          <w:b/>
          <w:sz w:val="20"/>
          <w:szCs w:val="20"/>
        </w:rPr>
        <w:t>6</w:t>
      </w:r>
      <w:r w:rsidRPr="003B63CB">
        <w:rPr>
          <w:rFonts w:ascii="Arial" w:hAnsi="Arial" w:cs="Arial"/>
          <w:b/>
          <w:sz w:val="20"/>
          <w:szCs w:val="20"/>
        </w:rPr>
        <w:t>:</w:t>
      </w:r>
      <w:r w:rsidR="003B63CB" w:rsidRPr="003B63CB">
        <w:rPr>
          <w:rFonts w:ascii="Arial" w:hAnsi="Arial" w:cs="Arial"/>
          <w:b/>
          <w:sz w:val="20"/>
          <w:szCs w:val="20"/>
        </w:rPr>
        <w:tab/>
      </w:r>
      <w:r w:rsidRPr="003B63CB">
        <w:rPr>
          <w:rFonts w:ascii="Arial" w:hAnsi="Arial" w:cs="Arial"/>
          <w:b/>
          <w:sz w:val="20"/>
          <w:szCs w:val="20"/>
        </w:rPr>
        <w:t xml:space="preserve">Utilisation of contributions by Cooperating Partners towards institutional </w:t>
      </w:r>
      <w:r w:rsidR="003B63CB" w:rsidRPr="003B63CB">
        <w:rPr>
          <w:rFonts w:ascii="Arial" w:hAnsi="Arial" w:cs="Arial"/>
          <w:b/>
          <w:sz w:val="20"/>
          <w:szCs w:val="20"/>
        </w:rPr>
        <w:tab/>
      </w:r>
      <w:r w:rsidR="003B63CB" w:rsidRPr="003B63CB">
        <w:rPr>
          <w:rFonts w:ascii="Arial" w:hAnsi="Arial" w:cs="Arial"/>
          <w:b/>
          <w:sz w:val="20"/>
          <w:szCs w:val="20"/>
        </w:rPr>
        <w:tab/>
      </w:r>
      <w:r w:rsidR="003B63CB" w:rsidRPr="003B63CB">
        <w:rPr>
          <w:rFonts w:ascii="Arial" w:hAnsi="Arial" w:cs="Arial"/>
          <w:b/>
          <w:sz w:val="20"/>
          <w:szCs w:val="20"/>
        </w:rPr>
        <w:tab/>
      </w:r>
      <w:r w:rsidRPr="003B63CB">
        <w:rPr>
          <w:rFonts w:ascii="Arial" w:hAnsi="Arial" w:cs="Arial"/>
          <w:b/>
          <w:sz w:val="20"/>
          <w:szCs w:val="20"/>
        </w:rPr>
        <w:t>support</w:t>
      </w:r>
    </w:p>
    <w:p w14:paraId="7194379D" w14:textId="336DB767" w:rsidR="006E5F81" w:rsidRPr="006E5F81" w:rsidRDefault="001E4BC0" w:rsidP="006E5F81">
      <w:r>
        <w:object w:dxaOrig="8703" w:dyaOrig="4931" w14:anchorId="1321C1F0">
          <v:shape id="_x0000_i1028" type="#_x0000_t75" style="width:435pt;height:246pt" o:ole="">
            <v:imagedata r:id="rId23" o:title=""/>
          </v:shape>
          <o:OLEObject Type="Embed" ProgID="Excel.Sheet.12" ShapeID="_x0000_i1028" DrawAspect="Content" ObjectID="_1633623875" r:id="rId24"/>
        </w:object>
      </w:r>
    </w:p>
    <w:p w14:paraId="07A87733" w14:textId="4C9D8368" w:rsidR="00C840EF" w:rsidRPr="0009691A" w:rsidRDefault="002F7776" w:rsidP="00C840EF">
      <w:pPr>
        <w:pStyle w:val="Heading3"/>
        <w:rPr>
          <w:sz w:val="22"/>
          <w:szCs w:val="22"/>
        </w:rPr>
      </w:pPr>
      <w:bookmarkStart w:id="30" w:name="_Toc23006799"/>
      <w:r w:rsidRPr="0009691A">
        <w:rPr>
          <w:sz w:val="22"/>
          <w:szCs w:val="22"/>
        </w:rPr>
        <w:t>Review of resource allocation and concentration</w:t>
      </w:r>
      <w:bookmarkEnd w:id="30"/>
    </w:p>
    <w:p w14:paraId="64F1A13D" w14:textId="46660DC1" w:rsidR="002F7776" w:rsidRPr="0009691A" w:rsidRDefault="002F7776" w:rsidP="00552CA2">
      <w:pPr>
        <w:pStyle w:val="ListParagraph"/>
        <w:numPr>
          <w:ilvl w:val="0"/>
          <w:numId w:val="4"/>
        </w:numPr>
        <w:tabs>
          <w:tab w:val="left" w:pos="720"/>
        </w:tabs>
        <w:ind w:left="0" w:firstLine="0"/>
        <w:jc w:val="both"/>
        <w:rPr>
          <w:rFonts w:ascii="Arial" w:hAnsi="Arial" w:cs="Arial"/>
        </w:rPr>
      </w:pPr>
      <w:r w:rsidRPr="0009691A">
        <w:rPr>
          <w:rFonts w:ascii="Arial" w:hAnsi="Arial" w:cs="Arial"/>
        </w:rPr>
        <w:t xml:space="preserve">COMESA needs to consider coming up with a resource allocation </w:t>
      </w:r>
      <w:r w:rsidR="00542022">
        <w:rPr>
          <w:rFonts w:ascii="Arial" w:hAnsi="Arial" w:cs="Arial"/>
        </w:rPr>
        <w:t xml:space="preserve">policy </w:t>
      </w:r>
      <w:r w:rsidRPr="0009691A">
        <w:rPr>
          <w:rFonts w:ascii="Arial" w:hAnsi="Arial" w:cs="Arial"/>
        </w:rPr>
        <w:t xml:space="preserve">framework, which focuses its resources, both assessed annual contributions from Member States and Cooperating Partners on fewer and high impact interventions. </w:t>
      </w:r>
    </w:p>
    <w:p w14:paraId="208F30E6" w14:textId="77777777" w:rsidR="002F7776" w:rsidRPr="0009691A" w:rsidRDefault="002F7776" w:rsidP="002F7776">
      <w:pPr>
        <w:pStyle w:val="ListParagraph"/>
        <w:tabs>
          <w:tab w:val="left" w:pos="720"/>
        </w:tabs>
        <w:ind w:left="0"/>
        <w:jc w:val="both"/>
        <w:rPr>
          <w:rFonts w:ascii="Arial" w:hAnsi="Arial" w:cs="Arial"/>
        </w:rPr>
      </w:pPr>
    </w:p>
    <w:p w14:paraId="3053A479" w14:textId="0511714D" w:rsidR="002F7776" w:rsidRPr="0009691A" w:rsidRDefault="002F7776" w:rsidP="00552CA2">
      <w:pPr>
        <w:pStyle w:val="ListParagraph"/>
        <w:numPr>
          <w:ilvl w:val="0"/>
          <w:numId w:val="4"/>
        </w:numPr>
        <w:tabs>
          <w:tab w:val="left" w:pos="720"/>
        </w:tabs>
        <w:ind w:left="0" w:firstLine="0"/>
        <w:jc w:val="both"/>
        <w:rPr>
          <w:rFonts w:ascii="Arial" w:hAnsi="Arial" w:cs="Arial"/>
        </w:rPr>
      </w:pPr>
      <w:r w:rsidRPr="0009691A">
        <w:rPr>
          <w:rFonts w:ascii="Arial" w:hAnsi="Arial" w:cs="Arial"/>
        </w:rPr>
        <w:t xml:space="preserve">Sustained allocation and concentration of resources based on an approved </w:t>
      </w:r>
      <w:r w:rsidR="00A33C14">
        <w:rPr>
          <w:rFonts w:ascii="Arial" w:hAnsi="Arial" w:cs="Arial"/>
        </w:rPr>
        <w:t xml:space="preserve">policy </w:t>
      </w:r>
      <w:r w:rsidRPr="0009691A">
        <w:rPr>
          <w:rFonts w:ascii="Arial" w:hAnsi="Arial" w:cs="Arial"/>
        </w:rPr>
        <w:t>framework is a prerequisite for the achievement of Medium</w:t>
      </w:r>
      <w:r w:rsidR="00A33C14">
        <w:rPr>
          <w:rFonts w:ascii="Arial" w:hAnsi="Arial" w:cs="Arial"/>
        </w:rPr>
        <w:t>-</w:t>
      </w:r>
      <w:r w:rsidRPr="0009691A">
        <w:rPr>
          <w:rFonts w:ascii="Arial" w:hAnsi="Arial" w:cs="Arial"/>
        </w:rPr>
        <w:t xml:space="preserve">Term Strategic Plan. </w:t>
      </w:r>
    </w:p>
    <w:p w14:paraId="13D98349" w14:textId="77777777" w:rsidR="0023306E" w:rsidRPr="0009691A" w:rsidRDefault="0023306E" w:rsidP="0023306E">
      <w:pPr>
        <w:pStyle w:val="ListParagraph"/>
        <w:tabs>
          <w:tab w:val="left" w:pos="720"/>
        </w:tabs>
        <w:ind w:left="0"/>
        <w:jc w:val="both"/>
        <w:rPr>
          <w:rFonts w:ascii="Arial" w:hAnsi="Arial" w:cs="Arial"/>
        </w:rPr>
      </w:pPr>
    </w:p>
    <w:p w14:paraId="1A8E4C62" w14:textId="77777777" w:rsidR="00C840EF" w:rsidRPr="0009691A" w:rsidRDefault="00C840EF" w:rsidP="00C840EF">
      <w:pPr>
        <w:pStyle w:val="Heading3"/>
        <w:rPr>
          <w:sz w:val="22"/>
          <w:szCs w:val="22"/>
        </w:rPr>
      </w:pPr>
      <w:bookmarkStart w:id="31" w:name="_Toc23006800"/>
      <w:bookmarkStart w:id="32" w:name="_Toc523564855"/>
      <w:r w:rsidRPr="0009691A">
        <w:rPr>
          <w:sz w:val="22"/>
          <w:szCs w:val="22"/>
        </w:rPr>
        <w:t>Review of current year spending against budget</w:t>
      </w:r>
      <w:bookmarkEnd w:id="31"/>
    </w:p>
    <w:p w14:paraId="6014FC4E" w14:textId="77777777" w:rsidR="00930DAD" w:rsidRDefault="007177C5" w:rsidP="00552CA2">
      <w:pPr>
        <w:pStyle w:val="ListParagraph"/>
        <w:numPr>
          <w:ilvl w:val="0"/>
          <w:numId w:val="4"/>
        </w:numPr>
        <w:tabs>
          <w:tab w:val="left" w:pos="720"/>
        </w:tabs>
        <w:ind w:left="0" w:firstLine="0"/>
        <w:jc w:val="both"/>
        <w:rPr>
          <w:rFonts w:ascii="Arial" w:hAnsi="Arial" w:cs="Arial"/>
        </w:rPr>
      </w:pPr>
      <w:r>
        <w:rPr>
          <w:rFonts w:ascii="Arial" w:hAnsi="Arial" w:cs="Arial"/>
        </w:rPr>
        <w:t>As indicated in the review of the implementation of the work programme, the COMESA Secretariat is projecting that</w:t>
      </w:r>
      <w:r w:rsidR="00930DAD">
        <w:rPr>
          <w:rFonts w:ascii="Arial" w:hAnsi="Arial" w:cs="Arial"/>
        </w:rPr>
        <w:t xml:space="preserve"> a</w:t>
      </w:r>
      <w:r w:rsidRPr="00930DAD">
        <w:rPr>
          <w:rFonts w:ascii="Arial" w:hAnsi="Arial" w:cs="Arial"/>
        </w:rPr>
        <w:t>ctivities under Member States funding will be fully implemented by the end of the year</w:t>
      </w:r>
      <w:r w:rsidR="00930DAD">
        <w:rPr>
          <w:rFonts w:ascii="Arial" w:hAnsi="Arial" w:cs="Arial"/>
        </w:rPr>
        <w:t xml:space="preserve">. This is due to the fact that a significant proportion of funding from Member States is earmarked on emoluments, which are contractual. </w:t>
      </w:r>
    </w:p>
    <w:p w14:paraId="202018BA" w14:textId="77777777" w:rsidR="00930DAD" w:rsidRDefault="00930DAD" w:rsidP="00930DAD">
      <w:pPr>
        <w:pStyle w:val="ListParagraph"/>
        <w:tabs>
          <w:tab w:val="left" w:pos="720"/>
        </w:tabs>
        <w:ind w:left="0"/>
        <w:jc w:val="both"/>
        <w:rPr>
          <w:rFonts w:ascii="Arial" w:hAnsi="Arial" w:cs="Arial"/>
        </w:rPr>
      </w:pPr>
    </w:p>
    <w:p w14:paraId="0A6149A0" w14:textId="77777777" w:rsidR="007177C5" w:rsidRPr="00930DAD" w:rsidRDefault="007177C5" w:rsidP="00552CA2">
      <w:pPr>
        <w:pStyle w:val="ListParagraph"/>
        <w:numPr>
          <w:ilvl w:val="0"/>
          <w:numId w:val="4"/>
        </w:numPr>
        <w:tabs>
          <w:tab w:val="left" w:pos="720"/>
        </w:tabs>
        <w:ind w:left="0" w:firstLine="0"/>
        <w:jc w:val="both"/>
        <w:rPr>
          <w:rFonts w:ascii="Arial" w:hAnsi="Arial" w:cs="Arial"/>
        </w:rPr>
      </w:pPr>
      <w:r w:rsidRPr="00930DAD">
        <w:rPr>
          <w:rFonts w:ascii="Arial" w:hAnsi="Arial" w:cs="Arial"/>
        </w:rPr>
        <w:t xml:space="preserve">Unspent funds provided by Cooperating Partners will be carried forward in line with agreements. </w:t>
      </w:r>
      <w:r w:rsidR="00930DAD">
        <w:rPr>
          <w:rFonts w:ascii="Arial" w:hAnsi="Arial" w:cs="Arial"/>
        </w:rPr>
        <w:t>The unspent budget is attributed to late receipt of disbursements from the Cooperating Partners.</w:t>
      </w:r>
    </w:p>
    <w:bookmarkEnd w:id="32"/>
    <w:p w14:paraId="01C0D245" w14:textId="77777777" w:rsidR="005D1EBD" w:rsidRPr="0009691A" w:rsidRDefault="005D1EBD" w:rsidP="005D1EBD">
      <w:pPr>
        <w:pStyle w:val="ListParagraph"/>
        <w:tabs>
          <w:tab w:val="left" w:pos="720"/>
        </w:tabs>
        <w:ind w:left="0"/>
        <w:jc w:val="both"/>
        <w:rPr>
          <w:rFonts w:ascii="Arial" w:eastAsia="Calibri" w:hAnsi="Arial" w:cs="Arial"/>
          <w:color w:val="000000"/>
        </w:rPr>
      </w:pPr>
    </w:p>
    <w:p w14:paraId="5D4F4302" w14:textId="77777777" w:rsidR="006A752A" w:rsidRPr="0009691A" w:rsidRDefault="006A752A" w:rsidP="006A752A">
      <w:pPr>
        <w:pStyle w:val="Heading3"/>
        <w:rPr>
          <w:sz w:val="22"/>
          <w:szCs w:val="22"/>
        </w:rPr>
      </w:pPr>
      <w:bookmarkStart w:id="33" w:name="_Toc23006801"/>
      <w:r w:rsidRPr="0009691A">
        <w:rPr>
          <w:sz w:val="22"/>
          <w:szCs w:val="22"/>
        </w:rPr>
        <w:lastRenderedPageBreak/>
        <w:t>Standard rates for significant of the costs</w:t>
      </w:r>
      <w:bookmarkEnd w:id="33"/>
    </w:p>
    <w:p w14:paraId="44CA886F" w14:textId="77777777" w:rsidR="004D4365" w:rsidRDefault="004D4365" w:rsidP="00552CA2">
      <w:pPr>
        <w:pStyle w:val="ListParagraph"/>
        <w:numPr>
          <w:ilvl w:val="0"/>
          <w:numId w:val="4"/>
        </w:numPr>
        <w:tabs>
          <w:tab w:val="left" w:pos="720"/>
        </w:tabs>
        <w:ind w:left="0" w:firstLine="0"/>
        <w:jc w:val="both"/>
        <w:rPr>
          <w:rFonts w:ascii="Arial" w:eastAsia="Calibri" w:hAnsi="Arial" w:cs="Arial"/>
          <w:color w:val="000000"/>
        </w:rPr>
      </w:pPr>
      <w:r w:rsidRPr="0009691A">
        <w:rPr>
          <w:rFonts w:ascii="Arial" w:eastAsia="Calibri" w:hAnsi="Arial" w:cs="Arial"/>
          <w:color w:val="000000"/>
        </w:rPr>
        <w:t xml:space="preserve">Costs in the expenditure budget proposals </w:t>
      </w:r>
      <w:r w:rsidR="00930DAD">
        <w:rPr>
          <w:rFonts w:ascii="Arial" w:eastAsia="Calibri" w:hAnsi="Arial" w:cs="Arial"/>
          <w:color w:val="000000"/>
        </w:rPr>
        <w:t xml:space="preserve">reflect </w:t>
      </w:r>
      <w:r w:rsidRPr="0009691A">
        <w:rPr>
          <w:rFonts w:ascii="Arial" w:eastAsia="Calibri" w:hAnsi="Arial" w:cs="Arial"/>
          <w:color w:val="000000"/>
        </w:rPr>
        <w:t>financial rules. Given the financial framework in place, the following costs reflect existing policies:</w:t>
      </w:r>
      <w:r w:rsidR="00930DAD">
        <w:rPr>
          <w:rFonts w:ascii="Arial" w:eastAsia="Calibri" w:hAnsi="Arial" w:cs="Arial"/>
          <w:color w:val="000000"/>
        </w:rPr>
        <w:t xml:space="preserve"> -</w:t>
      </w:r>
    </w:p>
    <w:p w14:paraId="28E0D99A" w14:textId="77777777" w:rsidR="00930DAD" w:rsidRPr="0009691A" w:rsidRDefault="00930DAD" w:rsidP="00930DAD">
      <w:pPr>
        <w:pStyle w:val="ListParagraph"/>
        <w:tabs>
          <w:tab w:val="left" w:pos="720"/>
        </w:tabs>
        <w:ind w:left="0"/>
        <w:jc w:val="both"/>
        <w:rPr>
          <w:rFonts w:ascii="Arial" w:eastAsia="Calibri" w:hAnsi="Arial" w:cs="Arial"/>
          <w:color w:val="000000"/>
        </w:rPr>
      </w:pPr>
    </w:p>
    <w:p w14:paraId="5508A32A" w14:textId="77777777" w:rsidR="004D4365" w:rsidRPr="0009691A" w:rsidRDefault="00930DAD" w:rsidP="00552CA2">
      <w:pPr>
        <w:numPr>
          <w:ilvl w:val="0"/>
          <w:numId w:val="10"/>
        </w:numPr>
        <w:tabs>
          <w:tab w:val="left" w:pos="1440"/>
        </w:tabs>
        <w:autoSpaceDE w:val="0"/>
        <w:autoSpaceDN w:val="0"/>
        <w:adjustRightInd w:val="0"/>
        <w:spacing w:after="0" w:line="240" w:lineRule="auto"/>
        <w:contextualSpacing/>
        <w:jc w:val="both"/>
        <w:rPr>
          <w:rFonts w:ascii="Arial" w:eastAsia="Calibri" w:hAnsi="Arial" w:cs="Arial"/>
          <w:color w:val="000000"/>
        </w:rPr>
      </w:pPr>
      <w:r>
        <w:rPr>
          <w:rFonts w:ascii="Arial" w:eastAsia="Calibri" w:hAnsi="Arial" w:cs="Arial"/>
          <w:color w:val="000000"/>
        </w:rPr>
        <w:t xml:space="preserve">Staff costs; </w:t>
      </w:r>
    </w:p>
    <w:p w14:paraId="47686144" w14:textId="77777777" w:rsidR="004D4365" w:rsidRPr="0009691A" w:rsidRDefault="004D4365" w:rsidP="00552CA2">
      <w:pPr>
        <w:numPr>
          <w:ilvl w:val="0"/>
          <w:numId w:val="10"/>
        </w:numPr>
        <w:tabs>
          <w:tab w:val="left" w:pos="1440"/>
        </w:tabs>
        <w:autoSpaceDE w:val="0"/>
        <w:autoSpaceDN w:val="0"/>
        <w:adjustRightInd w:val="0"/>
        <w:spacing w:after="0" w:line="240" w:lineRule="auto"/>
        <w:contextualSpacing/>
        <w:jc w:val="both"/>
        <w:rPr>
          <w:rFonts w:ascii="Arial" w:eastAsia="Calibri" w:hAnsi="Arial" w:cs="Arial"/>
          <w:color w:val="000000"/>
        </w:rPr>
      </w:pPr>
      <w:r w:rsidRPr="0009691A">
        <w:rPr>
          <w:rFonts w:ascii="Arial" w:eastAsia="Calibri" w:hAnsi="Arial" w:cs="Arial"/>
          <w:color w:val="000000"/>
        </w:rPr>
        <w:t>Consultant costs;</w:t>
      </w:r>
    </w:p>
    <w:p w14:paraId="0A6853D5" w14:textId="77777777" w:rsidR="004D4365" w:rsidRPr="0009691A" w:rsidRDefault="004D4365" w:rsidP="00552CA2">
      <w:pPr>
        <w:numPr>
          <w:ilvl w:val="0"/>
          <w:numId w:val="10"/>
        </w:numPr>
        <w:tabs>
          <w:tab w:val="left" w:pos="1440"/>
        </w:tabs>
        <w:autoSpaceDE w:val="0"/>
        <w:autoSpaceDN w:val="0"/>
        <w:adjustRightInd w:val="0"/>
        <w:spacing w:after="0" w:line="240" w:lineRule="auto"/>
        <w:contextualSpacing/>
        <w:jc w:val="both"/>
        <w:rPr>
          <w:rFonts w:ascii="Arial" w:eastAsia="Calibri" w:hAnsi="Arial" w:cs="Arial"/>
          <w:color w:val="000000"/>
        </w:rPr>
      </w:pPr>
      <w:r w:rsidRPr="0009691A">
        <w:rPr>
          <w:rFonts w:ascii="Arial" w:eastAsia="Calibri" w:hAnsi="Arial" w:cs="Arial"/>
          <w:color w:val="000000"/>
        </w:rPr>
        <w:t>Conference costs; and</w:t>
      </w:r>
    </w:p>
    <w:p w14:paraId="5F64DBF5" w14:textId="77777777" w:rsidR="004D4365" w:rsidRPr="0009691A" w:rsidRDefault="004D4365" w:rsidP="00552CA2">
      <w:pPr>
        <w:numPr>
          <w:ilvl w:val="0"/>
          <w:numId w:val="10"/>
        </w:numPr>
        <w:tabs>
          <w:tab w:val="left" w:pos="1440"/>
        </w:tabs>
        <w:autoSpaceDE w:val="0"/>
        <w:autoSpaceDN w:val="0"/>
        <w:adjustRightInd w:val="0"/>
        <w:spacing w:after="0" w:line="240" w:lineRule="auto"/>
        <w:contextualSpacing/>
        <w:jc w:val="both"/>
        <w:rPr>
          <w:rFonts w:ascii="Arial" w:eastAsia="Calibri" w:hAnsi="Arial" w:cs="Arial"/>
          <w:color w:val="000000"/>
        </w:rPr>
      </w:pPr>
      <w:r w:rsidRPr="0009691A">
        <w:rPr>
          <w:rFonts w:ascii="Arial" w:eastAsia="Calibri" w:hAnsi="Arial" w:cs="Arial"/>
          <w:color w:val="000000"/>
        </w:rPr>
        <w:t>Travel costs: air fares and daily subsistence allowance.</w:t>
      </w:r>
    </w:p>
    <w:p w14:paraId="3B572E14" w14:textId="77777777" w:rsidR="004D4365" w:rsidRPr="0009691A" w:rsidRDefault="004D4365" w:rsidP="004D4365">
      <w:pPr>
        <w:tabs>
          <w:tab w:val="left" w:pos="1440"/>
        </w:tabs>
        <w:autoSpaceDE w:val="0"/>
        <w:autoSpaceDN w:val="0"/>
        <w:adjustRightInd w:val="0"/>
        <w:spacing w:after="0" w:line="240" w:lineRule="auto"/>
        <w:ind w:left="720"/>
        <w:contextualSpacing/>
        <w:jc w:val="both"/>
        <w:rPr>
          <w:rFonts w:ascii="Arial" w:eastAsia="Calibri" w:hAnsi="Arial" w:cs="Arial"/>
          <w:color w:val="000000"/>
        </w:rPr>
      </w:pPr>
    </w:p>
    <w:p w14:paraId="1A8F9A92" w14:textId="77777777" w:rsidR="004D4365" w:rsidRPr="0009691A" w:rsidRDefault="006A752A" w:rsidP="00552CA2">
      <w:pPr>
        <w:pStyle w:val="ListParagraph"/>
        <w:numPr>
          <w:ilvl w:val="0"/>
          <w:numId w:val="4"/>
        </w:numPr>
        <w:tabs>
          <w:tab w:val="left" w:pos="720"/>
        </w:tabs>
        <w:ind w:left="0" w:firstLine="0"/>
        <w:jc w:val="both"/>
        <w:rPr>
          <w:rFonts w:ascii="Arial" w:eastAsia="Calibri" w:hAnsi="Arial" w:cs="Arial"/>
          <w:color w:val="000000"/>
        </w:rPr>
      </w:pPr>
      <w:r w:rsidRPr="0009691A">
        <w:rPr>
          <w:rFonts w:ascii="Arial" w:eastAsia="Calibri" w:hAnsi="Arial" w:cs="Arial"/>
          <w:color w:val="000000"/>
        </w:rPr>
        <w:t xml:space="preserve">The </w:t>
      </w:r>
      <w:r w:rsidR="004D4365" w:rsidRPr="0009691A">
        <w:rPr>
          <w:rFonts w:ascii="Arial" w:eastAsia="Calibri" w:hAnsi="Arial" w:cs="Arial"/>
          <w:color w:val="000000"/>
        </w:rPr>
        <w:t xml:space="preserve">budget proposals reflect common rates for common services. Departure from these </w:t>
      </w:r>
      <w:r w:rsidRPr="0009691A">
        <w:rPr>
          <w:rFonts w:ascii="Arial" w:eastAsia="Calibri" w:hAnsi="Arial" w:cs="Arial"/>
          <w:color w:val="000000"/>
        </w:rPr>
        <w:t xml:space="preserve">is </w:t>
      </w:r>
      <w:r w:rsidR="004D4365" w:rsidRPr="0009691A">
        <w:rPr>
          <w:rFonts w:ascii="Arial" w:eastAsia="Calibri" w:hAnsi="Arial" w:cs="Arial"/>
          <w:color w:val="000000"/>
        </w:rPr>
        <w:t>on the basis of market information regarding different prevailing costs.</w:t>
      </w:r>
    </w:p>
    <w:p w14:paraId="12299CB2" w14:textId="4CE97090" w:rsidR="004D4365" w:rsidRDefault="004D4365" w:rsidP="004D4365">
      <w:pPr>
        <w:tabs>
          <w:tab w:val="left" w:pos="1440"/>
        </w:tabs>
        <w:spacing w:after="0" w:line="240" w:lineRule="auto"/>
        <w:contextualSpacing/>
        <w:jc w:val="both"/>
        <w:rPr>
          <w:rFonts w:ascii="Arial" w:eastAsia="Calibri" w:hAnsi="Arial" w:cs="Arial"/>
          <w:color w:val="000000"/>
        </w:rPr>
      </w:pPr>
    </w:p>
    <w:p w14:paraId="7715F06C" w14:textId="77777777" w:rsidR="005433F5" w:rsidRPr="0009691A" w:rsidRDefault="005433F5" w:rsidP="005433F5">
      <w:pPr>
        <w:pStyle w:val="Heading3"/>
        <w:rPr>
          <w:sz w:val="22"/>
          <w:szCs w:val="22"/>
        </w:rPr>
      </w:pPr>
      <w:bookmarkStart w:id="34" w:name="_Toc23006802"/>
      <w:r w:rsidRPr="0009691A">
        <w:rPr>
          <w:sz w:val="22"/>
          <w:szCs w:val="22"/>
        </w:rPr>
        <w:t>Stringent expenditure management and institutional capacity reforms</w:t>
      </w:r>
      <w:bookmarkEnd w:id="34"/>
      <w:r w:rsidRPr="0009691A">
        <w:rPr>
          <w:sz w:val="22"/>
          <w:szCs w:val="22"/>
        </w:rPr>
        <w:t xml:space="preserve"> </w:t>
      </w:r>
    </w:p>
    <w:p w14:paraId="1FB56476" w14:textId="77777777" w:rsidR="005433F5" w:rsidRPr="0009691A" w:rsidRDefault="005433F5" w:rsidP="00552CA2">
      <w:pPr>
        <w:pStyle w:val="ListParagraph"/>
        <w:numPr>
          <w:ilvl w:val="0"/>
          <w:numId w:val="4"/>
        </w:numPr>
        <w:tabs>
          <w:tab w:val="left" w:pos="720"/>
        </w:tabs>
        <w:ind w:left="0" w:firstLine="0"/>
        <w:jc w:val="both"/>
        <w:rPr>
          <w:rFonts w:ascii="Arial" w:eastAsia="Calibri" w:hAnsi="Arial" w:cs="Arial"/>
          <w:color w:val="000000"/>
        </w:rPr>
      </w:pPr>
      <w:r w:rsidRPr="0009691A">
        <w:rPr>
          <w:rFonts w:ascii="Arial" w:eastAsia="Calibri" w:hAnsi="Arial" w:cs="Arial"/>
          <w:color w:val="000000"/>
        </w:rPr>
        <w:t>The budget estimates reflect adherence to principles of public financial management, as follows: -</w:t>
      </w:r>
    </w:p>
    <w:p w14:paraId="0CDBB4D9" w14:textId="77777777" w:rsidR="005433F5" w:rsidRPr="0009691A" w:rsidRDefault="005433F5" w:rsidP="005433F5">
      <w:pPr>
        <w:tabs>
          <w:tab w:val="left" w:pos="1440"/>
        </w:tabs>
        <w:autoSpaceDE w:val="0"/>
        <w:autoSpaceDN w:val="0"/>
        <w:adjustRightInd w:val="0"/>
        <w:spacing w:after="0" w:line="240" w:lineRule="auto"/>
        <w:ind w:left="720"/>
        <w:contextualSpacing/>
        <w:jc w:val="both"/>
        <w:rPr>
          <w:rFonts w:ascii="Arial" w:eastAsia="Calibri" w:hAnsi="Arial" w:cs="Arial"/>
          <w:color w:val="000000"/>
        </w:rPr>
      </w:pPr>
    </w:p>
    <w:p w14:paraId="63B5A23A" w14:textId="77777777" w:rsidR="005433F5" w:rsidRPr="0009691A" w:rsidRDefault="005433F5" w:rsidP="00552CA2">
      <w:pPr>
        <w:numPr>
          <w:ilvl w:val="0"/>
          <w:numId w:val="2"/>
        </w:numPr>
        <w:tabs>
          <w:tab w:val="left" w:pos="1440"/>
        </w:tabs>
        <w:autoSpaceDE w:val="0"/>
        <w:autoSpaceDN w:val="0"/>
        <w:adjustRightInd w:val="0"/>
        <w:spacing w:after="0" w:line="240" w:lineRule="auto"/>
        <w:contextualSpacing/>
        <w:jc w:val="both"/>
        <w:rPr>
          <w:rFonts w:ascii="Arial" w:eastAsia="Calibri" w:hAnsi="Arial" w:cs="Arial"/>
          <w:color w:val="000000"/>
        </w:rPr>
      </w:pPr>
      <w:r w:rsidRPr="0009691A">
        <w:rPr>
          <w:rFonts w:ascii="Arial" w:eastAsia="Calibri" w:hAnsi="Arial" w:cs="Arial"/>
          <w:color w:val="000000"/>
        </w:rPr>
        <w:t xml:space="preserve">Economy: optimal price should be paid for inputs. </w:t>
      </w:r>
    </w:p>
    <w:p w14:paraId="4A1D6A27" w14:textId="77777777" w:rsidR="005433F5" w:rsidRPr="0009691A" w:rsidRDefault="005433F5" w:rsidP="00552CA2">
      <w:pPr>
        <w:numPr>
          <w:ilvl w:val="0"/>
          <w:numId w:val="2"/>
        </w:numPr>
        <w:tabs>
          <w:tab w:val="left" w:pos="1440"/>
        </w:tabs>
        <w:autoSpaceDE w:val="0"/>
        <w:autoSpaceDN w:val="0"/>
        <w:adjustRightInd w:val="0"/>
        <w:spacing w:after="0" w:line="240" w:lineRule="auto"/>
        <w:contextualSpacing/>
        <w:jc w:val="both"/>
        <w:rPr>
          <w:rFonts w:ascii="Arial" w:eastAsia="Calibri" w:hAnsi="Arial" w:cs="Arial"/>
          <w:color w:val="000000"/>
        </w:rPr>
      </w:pPr>
      <w:r w:rsidRPr="0009691A">
        <w:rPr>
          <w:rFonts w:ascii="Arial" w:eastAsia="Calibri" w:hAnsi="Arial" w:cs="Arial"/>
          <w:color w:val="000000"/>
        </w:rPr>
        <w:t>Efficiency: optimal input to output ratio.</w:t>
      </w:r>
    </w:p>
    <w:p w14:paraId="657E4743" w14:textId="77777777" w:rsidR="005433F5" w:rsidRPr="0009691A" w:rsidRDefault="005433F5" w:rsidP="00552CA2">
      <w:pPr>
        <w:numPr>
          <w:ilvl w:val="0"/>
          <w:numId w:val="2"/>
        </w:numPr>
        <w:tabs>
          <w:tab w:val="left" w:pos="1440"/>
        </w:tabs>
        <w:autoSpaceDE w:val="0"/>
        <w:autoSpaceDN w:val="0"/>
        <w:adjustRightInd w:val="0"/>
        <w:spacing w:after="0" w:line="240" w:lineRule="auto"/>
        <w:contextualSpacing/>
        <w:jc w:val="both"/>
        <w:rPr>
          <w:rFonts w:ascii="Arial" w:eastAsia="Calibri" w:hAnsi="Arial" w:cs="Arial"/>
          <w:color w:val="000000"/>
        </w:rPr>
      </w:pPr>
      <w:r w:rsidRPr="0009691A">
        <w:rPr>
          <w:rFonts w:ascii="Arial" w:eastAsia="Calibri" w:hAnsi="Arial" w:cs="Arial"/>
          <w:color w:val="000000"/>
        </w:rPr>
        <w:t>Effectiveness: available resources should be not be widely fragmented over too many activities. Impact will be achieved if resources are concentrated on few areas, in a holistic manner.</w:t>
      </w:r>
    </w:p>
    <w:p w14:paraId="3880C12A" w14:textId="77777777" w:rsidR="005433F5" w:rsidRPr="0009691A" w:rsidRDefault="005433F5" w:rsidP="005433F5">
      <w:pPr>
        <w:pStyle w:val="Heading3"/>
        <w:rPr>
          <w:sz w:val="22"/>
          <w:szCs w:val="22"/>
        </w:rPr>
      </w:pPr>
    </w:p>
    <w:p w14:paraId="3E7F2A58" w14:textId="77777777" w:rsidR="005433F5" w:rsidRPr="0009691A" w:rsidRDefault="005433F5" w:rsidP="00552CA2">
      <w:pPr>
        <w:pStyle w:val="ListParagraph"/>
        <w:numPr>
          <w:ilvl w:val="0"/>
          <w:numId w:val="4"/>
        </w:numPr>
        <w:tabs>
          <w:tab w:val="left" w:pos="720"/>
        </w:tabs>
        <w:ind w:left="0" w:firstLine="0"/>
        <w:jc w:val="both"/>
        <w:rPr>
          <w:rFonts w:ascii="Arial" w:eastAsia="Calibri" w:hAnsi="Arial" w:cs="Arial"/>
          <w:color w:val="000000"/>
        </w:rPr>
      </w:pPr>
      <w:r w:rsidRPr="0009691A">
        <w:rPr>
          <w:rFonts w:ascii="Arial" w:eastAsia="Calibri" w:hAnsi="Arial" w:cs="Arial"/>
          <w:color w:val="000000"/>
        </w:rPr>
        <w:t xml:space="preserve">Based on grant support, specifically EU and USAID, the Secretariat will continue to focus implementing institutional reforms aimed at strengthening </w:t>
      </w:r>
      <w:proofErr w:type="spellStart"/>
      <w:r w:rsidRPr="0009691A">
        <w:rPr>
          <w:rFonts w:ascii="Arial" w:eastAsia="Calibri" w:hAnsi="Arial" w:cs="Arial"/>
          <w:color w:val="000000"/>
        </w:rPr>
        <w:t>organisational</w:t>
      </w:r>
      <w:proofErr w:type="spellEnd"/>
      <w:r w:rsidRPr="0009691A">
        <w:rPr>
          <w:rFonts w:ascii="Arial" w:eastAsia="Calibri" w:hAnsi="Arial" w:cs="Arial"/>
          <w:color w:val="000000"/>
        </w:rPr>
        <w:t xml:space="preserve"> capacity and efficiency to deliver on its mandate. The reforms, among others, are: -</w:t>
      </w:r>
    </w:p>
    <w:p w14:paraId="78C830DD" w14:textId="3307759D" w:rsidR="005433F5" w:rsidRDefault="005433F5" w:rsidP="004D4365">
      <w:pPr>
        <w:tabs>
          <w:tab w:val="left" w:pos="1440"/>
        </w:tabs>
        <w:spacing w:after="0" w:line="240" w:lineRule="auto"/>
        <w:contextualSpacing/>
        <w:jc w:val="both"/>
        <w:rPr>
          <w:rFonts w:ascii="Arial" w:eastAsia="Calibri" w:hAnsi="Arial" w:cs="Arial"/>
          <w:color w:val="000000"/>
        </w:rPr>
      </w:pPr>
    </w:p>
    <w:p w14:paraId="5FF6BD28" w14:textId="65C60957" w:rsidR="005433F5" w:rsidRPr="0009691A" w:rsidRDefault="005433F5" w:rsidP="005433F5">
      <w:pPr>
        <w:pStyle w:val="Heading2"/>
        <w:tabs>
          <w:tab w:val="left" w:pos="720"/>
        </w:tabs>
        <w:rPr>
          <w:rFonts w:ascii="Arial" w:eastAsia="Times New Roman" w:hAnsi="Arial" w:cs="Arial"/>
          <w:sz w:val="22"/>
          <w:szCs w:val="22"/>
        </w:rPr>
      </w:pPr>
      <w:bookmarkStart w:id="35" w:name="_Toc23006803"/>
      <w:r w:rsidRPr="0009691A">
        <w:rPr>
          <w:rFonts w:ascii="Arial" w:eastAsia="Times New Roman" w:hAnsi="Arial" w:cs="Arial"/>
          <w:sz w:val="22"/>
          <w:szCs w:val="22"/>
        </w:rPr>
        <w:t>B</w:t>
      </w:r>
      <w:r>
        <w:rPr>
          <w:rFonts w:ascii="Arial" w:eastAsia="Times New Roman" w:hAnsi="Arial" w:cs="Arial"/>
          <w:sz w:val="22"/>
          <w:szCs w:val="22"/>
        </w:rPr>
        <w:t>3</w:t>
      </w:r>
      <w:r w:rsidRPr="0009691A">
        <w:rPr>
          <w:rFonts w:ascii="Arial" w:eastAsia="Times New Roman" w:hAnsi="Arial" w:cs="Arial"/>
          <w:sz w:val="22"/>
          <w:szCs w:val="22"/>
        </w:rPr>
        <w:t>:</w:t>
      </w:r>
      <w:r w:rsidRPr="0009691A">
        <w:rPr>
          <w:rFonts w:ascii="Arial" w:eastAsia="Times New Roman" w:hAnsi="Arial" w:cs="Arial"/>
          <w:sz w:val="22"/>
          <w:szCs w:val="22"/>
        </w:rPr>
        <w:tab/>
      </w:r>
      <w:r>
        <w:rPr>
          <w:rFonts w:ascii="Arial" w:eastAsia="Times New Roman" w:hAnsi="Arial" w:cs="Arial"/>
          <w:sz w:val="22"/>
          <w:szCs w:val="22"/>
        </w:rPr>
        <w:t>2020</w:t>
      </w:r>
      <w:r w:rsidRPr="0009691A">
        <w:rPr>
          <w:rFonts w:ascii="Arial" w:eastAsia="Times New Roman" w:hAnsi="Arial" w:cs="Arial"/>
          <w:sz w:val="22"/>
          <w:szCs w:val="22"/>
        </w:rPr>
        <w:t xml:space="preserve"> Expenditure </w:t>
      </w:r>
      <w:r>
        <w:rPr>
          <w:rFonts w:ascii="Arial" w:eastAsia="Times New Roman" w:hAnsi="Arial" w:cs="Arial"/>
          <w:sz w:val="22"/>
          <w:szCs w:val="22"/>
        </w:rPr>
        <w:t>Estimates</w:t>
      </w:r>
      <w:bookmarkEnd w:id="35"/>
    </w:p>
    <w:p w14:paraId="4037CE18" w14:textId="77777777" w:rsidR="005433F5" w:rsidRDefault="005433F5" w:rsidP="004D4365">
      <w:pPr>
        <w:tabs>
          <w:tab w:val="left" w:pos="1440"/>
        </w:tabs>
        <w:spacing w:after="0" w:line="240" w:lineRule="auto"/>
        <w:contextualSpacing/>
        <w:jc w:val="both"/>
        <w:rPr>
          <w:rFonts w:ascii="Arial" w:eastAsia="Calibri" w:hAnsi="Arial" w:cs="Arial"/>
          <w:color w:val="000000"/>
        </w:rPr>
      </w:pPr>
    </w:p>
    <w:p w14:paraId="1AA868C8" w14:textId="536F85A3" w:rsidR="00265122" w:rsidRDefault="00265122" w:rsidP="00265122">
      <w:pPr>
        <w:pStyle w:val="Heading3"/>
        <w:rPr>
          <w:sz w:val="22"/>
          <w:szCs w:val="22"/>
        </w:rPr>
      </w:pPr>
      <w:bookmarkStart w:id="36" w:name="_Toc23006804"/>
      <w:r>
        <w:rPr>
          <w:sz w:val="22"/>
          <w:szCs w:val="22"/>
        </w:rPr>
        <w:t xml:space="preserve">2020 Budgetary </w:t>
      </w:r>
      <w:r w:rsidRPr="0009691A">
        <w:rPr>
          <w:sz w:val="22"/>
          <w:szCs w:val="22"/>
        </w:rPr>
        <w:t>allocation</w:t>
      </w:r>
      <w:bookmarkEnd w:id="36"/>
      <w:r w:rsidRPr="0009691A">
        <w:rPr>
          <w:sz w:val="22"/>
          <w:szCs w:val="22"/>
        </w:rPr>
        <w:t xml:space="preserve"> </w:t>
      </w:r>
    </w:p>
    <w:p w14:paraId="71A9C5A0" w14:textId="7866A7C9" w:rsidR="00265122" w:rsidRDefault="00265122" w:rsidP="004D4365">
      <w:pPr>
        <w:tabs>
          <w:tab w:val="left" w:pos="1440"/>
        </w:tabs>
        <w:spacing w:after="0" w:line="240" w:lineRule="auto"/>
        <w:contextualSpacing/>
        <w:jc w:val="both"/>
        <w:rPr>
          <w:rFonts w:ascii="Arial" w:eastAsia="Calibri" w:hAnsi="Arial" w:cs="Arial"/>
          <w:color w:val="000000"/>
        </w:rPr>
      </w:pPr>
    </w:p>
    <w:p w14:paraId="60A20224" w14:textId="57AC7414" w:rsidR="001E4BC0" w:rsidRDefault="00224D40" w:rsidP="00552CA2">
      <w:pPr>
        <w:pStyle w:val="ListParagraph"/>
        <w:numPr>
          <w:ilvl w:val="0"/>
          <w:numId w:val="4"/>
        </w:numPr>
        <w:tabs>
          <w:tab w:val="left" w:pos="720"/>
        </w:tabs>
        <w:ind w:left="0" w:firstLine="0"/>
        <w:jc w:val="both"/>
        <w:rPr>
          <w:rFonts w:ascii="Arial" w:eastAsia="Calibri" w:hAnsi="Arial" w:cs="Arial"/>
        </w:rPr>
      </w:pPr>
      <w:r>
        <w:rPr>
          <w:rFonts w:ascii="Arial" w:eastAsia="Calibri" w:hAnsi="Arial" w:cs="Arial"/>
        </w:rPr>
        <w:t xml:space="preserve">COMESA Secretariat </w:t>
      </w:r>
      <w:r w:rsidR="001E4BC0" w:rsidRPr="0077521D">
        <w:rPr>
          <w:rFonts w:ascii="Arial" w:eastAsia="Calibri" w:hAnsi="Arial" w:cs="Arial"/>
        </w:rPr>
        <w:t>expenditure in 2020 is projected to decrease to US$5</w:t>
      </w:r>
      <w:r w:rsidR="001E4BC0">
        <w:rPr>
          <w:rFonts w:ascii="Arial" w:eastAsia="Calibri" w:hAnsi="Arial" w:cs="Arial"/>
        </w:rPr>
        <w:t xml:space="preserve">7,055,060 </w:t>
      </w:r>
      <w:r w:rsidR="001E4BC0" w:rsidRPr="0077521D">
        <w:rPr>
          <w:rFonts w:ascii="Arial" w:eastAsia="Calibri" w:hAnsi="Arial" w:cs="Arial"/>
          <w:i/>
        </w:rPr>
        <w:t>(2019:US$</w:t>
      </w:r>
      <w:r w:rsidR="001E4BC0">
        <w:rPr>
          <w:rFonts w:ascii="Arial" w:eastAsia="Calibri" w:hAnsi="Arial" w:cs="Arial"/>
          <w:i/>
        </w:rPr>
        <w:t>69</w:t>
      </w:r>
      <w:r w:rsidR="001E4BC0" w:rsidRPr="0077521D">
        <w:rPr>
          <w:rFonts w:ascii="Arial" w:eastAsia="Calibri" w:hAnsi="Arial" w:cs="Arial"/>
          <w:i/>
        </w:rPr>
        <w:t>,</w:t>
      </w:r>
      <w:r w:rsidR="001E4BC0">
        <w:rPr>
          <w:rFonts w:ascii="Arial" w:eastAsia="Calibri" w:hAnsi="Arial" w:cs="Arial"/>
          <w:i/>
        </w:rPr>
        <w:t>493</w:t>
      </w:r>
      <w:r w:rsidR="001E4BC0" w:rsidRPr="0077521D">
        <w:rPr>
          <w:rFonts w:ascii="Arial" w:eastAsia="Calibri" w:hAnsi="Arial" w:cs="Arial"/>
          <w:i/>
        </w:rPr>
        <w:t>,</w:t>
      </w:r>
      <w:r w:rsidR="001E4BC0">
        <w:rPr>
          <w:rFonts w:ascii="Arial" w:eastAsia="Calibri" w:hAnsi="Arial" w:cs="Arial"/>
          <w:i/>
        </w:rPr>
        <w:t>144</w:t>
      </w:r>
      <w:r w:rsidR="001E4BC0" w:rsidRPr="0077521D">
        <w:rPr>
          <w:rFonts w:ascii="Arial" w:eastAsia="Calibri" w:hAnsi="Arial" w:cs="Arial"/>
          <w:i/>
        </w:rPr>
        <w:t xml:space="preserve">), </w:t>
      </w:r>
      <w:r w:rsidR="001E4BC0" w:rsidRPr="0077521D">
        <w:rPr>
          <w:rFonts w:ascii="Arial" w:eastAsia="Calibri" w:hAnsi="Arial" w:cs="Arial"/>
        </w:rPr>
        <w:t>a reduction of 1</w:t>
      </w:r>
      <w:r w:rsidR="001E4BC0">
        <w:rPr>
          <w:rFonts w:ascii="Arial" w:eastAsia="Calibri" w:hAnsi="Arial" w:cs="Arial"/>
        </w:rPr>
        <w:t>7</w:t>
      </w:r>
      <w:r w:rsidR="001E4BC0" w:rsidRPr="0077521D">
        <w:rPr>
          <w:rFonts w:ascii="Arial" w:eastAsia="Calibri" w:hAnsi="Arial" w:cs="Arial"/>
        </w:rPr>
        <w:t>%</w:t>
      </w:r>
      <w:r w:rsidR="001E4BC0">
        <w:rPr>
          <w:rFonts w:ascii="Arial" w:eastAsia="Calibri" w:hAnsi="Arial" w:cs="Arial"/>
        </w:rPr>
        <w:t xml:space="preserve">, which </w:t>
      </w:r>
      <w:r>
        <w:rPr>
          <w:rFonts w:ascii="Arial" w:eastAsia="Calibri" w:hAnsi="Arial" w:cs="Arial"/>
        </w:rPr>
        <w:t>is outlined in Table 7 below: -</w:t>
      </w:r>
    </w:p>
    <w:p w14:paraId="3F5ACAFF" w14:textId="192A6837" w:rsidR="00224D40" w:rsidRDefault="00224D40" w:rsidP="00224D40">
      <w:pPr>
        <w:pStyle w:val="ListParagraph"/>
        <w:tabs>
          <w:tab w:val="left" w:pos="720"/>
        </w:tabs>
        <w:ind w:left="0"/>
        <w:jc w:val="both"/>
        <w:rPr>
          <w:rFonts w:ascii="Arial" w:eastAsia="Calibri" w:hAnsi="Arial" w:cs="Arial"/>
        </w:rPr>
      </w:pPr>
    </w:p>
    <w:p w14:paraId="312983FD" w14:textId="77777777" w:rsidR="00BE3421" w:rsidRDefault="00BE3421" w:rsidP="00224D40">
      <w:pPr>
        <w:pStyle w:val="NoSpacing"/>
        <w:rPr>
          <w:b/>
          <w:lang w:val="en-GB"/>
        </w:rPr>
        <w:sectPr w:rsidR="00BE3421">
          <w:headerReference w:type="default" r:id="rId25"/>
          <w:pgSz w:w="11906" w:h="16838"/>
          <w:pgMar w:top="1440" w:right="1440" w:bottom="1440" w:left="1440" w:header="708" w:footer="708" w:gutter="0"/>
          <w:cols w:space="708"/>
          <w:docGrid w:linePitch="360"/>
        </w:sectPr>
      </w:pPr>
    </w:p>
    <w:p w14:paraId="1EC2CCB4" w14:textId="3E7BDF12" w:rsidR="00224D40" w:rsidRDefault="00224D40" w:rsidP="00224D40">
      <w:pPr>
        <w:pStyle w:val="NoSpacing"/>
      </w:pPr>
      <w:r w:rsidRPr="0018592C">
        <w:rPr>
          <w:b/>
          <w:lang w:val="en-GB"/>
        </w:rPr>
        <w:lastRenderedPageBreak/>
        <w:t xml:space="preserve">Table </w:t>
      </w:r>
      <w:r>
        <w:rPr>
          <w:b/>
          <w:lang w:val="en-GB"/>
        </w:rPr>
        <w:t>7</w:t>
      </w:r>
      <w:r w:rsidRPr="0018592C">
        <w:rPr>
          <w:b/>
          <w:lang w:val="en-GB"/>
        </w:rPr>
        <w:t xml:space="preserve">: </w:t>
      </w:r>
      <w:r>
        <w:rPr>
          <w:b/>
          <w:lang w:val="en-GB"/>
        </w:rPr>
        <w:t>2020 Budget Expenditure – Member States and Grants funding</w:t>
      </w:r>
    </w:p>
    <w:p w14:paraId="60D86E74" w14:textId="084FDFE5" w:rsidR="00265122" w:rsidRDefault="00224D40" w:rsidP="006D1FDE">
      <w:pPr>
        <w:pStyle w:val="ListParagraph"/>
        <w:tabs>
          <w:tab w:val="left" w:pos="720"/>
        </w:tabs>
        <w:ind w:left="0"/>
        <w:jc w:val="both"/>
        <w:rPr>
          <w:rFonts w:ascii="Arial" w:eastAsia="Calibri" w:hAnsi="Arial" w:cs="Arial"/>
          <w:color w:val="000000"/>
        </w:rPr>
      </w:pPr>
      <w:r>
        <w:rPr>
          <w:rFonts w:ascii="Arial" w:eastAsia="Calibri" w:hAnsi="Arial" w:cs="Arial"/>
        </w:rPr>
        <w:tab/>
      </w:r>
    </w:p>
    <w:p w14:paraId="5C3E5B2B" w14:textId="4A83685E" w:rsidR="00265122" w:rsidRDefault="001513BF" w:rsidP="00265122">
      <w:r>
        <w:object w:dxaOrig="9767" w:dyaOrig="8107" w14:anchorId="2E47C4F4">
          <v:shape id="_x0000_i1029" type="#_x0000_t75" style="width:488.25pt;height:405pt" o:ole="">
            <v:imagedata r:id="rId26" o:title=""/>
          </v:shape>
          <o:OLEObject Type="Embed" ProgID="Excel.Sheet.12" ShapeID="_x0000_i1029" DrawAspect="Content" ObjectID="_1633623876" r:id="rId27"/>
        </w:object>
      </w:r>
    </w:p>
    <w:p w14:paraId="779AB01E" w14:textId="77777777" w:rsidR="009031F6" w:rsidRPr="00B70CB5" w:rsidRDefault="009031F6" w:rsidP="009031F6">
      <w:pPr>
        <w:pStyle w:val="ListParagraph"/>
        <w:tabs>
          <w:tab w:val="left" w:pos="720"/>
        </w:tabs>
        <w:ind w:left="0"/>
        <w:jc w:val="both"/>
        <w:rPr>
          <w:rFonts w:ascii="Arial" w:eastAsia="Calibri" w:hAnsi="Arial" w:cs="Arial"/>
        </w:rPr>
      </w:pPr>
    </w:p>
    <w:p w14:paraId="3B4DC3FF" w14:textId="059015DF" w:rsidR="000D37F9" w:rsidRPr="000D37F9" w:rsidRDefault="000D37F9" w:rsidP="000D37F9">
      <w:pPr>
        <w:pStyle w:val="Heading3"/>
        <w:rPr>
          <w:sz w:val="22"/>
          <w:szCs w:val="22"/>
        </w:rPr>
      </w:pPr>
      <w:bookmarkStart w:id="37" w:name="_Toc23006805"/>
      <w:r w:rsidRPr="000D37F9">
        <w:rPr>
          <w:sz w:val="22"/>
          <w:szCs w:val="22"/>
        </w:rPr>
        <w:t>Explanations</w:t>
      </w:r>
      <w:r w:rsidR="00F13CB1">
        <w:rPr>
          <w:sz w:val="22"/>
          <w:szCs w:val="22"/>
        </w:rPr>
        <w:t xml:space="preserve"> – on going programme and recurrent activities</w:t>
      </w:r>
      <w:bookmarkEnd w:id="37"/>
    </w:p>
    <w:p w14:paraId="39FD08F7" w14:textId="77777777" w:rsidR="000D37F9" w:rsidRDefault="000D37F9" w:rsidP="000D37F9">
      <w:pPr>
        <w:pStyle w:val="ListParagraph"/>
        <w:tabs>
          <w:tab w:val="left" w:pos="720"/>
        </w:tabs>
        <w:ind w:left="0"/>
        <w:jc w:val="both"/>
        <w:rPr>
          <w:rFonts w:ascii="Arial" w:eastAsia="Calibri" w:hAnsi="Arial" w:cs="Arial"/>
        </w:rPr>
      </w:pPr>
    </w:p>
    <w:p w14:paraId="0F710730" w14:textId="521964E6" w:rsidR="000D37F9" w:rsidRDefault="000D37F9" w:rsidP="00552CA2">
      <w:pPr>
        <w:pStyle w:val="ListParagraph"/>
        <w:numPr>
          <w:ilvl w:val="0"/>
          <w:numId w:val="4"/>
        </w:numPr>
        <w:tabs>
          <w:tab w:val="left" w:pos="720"/>
        </w:tabs>
        <w:ind w:left="0" w:firstLine="0"/>
        <w:jc w:val="both"/>
        <w:rPr>
          <w:rFonts w:ascii="Arial" w:eastAsia="Calibri" w:hAnsi="Arial" w:cs="Arial"/>
        </w:rPr>
      </w:pPr>
      <w:r>
        <w:rPr>
          <w:rFonts w:ascii="Arial" w:eastAsia="Calibri" w:hAnsi="Arial" w:cs="Arial"/>
        </w:rPr>
        <w:t xml:space="preserve">Right at the outset, the Secretariat hereby indicates that 2020 Budget expenditure estimates are extremely prudent and reflect tougher economic conditions that Member States are facing. It proposes an increase of Member States funding and related expenditure of only 2% over 2019 Budget, which is lower than the region’s average economic growth. This has been possible through an institutional-wide budget planning and development process and contributions from Cooperating Partners. </w:t>
      </w:r>
    </w:p>
    <w:p w14:paraId="1F49C6A2" w14:textId="77777777" w:rsidR="000D37F9" w:rsidRDefault="000D37F9" w:rsidP="000D37F9">
      <w:pPr>
        <w:pStyle w:val="ListParagraph"/>
        <w:tabs>
          <w:tab w:val="left" w:pos="720"/>
        </w:tabs>
        <w:ind w:left="0"/>
        <w:jc w:val="both"/>
        <w:rPr>
          <w:rFonts w:ascii="Arial" w:eastAsia="Calibri" w:hAnsi="Arial" w:cs="Arial"/>
        </w:rPr>
      </w:pPr>
    </w:p>
    <w:p w14:paraId="5F3C5C8E" w14:textId="2510C562" w:rsidR="00265122" w:rsidRDefault="00BE3421" w:rsidP="00552CA2">
      <w:pPr>
        <w:pStyle w:val="ListParagraph"/>
        <w:numPr>
          <w:ilvl w:val="0"/>
          <w:numId w:val="4"/>
        </w:numPr>
        <w:tabs>
          <w:tab w:val="left" w:pos="720"/>
        </w:tabs>
        <w:ind w:left="0" w:firstLine="0"/>
        <w:jc w:val="both"/>
        <w:rPr>
          <w:rFonts w:ascii="Arial" w:eastAsia="Calibri" w:hAnsi="Arial" w:cs="Arial"/>
        </w:rPr>
      </w:pPr>
      <w:r>
        <w:rPr>
          <w:rFonts w:ascii="Arial" w:eastAsia="Calibri" w:hAnsi="Arial" w:cs="Arial"/>
        </w:rPr>
        <w:t>Explanations on the proposed 2020 Budgeta</w:t>
      </w:r>
      <w:r w:rsidR="005D1787">
        <w:rPr>
          <w:rFonts w:ascii="Arial" w:eastAsia="Calibri" w:hAnsi="Arial" w:cs="Arial"/>
        </w:rPr>
        <w:t>ry appropriations, are outlined below</w:t>
      </w:r>
      <w:r>
        <w:rPr>
          <w:rFonts w:ascii="Arial" w:eastAsia="Calibri" w:hAnsi="Arial" w:cs="Arial"/>
        </w:rPr>
        <w:t>: -</w:t>
      </w:r>
    </w:p>
    <w:p w14:paraId="508858A6" w14:textId="19BDAF99" w:rsidR="006D1FDE" w:rsidRDefault="006D1FDE" w:rsidP="006D1FDE">
      <w:pPr>
        <w:pStyle w:val="ListParagraph"/>
        <w:tabs>
          <w:tab w:val="left" w:pos="720"/>
        </w:tabs>
        <w:ind w:left="0"/>
        <w:jc w:val="both"/>
        <w:rPr>
          <w:rFonts w:ascii="Arial" w:eastAsia="Calibri" w:hAnsi="Arial" w:cs="Arial"/>
        </w:rPr>
      </w:pPr>
    </w:p>
    <w:p w14:paraId="1D064B83" w14:textId="55110093" w:rsidR="006D1FDE" w:rsidRPr="006D1FDE" w:rsidRDefault="006D1FDE" w:rsidP="006D1FDE">
      <w:pPr>
        <w:pStyle w:val="ListParagraph"/>
        <w:tabs>
          <w:tab w:val="left" w:pos="720"/>
        </w:tabs>
        <w:ind w:left="0"/>
        <w:jc w:val="both"/>
        <w:rPr>
          <w:rFonts w:ascii="Arial" w:eastAsia="Calibri" w:hAnsi="Arial" w:cs="Arial"/>
          <w:b/>
        </w:rPr>
      </w:pPr>
      <w:r>
        <w:rPr>
          <w:rFonts w:ascii="Arial" w:eastAsia="Calibri" w:hAnsi="Arial" w:cs="Arial"/>
        </w:rPr>
        <w:tab/>
      </w:r>
      <w:r w:rsidRPr="006D1FDE">
        <w:rPr>
          <w:rFonts w:ascii="Arial" w:eastAsia="Calibri" w:hAnsi="Arial" w:cs="Arial"/>
          <w:b/>
        </w:rPr>
        <w:t>Member states funding</w:t>
      </w:r>
    </w:p>
    <w:p w14:paraId="45D8D231" w14:textId="2A0477E5" w:rsidR="00BE3421" w:rsidRDefault="00BE3421" w:rsidP="00BE3421">
      <w:pPr>
        <w:pStyle w:val="ListParagraph"/>
        <w:tabs>
          <w:tab w:val="left" w:pos="720"/>
        </w:tabs>
        <w:ind w:left="0"/>
        <w:jc w:val="both"/>
        <w:rPr>
          <w:rFonts w:ascii="Arial" w:eastAsia="Calibri" w:hAnsi="Arial" w:cs="Arial"/>
        </w:rPr>
      </w:pPr>
    </w:p>
    <w:p w14:paraId="08785AB8" w14:textId="28263251" w:rsidR="00BE3421" w:rsidRDefault="00BE3421" w:rsidP="00552CA2">
      <w:pPr>
        <w:pStyle w:val="ListParagraph"/>
        <w:numPr>
          <w:ilvl w:val="0"/>
          <w:numId w:val="24"/>
        </w:numPr>
        <w:tabs>
          <w:tab w:val="left" w:pos="720"/>
        </w:tabs>
        <w:ind w:left="1440" w:hanging="720"/>
        <w:jc w:val="both"/>
        <w:rPr>
          <w:rFonts w:ascii="Arial" w:eastAsia="Calibri" w:hAnsi="Arial" w:cs="Arial"/>
          <w:b/>
        </w:rPr>
      </w:pPr>
      <w:r w:rsidRPr="00BE3421">
        <w:rPr>
          <w:rFonts w:ascii="Arial" w:eastAsia="Calibri" w:hAnsi="Arial" w:cs="Arial"/>
          <w:b/>
        </w:rPr>
        <w:t>Staff costs</w:t>
      </w:r>
      <w:r w:rsidR="00A12BDD">
        <w:rPr>
          <w:rFonts w:ascii="Arial" w:eastAsia="Calibri" w:hAnsi="Arial" w:cs="Arial"/>
          <w:b/>
        </w:rPr>
        <w:t xml:space="preserve"> </w:t>
      </w:r>
      <w:r w:rsidR="005D1787">
        <w:rPr>
          <w:rFonts w:ascii="Arial" w:eastAsia="Calibri" w:hAnsi="Arial" w:cs="Arial"/>
          <w:b/>
        </w:rPr>
        <w:t xml:space="preserve">based on approved posts </w:t>
      </w:r>
      <w:r w:rsidR="00A12BDD">
        <w:rPr>
          <w:rFonts w:ascii="Arial" w:eastAsia="Calibri" w:hAnsi="Arial" w:cs="Arial"/>
          <w:b/>
        </w:rPr>
        <w:t>– Member States funded</w:t>
      </w:r>
    </w:p>
    <w:p w14:paraId="74C3D92F" w14:textId="32444E8B" w:rsidR="00A12BDD" w:rsidRDefault="00B000A0" w:rsidP="00B000A0">
      <w:pPr>
        <w:pStyle w:val="ListParagraph"/>
        <w:tabs>
          <w:tab w:val="left" w:pos="720"/>
        </w:tabs>
        <w:ind w:left="1440" w:hanging="720"/>
        <w:jc w:val="both"/>
        <w:rPr>
          <w:rFonts w:ascii="Arial" w:eastAsia="Calibri" w:hAnsi="Arial" w:cs="Arial"/>
        </w:rPr>
      </w:pPr>
      <w:r>
        <w:rPr>
          <w:rFonts w:ascii="Arial" w:eastAsia="Calibri" w:hAnsi="Arial" w:cs="Arial"/>
        </w:rPr>
        <w:tab/>
      </w:r>
      <w:r w:rsidR="00BE3421" w:rsidRPr="00BE3421">
        <w:rPr>
          <w:rFonts w:ascii="Arial" w:eastAsia="Calibri" w:hAnsi="Arial" w:cs="Arial"/>
        </w:rPr>
        <w:t>Comprising of</w:t>
      </w:r>
      <w:r w:rsidR="00BE3421">
        <w:rPr>
          <w:rFonts w:ascii="Arial" w:eastAsia="Calibri" w:hAnsi="Arial" w:cs="Arial"/>
        </w:rPr>
        <w:t xml:space="preserve"> staff emoluments</w:t>
      </w:r>
      <w:r w:rsidR="00A12BDD">
        <w:rPr>
          <w:rFonts w:ascii="Arial" w:eastAsia="Calibri" w:hAnsi="Arial" w:cs="Arial"/>
        </w:rPr>
        <w:t xml:space="preserve"> </w:t>
      </w:r>
      <w:r w:rsidR="00BE3421">
        <w:rPr>
          <w:rFonts w:ascii="Arial" w:eastAsia="Calibri" w:hAnsi="Arial" w:cs="Arial"/>
        </w:rPr>
        <w:t xml:space="preserve">are presented per budget line </w:t>
      </w:r>
      <w:r w:rsidR="00BE3421" w:rsidRPr="00A12BDD">
        <w:rPr>
          <w:rFonts w:ascii="Arial" w:eastAsia="Calibri" w:hAnsi="Arial" w:cs="Arial"/>
          <w:b/>
        </w:rPr>
        <w:t>(Appendix 4A),</w:t>
      </w:r>
      <w:r w:rsidR="00BE3421">
        <w:rPr>
          <w:rFonts w:ascii="Arial" w:eastAsia="Calibri" w:hAnsi="Arial" w:cs="Arial"/>
        </w:rPr>
        <w:t xml:space="preserve"> in line with requirements</w:t>
      </w:r>
      <w:r w:rsidR="00A12BDD">
        <w:rPr>
          <w:rFonts w:ascii="Arial" w:eastAsia="Calibri" w:hAnsi="Arial" w:cs="Arial"/>
        </w:rPr>
        <w:t xml:space="preserve">. Amounts reflect terms and conditions. </w:t>
      </w:r>
      <w:r w:rsidR="00A12BDD" w:rsidRPr="00A12BDD">
        <w:rPr>
          <w:rFonts w:ascii="Arial" w:eastAsia="Calibri" w:hAnsi="Arial" w:cs="Arial"/>
        </w:rPr>
        <w:t xml:space="preserve">Cost reduction </w:t>
      </w:r>
      <w:r w:rsidR="00A12BDD">
        <w:rPr>
          <w:rFonts w:ascii="Arial" w:eastAsia="Calibri" w:hAnsi="Arial" w:cs="Arial"/>
        </w:rPr>
        <w:t xml:space="preserve">of 3.1%, from US$9,399,677 in 2019 to US$9,110,193 in 2020, </w:t>
      </w:r>
      <w:r w:rsidR="00A12BDD" w:rsidRPr="00A12BDD">
        <w:rPr>
          <w:rFonts w:ascii="Arial" w:eastAsia="Calibri" w:hAnsi="Arial" w:cs="Arial"/>
        </w:rPr>
        <w:t xml:space="preserve">reflects reduced </w:t>
      </w:r>
      <w:r w:rsidR="00A12BDD" w:rsidRPr="00A12BDD">
        <w:rPr>
          <w:rFonts w:ascii="Arial" w:eastAsia="Calibri" w:hAnsi="Arial" w:cs="Arial"/>
        </w:rPr>
        <w:lastRenderedPageBreak/>
        <w:t xml:space="preserve">amounts </w:t>
      </w:r>
      <w:r w:rsidR="00A12BDD">
        <w:rPr>
          <w:rFonts w:ascii="Arial" w:eastAsia="Calibri" w:hAnsi="Arial" w:cs="Arial"/>
        </w:rPr>
        <w:t xml:space="preserve">in respect of dependents based on aligning budgetary appropriations to individual staff and related dependents. </w:t>
      </w:r>
    </w:p>
    <w:p w14:paraId="1788AF21" w14:textId="77777777" w:rsidR="00A12BDD" w:rsidRDefault="00A12BDD" w:rsidP="00B000A0">
      <w:pPr>
        <w:pStyle w:val="ListParagraph"/>
        <w:tabs>
          <w:tab w:val="left" w:pos="720"/>
        </w:tabs>
        <w:ind w:left="1440" w:hanging="720"/>
        <w:jc w:val="both"/>
        <w:rPr>
          <w:rFonts w:ascii="Arial" w:eastAsia="Calibri" w:hAnsi="Arial" w:cs="Arial"/>
        </w:rPr>
      </w:pPr>
    </w:p>
    <w:p w14:paraId="32CD25B6" w14:textId="0185F5A7" w:rsidR="00A12BDD" w:rsidRDefault="00B000A0" w:rsidP="00B000A0">
      <w:pPr>
        <w:pStyle w:val="ListParagraph"/>
        <w:tabs>
          <w:tab w:val="left" w:pos="720"/>
        </w:tabs>
        <w:ind w:left="1440" w:hanging="720"/>
        <w:jc w:val="both"/>
        <w:rPr>
          <w:rFonts w:ascii="Arial" w:eastAsia="Calibri" w:hAnsi="Arial" w:cs="Arial"/>
        </w:rPr>
      </w:pPr>
      <w:r>
        <w:rPr>
          <w:rFonts w:ascii="Arial" w:eastAsia="Calibri" w:hAnsi="Arial" w:cs="Arial"/>
        </w:rPr>
        <w:tab/>
      </w:r>
      <w:r w:rsidR="00A12BDD">
        <w:rPr>
          <w:rFonts w:ascii="Arial" w:eastAsia="Calibri" w:hAnsi="Arial" w:cs="Arial"/>
        </w:rPr>
        <w:t xml:space="preserve">These are </w:t>
      </w:r>
      <w:r w:rsidR="00A12BDD" w:rsidRPr="00A12BDD">
        <w:rPr>
          <w:rFonts w:ascii="Arial" w:eastAsia="Calibri" w:hAnsi="Arial" w:cs="Arial"/>
        </w:rPr>
        <w:t>fixed cost</w:t>
      </w:r>
      <w:r w:rsidR="00A12BDD">
        <w:rPr>
          <w:rFonts w:ascii="Arial" w:eastAsia="Calibri" w:hAnsi="Arial" w:cs="Arial"/>
        </w:rPr>
        <w:t>s</w:t>
      </w:r>
      <w:r w:rsidR="00A12BDD" w:rsidRPr="00A12BDD">
        <w:rPr>
          <w:rFonts w:ascii="Arial" w:eastAsia="Calibri" w:hAnsi="Arial" w:cs="Arial"/>
        </w:rPr>
        <w:t>, necessary to establish</w:t>
      </w:r>
      <w:r w:rsidR="00A12BDD">
        <w:rPr>
          <w:rFonts w:ascii="Arial" w:eastAsia="Calibri" w:hAnsi="Arial" w:cs="Arial"/>
        </w:rPr>
        <w:t xml:space="preserve"> p</w:t>
      </w:r>
      <w:r w:rsidR="00A12BDD" w:rsidRPr="00A12BDD">
        <w:rPr>
          <w:rFonts w:ascii="Arial" w:eastAsia="Calibri" w:hAnsi="Arial" w:cs="Arial"/>
        </w:rPr>
        <w:t>rogramme implementation capacity</w:t>
      </w:r>
      <w:r w:rsidR="00A12BDD">
        <w:rPr>
          <w:rFonts w:ascii="Arial" w:eastAsia="Calibri" w:hAnsi="Arial" w:cs="Arial"/>
        </w:rPr>
        <w:t>, as well as achieve required i</w:t>
      </w:r>
      <w:r w:rsidR="00A12BDD" w:rsidRPr="00A12BDD">
        <w:rPr>
          <w:rFonts w:ascii="Arial" w:eastAsia="Calibri" w:hAnsi="Arial" w:cs="Arial"/>
        </w:rPr>
        <w:t>nstitutional controls</w:t>
      </w:r>
      <w:r w:rsidR="00A12BDD">
        <w:rPr>
          <w:rFonts w:ascii="Arial" w:eastAsia="Calibri" w:hAnsi="Arial" w:cs="Arial"/>
        </w:rPr>
        <w:t>.</w:t>
      </w:r>
    </w:p>
    <w:p w14:paraId="4C29D107" w14:textId="77777777" w:rsidR="00A12BDD" w:rsidRDefault="00A12BDD" w:rsidP="00B000A0">
      <w:pPr>
        <w:pStyle w:val="ListParagraph"/>
        <w:tabs>
          <w:tab w:val="left" w:pos="720"/>
        </w:tabs>
        <w:ind w:left="1440" w:hanging="720"/>
        <w:jc w:val="both"/>
        <w:rPr>
          <w:rFonts w:ascii="Arial" w:eastAsia="Calibri" w:hAnsi="Arial" w:cs="Arial"/>
        </w:rPr>
      </w:pPr>
    </w:p>
    <w:p w14:paraId="6AD5D062" w14:textId="77777777" w:rsidR="00A12BDD" w:rsidRDefault="00A12BDD" w:rsidP="00B000A0">
      <w:pPr>
        <w:pStyle w:val="ListParagraph"/>
        <w:tabs>
          <w:tab w:val="left" w:pos="720"/>
        </w:tabs>
        <w:ind w:left="2160" w:hanging="720"/>
        <w:jc w:val="both"/>
        <w:rPr>
          <w:rFonts w:ascii="Arial" w:eastAsia="Calibri" w:hAnsi="Arial" w:cs="Arial"/>
        </w:rPr>
      </w:pPr>
      <w:r>
        <w:rPr>
          <w:rFonts w:ascii="Arial" w:eastAsia="Calibri" w:hAnsi="Arial" w:cs="Arial"/>
        </w:rPr>
        <w:t xml:space="preserve">Sub Committee on Audit and Budgetary matters is invited to consider </w:t>
      </w:r>
    </w:p>
    <w:p w14:paraId="29AC9C60" w14:textId="42F3D298" w:rsidR="00A12BDD" w:rsidRDefault="00A12BDD" w:rsidP="00552CA2">
      <w:pPr>
        <w:pStyle w:val="ListParagraph"/>
        <w:numPr>
          <w:ilvl w:val="0"/>
          <w:numId w:val="25"/>
        </w:numPr>
        <w:tabs>
          <w:tab w:val="left" w:pos="720"/>
        </w:tabs>
        <w:ind w:left="2160"/>
        <w:jc w:val="both"/>
        <w:rPr>
          <w:rFonts w:ascii="Arial" w:eastAsia="Calibri" w:hAnsi="Arial" w:cs="Arial"/>
        </w:rPr>
      </w:pPr>
      <w:r>
        <w:rPr>
          <w:rFonts w:ascii="Arial" w:eastAsia="Calibri" w:hAnsi="Arial" w:cs="Arial"/>
        </w:rPr>
        <w:t>Staff costs, as a worthy investment required to access grants funding;</w:t>
      </w:r>
      <w:r w:rsidR="005D1787">
        <w:rPr>
          <w:rFonts w:ascii="Arial" w:eastAsia="Calibri" w:hAnsi="Arial" w:cs="Arial"/>
        </w:rPr>
        <w:t xml:space="preserve"> and</w:t>
      </w:r>
      <w:r>
        <w:rPr>
          <w:rFonts w:ascii="Arial" w:eastAsia="Calibri" w:hAnsi="Arial" w:cs="Arial"/>
        </w:rPr>
        <w:t xml:space="preserve"> </w:t>
      </w:r>
    </w:p>
    <w:p w14:paraId="62BEDB87" w14:textId="5E68349F" w:rsidR="00A12BDD" w:rsidRDefault="00A12BDD" w:rsidP="00552CA2">
      <w:pPr>
        <w:pStyle w:val="ListParagraph"/>
        <w:numPr>
          <w:ilvl w:val="0"/>
          <w:numId w:val="25"/>
        </w:numPr>
        <w:tabs>
          <w:tab w:val="left" w:pos="720"/>
        </w:tabs>
        <w:ind w:left="2160"/>
        <w:jc w:val="both"/>
        <w:rPr>
          <w:rFonts w:ascii="Arial" w:eastAsia="Calibri" w:hAnsi="Arial" w:cs="Arial"/>
        </w:rPr>
      </w:pPr>
      <w:r w:rsidRPr="00A12BDD">
        <w:rPr>
          <w:rFonts w:ascii="Arial" w:eastAsia="Calibri" w:hAnsi="Arial" w:cs="Arial"/>
          <w:b/>
        </w:rPr>
        <w:t>Benefits</w:t>
      </w:r>
      <w:r>
        <w:rPr>
          <w:rFonts w:ascii="Arial" w:eastAsia="Calibri" w:hAnsi="Arial" w:cs="Arial"/>
        </w:rPr>
        <w:t xml:space="preserve"> to Member States (through grants funding of US$41.2 million to be accessed) based on staff </w:t>
      </w:r>
      <w:r w:rsidRPr="00A12BDD">
        <w:rPr>
          <w:rFonts w:ascii="Arial" w:eastAsia="Calibri" w:hAnsi="Arial" w:cs="Arial"/>
          <w:b/>
        </w:rPr>
        <w:t>Cost</w:t>
      </w:r>
      <w:r>
        <w:rPr>
          <w:rFonts w:ascii="Arial" w:eastAsia="Calibri" w:hAnsi="Arial" w:cs="Arial"/>
        </w:rPr>
        <w:t xml:space="preserve"> of US$9,110,193</w:t>
      </w:r>
      <w:r w:rsidR="005D1787">
        <w:rPr>
          <w:rFonts w:ascii="Arial" w:eastAsia="Calibri" w:hAnsi="Arial" w:cs="Arial"/>
        </w:rPr>
        <w:t>.</w:t>
      </w:r>
    </w:p>
    <w:p w14:paraId="0585F843" w14:textId="35B4C613" w:rsidR="00A12BDD" w:rsidRDefault="00A12BDD" w:rsidP="00B000A0">
      <w:pPr>
        <w:pStyle w:val="ListParagraph"/>
        <w:tabs>
          <w:tab w:val="left" w:pos="720"/>
        </w:tabs>
        <w:ind w:left="2160" w:hanging="720"/>
        <w:jc w:val="both"/>
        <w:rPr>
          <w:rFonts w:ascii="Arial" w:eastAsia="Calibri" w:hAnsi="Arial" w:cs="Arial"/>
        </w:rPr>
      </w:pPr>
    </w:p>
    <w:p w14:paraId="50047F43" w14:textId="73859A90" w:rsidR="005D1787" w:rsidRPr="002C4CC5" w:rsidRDefault="005D1787" w:rsidP="00552CA2">
      <w:pPr>
        <w:pStyle w:val="ListParagraph"/>
        <w:numPr>
          <w:ilvl w:val="0"/>
          <w:numId w:val="24"/>
        </w:numPr>
        <w:tabs>
          <w:tab w:val="left" w:pos="720"/>
        </w:tabs>
        <w:ind w:left="1440" w:hanging="720"/>
        <w:jc w:val="both"/>
        <w:rPr>
          <w:rFonts w:ascii="Arial" w:eastAsia="Calibri" w:hAnsi="Arial" w:cs="Arial"/>
          <w:b/>
        </w:rPr>
      </w:pPr>
      <w:r w:rsidRPr="005D1787">
        <w:rPr>
          <w:rFonts w:ascii="Arial" w:eastAsia="Calibri" w:hAnsi="Arial" w:cs="Arial"/>
          <w:b/>
        </w:rPr>
        <w:t xml:space="preserve">Staff Welfare </w:t>
      </w:r>
      <w:r>
        <w:rPr>
          <w:rFonts w:ascii="Arial" w:eastAsia="Calibri" w:hAnsi="Arial" w:cs="Arial"/>
          <w:b/>
        </w:rPr>
        <w:t xml:space="preserve">&amp; </w:t>
      </w:r>
      <w:r w:rsidRPr="005D1787">
        <w:rPr>
          <w:rFonts w:ascii="Arial" w:eastAsia="Calibri" w:hAnsi="Arial" w:cs="Arial"/>
          <w:b/>
        </w:rPr>
        <w:t>Insurance</w:t>
      </w:r>
      <w:r>
        <w:rPr>
          <w:rFonts w:ascii="Arial" w:eastAsia="Calibri" w:hAnsi="Arial" w:cs="Arial"/>
          <w:b/>
        </w:rPr>
        <w:t xml:space="preserve">: </w:t>
      </w:r>
      <w:r w:rsidRPr="005D1787">
        <w:rPr>
          <w:rFonts w:ascii="Arial" w:eastAsia="Calibri" w:hAnsi="Arial" w:cs="Arial"/>
        </w:rPr>
        <w:t>An increase of 19.4%, from US$123,500 to US$147,500, reflects actual consumption</w:t>
      </w:r>
      <w:r>
        <w:rPr>
          <w:rFonts w:ascii="Arial" w:eastAsia="Calibri" w:hAnsi="Arial" w:cs="Arial"/>
        </w:rPr>
        <w:t xml:space="preserve"> based on Staff Rules and Regulations.</w:t>
      </w:r>
    </w:p>
    <w:p w14:paraId="678774E8" w14:textId="77777777" w:rsidR="002C4CC5" w:rsidRPr="005D1787" w:rsidRDefault="002C4CC5" w:rsidP="002C4CC5">
      <w:pPr>
        <w:pStyle w:val="ListParagraph"/>
        <w:tabs>
          <w:tab w:val="left" w:pos="720"/>
        </w:tabs>
        <w:ind w:left="1440"/>
        <w:jc w:val="both"/>
        <w:rPr>
          <w:rFonts w:ascii="Arial" w:eastAsia="Calibri" w:hAnsi="Arial" w:cs="Arial"/>
          <w:b/>
        </w:rPr>
      </w:pPr>
    </w:p>
    <w:p w14:paraId="57596470" w14:textId="3A2181B6" w:rsidR="005D1787" w:rsidRDefault="005D1787" w:rsidP="00552CA2">
      <w:pPr>
        <w:pStyle w:val="ListParagraph"/>
        <w:numPr>
          <w:ilvl w:val="0"/>
          <w:numId w:val="24"/>
        </w:numPr>
        <w:tabs>
          <w:tab w:val="left" w:pos="720"/>
        </w:tabs>
        <w:ind w:left="1440" w:hanging="720"/>
        <w:jc w:val="both"/>
        <w:rPr>
          <w:rFonts w:ascii="Arial" w:eastAsia="Calibri" w:hAnsi="Arial" w:cs="Arial"/>
        </w:rPr>
      </w:pPr>
      <w:r w:rsidRPr="005D1787">
        <w:rPr>
          <w:rFonts w:ascii="Arial" w:eastAsia="Calibri" w:hAnsi="Arial" w:cs="Arial"/>
          <w:b/>
        </w:rPr>
        <w:t>Training and Subscription</w:t>
      </w:r>
      <w:r w:rsidRPr="005D1787">
        <w:rPr>
          <w:rFonts w:ascii="Arial" w:eastAsia="Calibri" w:hAnsi="Arial" w:cs="Arial"/>
        </w:rPr>
        <w:t>: Subscriptions are only paid on behalf of staff required maintain membership of a professional body. This will reduce costs from US$162,488 to US$152,000 in 2020</w:t>
      </w:r>
      <w:r>
        <w:rPr>
          <w:rFonts w:ascii="Arial" w:eastAsia="Calibri" w:hAnsi="Arial" w:cs="Arial"/>
        </w:rPr>
        <w:t xml:space="preserve"> by 6.5%;</w:t>
      </w:r>
    </w:p>
    <w:p w14:paraId="3279E6EE" w14:textId="77777777" w:rsidR="005D1787" w:rsidRPr="005D1787" w:rsidRDefault="005D1787" w:rsidP="00B000A0">
      <w:pPr>
        <w:pStyle w:val="ListParagraph"/>
        <w:tabs>
          <w:tab w:val="left" w:pos="720"/>
        </w:tabs>
        <w:ind w:left="1440" w:hanging="720"/>
        <w:jc w:val="both"/>
        <w:rPr>
          <w:rFonts w:ascii="Arial" w:eastAsia="Calibri" w:hAnsi="Arial" w:cs="Arial"/>
        </w:rPr>
      </w:pPr>
    </w:p>
    <w:p w14:paraId="36CA9582" w14:textId="77777777" w:rsidR="00B000A0" w:rsidRPr="00B000A0" w:rsidRDefault="005D1787" w:rsidP="00552CA2">
      <w:pPr>
        <w:pStyle w:val="ListParagraph"/>
        <w:numPr>
          <w:ilvl w:val="0"/>
          <w:numId w:val="24"/>
        </w:numPr>
        <w:tabs>
          <w:tab w:val="left" w:pos="720"/>
        </w:tabs>
        <w:ind w:left="1440" w:hanging="720"/>
        <w:jc w:val="both"/>
        <w:rPr>
          <w:rFonts w:ascii="Arial" w:eastAsia="Calibri" w:hAnsi="Arial" w:cs="Arial"/>
          <w:b/>
        </w:rPr>
      </w:pPr>
      <w:r w:rsidRPr="005D1787">
        <w:rPr>
          <w:rFonts w:ascii="Arial" w:eastAsia="Calibri" w:hAnsi="Arial" w:cs="Arial"/>
          <w:b/>
        </w:rPr>
        <w:t xml:space="preserve">Staff Recruitment &amp; </w:t>
      </w:r>
      <w:r>
        <w:rPr>
          <w:rFonts w:ascii="Arial" w:eastAsia="Calibri" w:hAnsi="Arial" w:cs="Arial"/>
          <w:b/>
        </w:rPr>
        <w:t xml:space="preserve">Repatriation: </w:t>
      </w:r>
      <w:r w:rsidRPr="00B000A0">
        <w:rPr>
          <w:rFonts w:ascii="Arial" w:eastAsia="Calibri" w:hAnsi="Arial" w:cs="Arial"/>
        </w:rPr>
        <w:t xml:space="preserve">Posts to be filled in 2020 are expected to be lower than those recruited in 2019, resulting in a cost reduction from US$181,000 to US$167,250 </w:t>
      </w:r>
      <w:r w:rsidR="00B000A0" w:rsidRPr="00B000A0">
        <w:rPr>
          <w:rFonts w:ascii="Arial" w:eastAsia="Calibri" w:hAnsi="Arial" w:cs="Arial"/>
        </w:rPr>
        <w:t>by 7.5%</w:t>
      </w:r>
      <w:r w:rsidR="00B000A0">
        <w:rPr>
          <w:rFonts w:ascii="Arial" w:eastAsia="Calibri" w:hAnsi="Arial" w:cs="Arial"/>
        </w:rPr>
        <w:t>;</w:t>
      </w:r>
    </w:p>
    <w:p w14:paraId="14D66117" w14:textId="77777777" w:rsidR="00B000A0" w:rsidRPr="00B000A0" w:rsidRDefault="00B000A0" w:rsidP="00B000A0">
      <w:pPr>
        <w:pStyle w:val="ListParagraph"/>
        <w:rPr>
          <w:rFonts w:ascii="Arial" w:eastAsia="Calibri" w:hAnsi="Arial" w:cs="Arial"/>
          <w:b/>
        </w:rPr>
      </w:pPr>
    </w:p>
    <w:p w14:paraId="3961B53D" w14:textId="3107EF2A" w:rsidR="00B000A0" w:rsidRPr="00B000A0" w:rsidRDefault="005D1787" w:rsidP="00552CA2">
      <w:pPr>
        <w:pStyle w:val="ListParagraph"/>
        <w:numPr>
          <w:ilvl w:val="0"/>
          <w:numId w:val="24"/>
        </w:numPr>
        <w:tabs>
          <w:tab w:val="left" w:pos="720"/>
        </w:tabs>
        <w:ind w:left="1440" w:hanging="720"/>
        <w:jc w:val="both"/>
        <w:rPr>
          <w:rFonts w:ascii="Arial" w:eastAsia="Calibri" w:hAnsi="Arial" w:cs="Arial"/>
          <w:b/>
        </w:rPr>
      </w:pPr>
      <w:r w:rsidRPr="00B000A0">
        <w:rPr>
          <w:rFonts w:ascii="Arial" w:eastAsia="Calibri" w:hAnsi="Arial" w:cs="Arial"/>
          <w:b/>
        </w:rPr>
        <w:t>Travel, Meetings &amp; Workshops</w:t>
      </w:r>
      <w:r w:rsidR="00B000A0">
        <w:rPr>
          <w:rFonts w:ascii="Arial" w:eastAsia="Calibri" w:hAnsi="Arial" w:cs="Arial"/>
          <w:b/>
        </w:rPr>
        <w:t xml:space="preserve">: </w:t>
      </w:r>
      <w:r w:rsidR="00B000A0" w:rsidRPr="00B000A0">
        <w:rPr>
          <w:rFonts w:ascii="Arial" w:eastAsia="Calibri" w:hAnsi="Arial" w:cs="Arial"/>
        </w:rPr>
        <w:t>Stricter controls despite rising costs, will contain costs at 0.6%, as 2020 costs have been allocated US$</w:t>
      </w:r>
      <w:r w:rsidRPr="00B000A0">
        <w:rPr>
          <w:rFonts w:ascii="Arial" w:eastAsia="Calibri" w:hAnsi="Arial" w:cs="Arial"/>
        </w:rPr>
        <w:t>3,075,000</w:t>
      </w:r>
      <w:r w:rsidR="00B000A0" w:rsidRPr="00B000A0">
        <w:rPr>
          <w:rFonts w:ascii="Arial" w:eastAsia="Calibri" w:hAnsi="Arial" w:cs="Arial"/>
        </w:rPr>
        <w:t xml:space="preserve"> from US$3,057,200 in 2019</w:t>
      </w:r>
      <w:r w:rsidR="00B000A0">
        <w:rPr>
          <w:rFonts w:ascii="Arial" w:eastAsia="Calibri" w:hAnsi="Arial" w:cs="Arial"/>
        </w:rPr>
        <w:t>.</w:t>
      </w:r>
    </w:p>
    <w:p w14:paraId="77FA2299" w14:textId="77777777" w:rsidR="00B000A0" w:rsidRPr="00B000A0" w:rsidRDefault="00B000A0" w:rsidP="00B000A0">
      <w:pPr>
        <w:pStyle w:val="ListParagraph"/>
        <w:rPr>
          <w:rFonts w:ascii="Arial" w:eastAsia="Calibri" w:hAnsi="Arial" w:cs="Arial"/>
          <w:b/>
        </w:rPr>
      </w:pPr>
    </w:p>
    <w:p w14:paraId="4AB95A8A" w14:textId="1903C66B" w:rsidR="00B000A0" w:rsidRPr="00B000A0" w:rsidRDefault="00B000A0" w:rsidP="00552CA2">
      <w:pPr>
        <w:pStyle w:val="ListParagraph"/>
        <w:numPr>
          <w:ilvl w:val="0"/>
          <w:numId w:val="24"/>
        </w:numPr>
        <w:tabs>
          <w:tab w:val="left" w:pos="720"/>
        </w:tabs>
        <w:ind w:left="1440" w:hanging="720"/>
        <w:jc w:val="both"/>
        <w:rPr>
          <w:rFonts w:ascii="Arial" w:eastAsia="Calibri" w:hAnsi="Arial" w:cs="Arial"/>
          <w:b/>
        </w:rPr>
      </w:pPr>
      <w:r w:rsidRPr="00B000A0">
        <w:rPr>
          <w:rFonts w:ascii="Arial" w:eastAsia="Calibri" w:hAnsi="Arial" w:cs="Arial"/>
          <w:b/>
        </w:rPr>
        <w:t>Consultanc</w:t>
      </w:r>
      <w:r>
        <w:rPr>
          <w:rFonts w:ascii="Arial" w:eastAsia="Calibri" w:hAnsi="Arial" w:cs="Arial"/>
          <w:b/>
        </w:rPr>
        <w:t xml:space="preserve">y: </w:t>
      </w:r>
      <w:r w:rsidRPr="00B000A0">
        <w:rPr>
          <w:rFonts w:ascii="Arial" w:eastAsia="Calibri" w:hAnsi="Arial" w:cs="Arial"/>
        </w:rPr>
        <w:t>Stricter controls will reduce costs by 0.6%, as 2020 costs have been allocated US$506,500 from US$519,012 in 2019.</w:t>
      </w:r>
    </w:p>
    <w:p w14:paraId="6D8055A5" w14:textId="77777777" w:rsidR="00B000A0" w:rsidRPr="00B000A0" w:rsidRDefault="00B000A0" w:rsidP="00B000A0">
      <w:pPr>
        <w:pStyle w:val="ListParagraph"/>
        <w:rPr>
          <w:rFonts w:ascii="Arial" w:eastAsia="Calibri" w:hAnsi="Arial" w:cs="Arial"/>
          <w:b/>
        </w:rPr>
      </w:pPr>
    </w:p>
    <w:p w14:paraId="0F77BB42" w14:textId="527E7818" w:rsidR="00B000A0" w:rsidRDefault="005D1787" w:rsidP="00552CA2">
      <w:pPr>
        <w:pStyle w:val="ListParagraph"/>
        <w:numPr>
          <w:ilvl w:val="0"/>
          <w:numId w:val="24"/>
        </w:numPr>
        <w:tabs>
          <w:tab w:val="left" w:pos="720"/>
        </w:tabs>
        <w:ind w:left="1440" w:hanging="720"/>
        <w:jc w:val="both"/>
        <w:rPr>
          <w:rFonts w:ascii="Arial" w:eastAsia="Calibri" w:hAnsi="Arial" w:cs="Arial"/>
          <w:b/>
        </w:rPr>
      </w:pPr>
      <w:r w:rsidRPr="00B000A0">
        <w:rPr>
          <w:rFonts w:ascii="Arial" w:eastAsia="Calibri" w:hAnsi="Arial" w:cs="Arial"/>
          <w:b/>
        </w:rPr>
        <w:t xml:space="preserve">Support </w:t>
      </w:r>
      <w:r w:rsidR="00B000A0">
        <w:rPr>
          <w:rFonts w:ascii="Arial" w:eastAsia="Calibri" w:hAnsi="Arial" w:cs="Arial"/>
          <w:b/>
        </w:rPr>
        <w:t>t</w:t>
      </w:r>
      <w:r w:rsidRPr="00B000A0">
        <w:rPr>
          <w:rFonts w:ascii="Arial" w:eastAsia="Calibri" w:hAnsi="Arial" w:cs="Arial"/>
          <w:b/>
        </w:rPr>
        <w:t>o Member States</w:t>
      </w:r>
      <w:r w:rsidR="00B000A0" w:rsidRPr="00B000A0">
        <w:rPr>
          <w:rFonts w:ascii="Arial" w:eastAsia="Calibri" w:hAnsi="Arial" w:cs="Arial"/>
        </w:rPr>
        <w:t>, remain at 2019 level of US$</w:t>
      </w:r>
      <w:r w:rsidRPr="00B000A0">
        <w:rPr>
          <w:rFonts w:ascii="Arial" w:eastAsia="Calibri" w:hAnsi="Arial" w:cs="Arial"/>
        </w:rPr>
        <w:t>30,000</w:t>
      </w:r>
      <w:r w:rsidR="00B000A0" w:rsidRPr="00B000A0">
        <w:rPr>
          <w:rFonts w:ascii="Arial" w:eastAsia="Calibri" w:hAnsi="Arial" w:cs="Arial"/>
        </w:rPr>
        <w:t>.</w:t>
      </w:r>
    </w:p>
    <w:p w14:paraId="7F5791B0" w14:textId="77777777" w:rsidR="00B000A0" w:rsidRPr="00B000A0" w:rsidRDefault="00B000A0" w:rsidP="00B000A0">
      <w:pPr>
        <w:pStyle w:val="ListParagraph"/>
        <w:rPr>
          <w:rFonts w:ascii="Arial" w:eastAsia="Calibri" w:hAnsi="Arial" w:cs="Arial"/>
          <w:b/>
        </w:rPr>
      </w:pPr>
    </w:p>
    <w:p w14:paraId="771E0E80" w14:textId="0F067333" w:rsidR="00B000A0" w:rsidRPr="00B000A0" w:rsidRDefault="00B000A0" w:rsidP="00552CA2">
      <w:pPr>
        <w:pStyle w:val="ListParagraph"/>
        <w:numPr>
          <w:ilvl w:val="0"/>
          <w:numId w:val="24"/>
        </w:numPr>
        <w:tabs>
          <w:tab w:val="left" w:pos="720"/>
        </w:tabs>
        <w:ind w:left="1440" w:hanging="720"/>
        <w:jc w:val="both"/>
        <w:rPr>
          <w:rFonts w:ascii="Arial" w:eastAsia="Calibri" w:hAnsi="Arial" w:cs="Arial"/>
          <w:b/>
        </w:rPr>
      </w:pPr>
      <w:r w:rsidRPr="00B000A0">
        <w:rPr>
          <w:rFonts w:ascii="Arial" w:eastAsia="Calibri" w:hAnsi="Arial" w:cs="Arial"/>
          <w:b/>
        </w:rPr>
        <w:t>Publication &amp; Visibility</w:t>
      </w:r>
      <w:r>
        <w:rPr>
          <w:rFonts w:ascii="Arial" w:eastAsia="Calibri" w:hAnsi="Arial" w:cs="Arial"/>
          <w:b/>
        </w:rPr>
        <w:t xml:space="preserve">: </w:t>
      </w:r>
      <w:r w:rsidRPr="005D1787">
        <w:rPr>
          <w:rFonts w:ascii="Arial" w:eastAsia="Calibri" w:hAnsi="Arial" w:cs="Arial"/>
        </w:rPr>
        <w:t xml:space="preserve">An increase of </w:t>
      </w:r>
      <w:r>
        <w:rPr>
          <w:rFonts w:ascii="Arial" w:eastAsia="Calibri" w:hAnsi="Arial" w:cs="Arial"/>
        </w:rPr>
        <w:t>7</w:t>
      </w:r>
      <w:r w:rsidRPr="005D1787">
        <w:rPr>
          <w:rFonts w:ascii="Arial" w:eastAsia="Calibri" w:hAnsi="Arial" w:cs="Arial"/>
        </w:rPr>
        <w:t>.</w:t>
      </w:r>
      <w:r>
        <w:rPr>
          <w:rFonts w:ascii="Arial" w:eastAsia="Calibri" w:hAnsi="Arial" w:cs="Arial"/>
        </w:rPr>
        <w:t>5</w:t>
      </w:r>
      <w:r w:rsidRPr="005D1787">
        <w:rPr>
          <w:rFonts w:ascii="Arial" w:eastAsia="Calibri" w:hAnsi="Arial" w:cs="Arial"/>
        </w:rPr>
        <w:t>%, from US$</w:t>
      </w:r>
      <w:r>
        <w:rPr>
          <w:rFonts w:ascii="Arial" w:eastAsia="Calibri" w:hAnsi="Arial" w:cs="Arial"/>
        </w:rPr>
        <w:t>200,00</w:t>
      </w:r>
      <w:r w:rsidRPr="005D1787">
        <w:rPr>
          <w:rFonts w:ascii="Arial" w:eastAsia="Calibri" w:hAnsi="Arial" w:cs="Arial"/>
        </w:rPr>
        <w:t>0 to US$</w:t>
      </w:r>
      <w:r>
        <w:rPr>
          <w:rFonts w:ascii="Arial" w:eastAsia="Calibri" w:hAnsi="Arial" w:cs="Arial"/>
        </w:rPr>
        <w:t>215,0</w:t>
      </w:r>
      <w:r w:rsidRPr="005D1787">
        <w:rPr>
          <w:rFonts w:ascii="Arial" w:eastAsia="Calibri" w:hAnsi="Arial" w:cs="Arial"/>
        </w:rPr>
        <w:t xml:space="preserve">00, reflects </w:t>
      </w:r>
      <w:r>
        <w:rPr>
          <w:rFonts w:ascii="Arial" w:eastAsia="Calibri" w:hAnsi="Arial" w:cs="Arial"/>
        </w:rPr>
        <w:t>increased focus to better position COMESA.</w:t>
      </w:r>
    </w:p>
    <w:p w14:paraId="5504BDAD" w14:textId="77777777" w:rsidR="00B000A0" w:rsidRPr="00B000A0" w:rsidRDefault="00B000A0" w:rsidP="00B000A0">
      <w:pPr>
        <w:pStyle w:val="ListParagraph"/>
        <w:rPr>
          <w:rFonts w:ascii="Arial" w:eastAsia="Calibri" w:hAnsi="Arial" w:cs="Arial"/>
          <w:b/>
        </w:rPr>
      </w:pPr>
    </w:p>
    <w:p w14:paraId="5309872A" w14:textId="570E42DB" w:rsidR="00B000A0" w:rsidRDefault="00B000A0" w:rsidP="00552CA2">
      <w:pPr>
        <w:pStyle w:val="ListParagraph"/>
        <w:numPr>
          <w:ilvl w:val="0"/>
          <w:numId w:val="24"/>
        </w:numPr>
        <w:tabs>
          <w:tab w:val="left" w:pos="720"/>
        </w:tabs>
        <w:ind w:left="1440" w:hanging="720"/>
        <w:jc w:val="both"/>
        <w:rPr>
          <w:rFonts w:ascii="Arial" w:eastAsia="Calibri" w:hAnsi="Arial" w:cs="Arial"/>
          <w:b/>
        </w:rPr>
      </w:pPr>
      <w:r w:rsidRPr="00B000A0">
        <w:rPr>
          <w:rFonts w:ascii="Arial" w:eastAsia="Calibri" w:hAnsi="Arial" w:cs="Arial"/>
          <w:b/>
        </w:rPr>
        <w:t xml:space="preserve">Grant </w:t>
      </w:r>
      <w:r>
        <w:rPr>
          <w:rFonts w:ascii="Arial" w:eastAsia="Calibri" w:hAnsi="Arial" w:cs="Arial"/>
          <w:b/>
        </w:rPr>
        <w:t>c</w:t>
      </w:r>
      <w:r w:rsidRPr="00B000A0">
        <w:rPr>
          <w:rFonts w:ascii="Arial" w:eastAsia="Calibri" w:hAnsi="Arial" w:cs="Arial"/>
          <w:b/>
        </w:rPr>
        <w:t xml:space="preserve">ounterpart </w:t>
      </w:r>
      <w:r>
        <w:rPr>
          <w:rFonts w:ascii="Arial" w:eastAsia="Calibri" w:hAnsi="Arial" w:cs="Arial"/>
          <w:b/>
        </w:rPr>
        <w:t>-f</w:t>
      </w:r>
      <w:r w:rsidRPr="00B000A0">
        <w:rPr>
          <w:rFonts w:ascii="Arial" w:eastAsia="Calibri" w:hAnsi="Arial" w:cs="Arial"/>
          <w:b/>
        </w:rPr>
        <w:t>unding</w:t>
      </w:r>
      <w:r w:rsidRPr="00B000A0">
        <w:rPr>
          <w:rFonts w:ascii="Arial" w:eastAsia="Calibri" w:hAnsi="Arial" w:cs="Arial"/>
        </w:rPr>
        <w:t>, remain at 2019 level of US$</w:t>
      </w:r>
      <w:r>
        <w:rPr>
          <w:rFonts w:ascii="Arial" w:eastAsia="Calibri" w:hAnsi="Arial" w:cs="Arial"/>
        </w:rPr>
        <w:t>10</w:t>
      </w:r>
      <w:r w:rsidRPr="00B000A0">
        <w:rPr>
          <w:rFonts w:ascii="Arial" w:eastAsia="Calibri" w:hAnsi="Arial" w:cs="Arial"/>
        </w:rPr>
        <w:t>0,000</w:t>
      </w:r>
      <w:r>
        <w:rPr>
          <w:rFonts w:ascii="Arial" w:eastAsia="Calibri" w:hAnsi="Arial" w:cs="Arial"/>
        </w:rPr>
        <w:t xml:space="preserve">. Amounts paid from this item shall </w:t>
      </w:r>
      <w:r w:rsidR="006D1FDE">
        <w:rPr>
          <w:rFonts w:ascii="Arial" w:eastAsia="Calibri" w:hAnsi="Arial" w:cs="Arial"/>
        </w:rPr>
        <w:t xml:space="preserve">be reported to Council. </w:t>
      </w:r>
    </w:p>
    <w:p w14:paraId="28A1B0CA" w14:textId="77777777" w:rsidR="00B000A0" w:rsidRPr="00B000A0" w:rsidRDefault="00B000A0" w:rsidP="00B000A0">
      <w:pPr>
        <w:pStyle w:val="ListParagraph"/>
        <w:rPr>
          <w:rFonts w:ascii="Arial" w:eastAsia="Calibri" w:hAnsi="Arial" w:cs="Arial"/>
          <w:b/>
        </w:rPr>
      </w:pPr>
    </w:p>
    <w:p w14:paraId="1051AEEE" w14:textId="5A79FEAD" w:rsidR="00B000A0" w:rsidRDefault="00B000A0" w:rsidP="00552CA2">
      <w:pPr>
        <w:pStyle w:val="ListParagraph"/>
        <w:numPr>
          <w:ilvl w:val="0"/>
          <w:numId w:val="24"/>
        </w:numPr>
        <w:tabs>
          <w:tab w:val="left" w:pos="720"/>
        </w:tabs>
        <w:ind w:left="1440" w:hanging="720"/>
        <w:jc w:val="both"/>
        <w:rPr>
          <w:rFonts w:ascii="Arial" w:eastAsia="Calibri" w:hAnsi="Arial" w:cs="Arial"/>
          <w:b/>
        </w:rPr>
      </w:pPr>
      <w:r>
        <w:rPr>
          <w:rFonts w:ascii="Arial" w:eastAsia="Calibri" w:hAnsi="Arial" w:cs="Arial"/>
          <w:b/>
        </w:rPr>
        <w:t>E</w:t>
      </w:r>
      <w:r w:rsidRPr="00B000A0">
        <w:rPr>
          <w:rFonts w:ascii="Arial" w:eastAsia="Calibri" w:hAnsi="Arial" w:cs="Arial"/>
          <w:b/>
        </w:rPr>
        <w:t>lection</w:t>
      </w:r>
      <w:r w:rsidR="006D1FDE">
        <w:rPr>
          <w:rFonts w:ascii="Arial" w:eastAsia="Calibri" w:hAnsi="Arial" w:cs="Arial"/>
          <w:b/>
        </w:rPr>
        <w:t xml:space="preserve"> m</w:t>
      </w:r>
      <w:r w:rsidRPr="00B000A0">
        <w:rPr>
          <w:rFonts w:ascii="Arial" w:eastAsia="Calibri" w:hAnsi="Arial" w:cs="Arial"/>
          <w:b/>
        </w:rPr>
        <w:t>onitoring</w:t>
      </w:r>
      <w:r w:rsidR="006D1FDE">
        <w:rPr>
          <w:rFonts w:ascii="Arial" w:eastAsia="Calibri" w:hAnsi="Arial" w:cs="Arial"/>
        </w:rPr>
        <w:t xml:space="preserve"> </w:t>
      </w:r>
      <w:r w:rsidRPr="00B000A0">
        <w:rPr>
          <w:rFonts w:ascii="Arial" w:eastAsia="Calibri" w:hAnsi="Arial" w:cs="Arial"/>
        </w:rPr>
        <w:t>remain at 2019 level of US$</w:t>
      </w:r>
      <w:r>
        <w:rPr>
          <w:rFonts w:ascii="Arial" w:eastAsia="Calibri" w:hAnsi="Arial" w:cs="Arial"/>
        </w:rPr>
        <w:t>10</w:t>
      </w:r>
      <w:r w:rsidRPr="00B000A0">
        <w:rPr>
          <w:rFonts w:ascii="Arial" w:eastAsia="Calibri" w:hAnsi="Arial" w:cs="Arial"/>
        </w:rPr>
        <w:t>0,000.</w:t>
      </w:r>
    </w:p>
    <w:p w14:paraId="4AB1B921" w14:textId="77777777" w:rsidR="00B000A0" w:rsidRPr="00B000A0" w:rsidRDefault="00B000A0" w:rsidP="00B000A0">
      <w:pPr>
        <w:pStyle w:val="ListParagraph"/>
        <w:rPr>
          <w:rFonts w:ascii="Arial" w:eastAsia="Calibri" w:hAnsi="Arial" w:cs="Arial"/>
          <w:b/>
        </w:rPr>
      </w:pPr>
    </w:p>
    <w:p w14:paraId="64263CDD" w14:textId="50152BFA" w:rsidR="006D1FDE" w:rsidRDefault="006D1FDE" w:rsidP="00552CA2">
      <w:pPr>
        <w:pStyle w:val="ListParagraph"/>
        <w:numPr>
          <w:ilvl w:val="0"/>
          <w:numId w:val="24"/>
        </w:numPr>
        <w:tabs>
          <w:tab w:val="left" w:pos="720"/>
        </w:tabs>
        <w:ind w:left="1440" w:hanging="720"/>
        <w:jc w:val="both"/>
        <w:rPr>
          <w:rFonts w:ascii="Arial" w:eastAsia="Calibri" w:hAnsi="Arial" w:cs="Arial"/>
          <w:b/>
        </w:rPr>
      </w:pPr>
      <w:r>
        <w:rPr>
          <w:rFonts w:ascii="Arial" w:eastAsia="Calibri" w:hAnsi="Arial" w:cs="Arial"/>
          <w:b/>
        </w:rPr>
        <w:t xml:space="preserve">IT </w:t>
      </w:r>
      <w:r w:rsidR="005D1787" w:rsidRPr="00B000A0">
        <w:rPr>
          <w:rFonts w:ascii="Arial" w:eastAsia="Calibri" w:hAnsi="Arial" w:cs="Arial"/>
          <w:b/>
        </w:rPr>
        <w:t>Recurrent Costs</w:t>
      </w:r>
      <w:r>
        <w:rPr>
          <w:rFonts w:ascii="Arial" w:eastAsia="Calibri" w:hAnsi="Arial" w:cs="Arial"/>
          <w:b/>
        </w:rPr>
        <w:t xml:space="preserve">, </w:t>
      </w:r>
      <w:r w:rsidRPr="006D1FDE">
        <w:rPr>
          <w:rFonts w:ascii="Arial" w:eastAsia="Calibri" w:hAnsi="Arial" w:cs="Arial"/>
        </w:rPr>
        <w:t>costs shall be contained, by restricting increase at 0.8% from US$</w:t>
      </w:r>
      <w:r w:rsidR="005D1787" w:rsidRPr="006D1FDE">
        <w:rPr>
          <w:rFonts w:ascii="Arial" w:eastAsia="Calibri" w:hAnsi="Arial" w:cs="Arial"/>
        </w:rPr>
        <w:t xml:space="preserve">391,500 </w:t>
      </w:r>
      <w:r w:rsidRPr="006D1FDE">
        <w:rPr>
          <w:rFonts w:ascii="Arial" w:eastAsia="Calibri" w:hAnsi="Arial" w:cs="Arial"/>
        </w:rPr>
        <w:t>to US$</w:t>
      </w:r>
      <w:r w:rsidR="005D1787" w:rsidRPr="006D1FDE">
        <w:rPr>
          <w:rFonts w:ascii="Arial" w:eastAsia="Calibri" w:hAnsi="Arial" w:cs="Arial"/>
        </w:rPr>
        <w:t>394,500</w:t>
      </w:r>
      <w:r w:rsidRPr="006D1FDE">
        <w:rPr>
          <w:rFonts w:ascii="Arial" w:eastAsia="Calibri" w:hAnsi="Arial" w:cs="Arial"/>
        </w:rPr>
        <w:t xml:space="preserve"> in 2020.</w:t>
      </w:r>
      <w:r>
        <w:rPr>
          <w:rFonts w:ascii="Arial" w:eastAsia="Calibri" w:hAnsi="Arial" w:cs="Arial"/>
        </w:rPr>
        <w:t xml:space="preserve"> Cooperating Partners have identified use of digital age opportunities to better improve operational efficiencies. EU and USAID are expected to avail </w:t>
      </w:r>
      <w:r w:rsidR="005433F5">
        <w:rPr>
          <w:rFonts w:ascii="Arial" w:eastAsia="Calibri" w:hAnsi="Arial" w:cs="Arial"/>
        </w:rPr>
        <w:t xml:space="preserve">increases </w:t>
      </w:r>
      <w:r>
        <w:rPr>
          <w:rFonts w:ascii="Arial" w:eastAsia="Calibri" w:hAnsi="Arial" w:cs="Arial"/>
        </w:rPr>
        <w:t>resources in 2020</w:t>
      </w:r>
      <w:r w:rsidR="005433F5">
        <w:rPr>
          <w:rFonts w:ascii="Arial" w:eastAsia="Calibri" w:hAnsi="Arial" w:cs="Arial"/>
        </w:rPr>
        <w:t xml:space="preserve"> towards automation</w:t>
      </w:r>
      <w:r>
        <w:rPr>
          <w:rFonts w:ascii="Arial" w:eastAsia="Calibri" w:hAnsi="Arial" w:cs="Arial"/>
        </w:rPr>
        <w:t xml:space="preserve">. </w:t>
      </w:r>
    </w:p>
    <w:p w14:paraId="29F9E3BF" w14:textId="096346D0" w:rsidR="006D1FDE" w:rsidRDefault="006D1FDE" w:rsidP="006D1FDE">
      <w:pPr>
        <w:pStyle w:val="ListParagraph"/>
        <w:rPr>
          <w:rFonts w:ascii="Arial" w:eastAsia="Calibri" w:hAnsi="Arial" w:cs="Arial"/>
          <w:b/>
        </w:rPr>
      </w:pPr>
    </w:p>
    <w:p w14:paraId="1AA11E5A" w14:textId="57927FBB" w:rsidR="005433F5" w:rsidRDefault="005433F5" w:rsidP="00552CA2">
      <w:pPr>
        <w:pStyle w:val="ListParagraph"/>
        <w:numPr>
          <w:ilvl w:val="0"/>
          <w:numId w:val="24"/>
        </w:numPr>
        <w:tabs>
          <w:tab w:val="left" w:pos="720"/>
        </w:tabs>
        <w:ind w:left="1440" w:hanging="720"/>
        <w:jc w:val="both"/>
        <w:rPr>
          <w:rFonts w:ascii="Arial" w:eastAsia="Calibri" w:hAnsi="Arial" w:cs="Arial"/>
          <w:b/>
        </w:rPr>
      </w:pPr>
      <w:r w:rsidRPr="005433F5">
        <w:rPr>
          <w:rFonts w:ascii="Arial" w:eastAsia="Calibri" w:hAnsi="Arial" w:cs="Arial"/>
          <w:b/>
        </w:rPr>
        <w:t xml:space="preserve">Administration &amp; General Costs: </w:t>
      </w:r>
      <w:r w:rsidRPr="005433F5">
        <w:rPr>
          <w:rFonts w:ascii="Arial" w:eastAsia="Calibri" w:hAnsi="Arial" w:cs="Arial"/>
        </w:rPr>
        <w:t>An increase of 1.6%, from US$990,650 to US$</w:t>
      </w:r>
      <w:r w:rsidR="005D1787" w:rsidRPr="005433F5">
        <w:rPr>
          <w:rFonts w:ascii="Arial" w:eastAsia="Calibri" w:hAnsi="Arial" w:cs="Arial"/>
        </w:rPr>
        <w:t>1,006,650</w:t>
      </w:r>
      <w:r w:rsidRPr="005433F5">
        <w:rPr>
          <w:rFonts w:ascii="Arial" w:eastAsia="Calibri" w:hAnsi="Arial" w:cs="Arial"/>
        </w:rPr>
        <w:t>. The marginal increase of US$16,000 is attributed to costs’ escalation.</w:t>
      </w:r>
      <w:r w:rsidR="005D1787" w:rsidRPr="005433F5">
        <w:rPr>
          <w:rFonts w:ascii="Arial" w:eastAsia="Calibri" w:hAnsi="Arial" w:cs="Arial"/>
          <w:b/>
        </w:rPr>
        <w:t xml:space="preserve"> </w:t>
      </w:r>
    </w:p>
    <w:p w14:paraId="32161D24" w14:textId="77777777" w:rsidR="005433F5" w:rsidRPr="005433F5" w:rsidRDefault="005433F5" w:rsidP="005433F5">
      <w:pPr>
        <w:pStyle w:val="ListParagraph"/>
        <w:rPr>
          <w:rFonts w:ascii="Arial" w:eastAsia="Calibri" w:hAnsi="Arial" w:cs="Arial"/>
          <w:b/>
        </w:rPr>
      </w:pPr>
    </w:p>
    <w:p w14:paraId="7648B09E" w14:textId="582ABAA2" w:rsidR="005433F5" w:rsidRDefault="005433F5" w:rsidP="00552CA2">
      <w:pPr>
        <w:pStyle w:val="ListParagraph"/>
        <w:numPr>
          <w:ilvl w:val="0"/>
          <w:numId w:val="24"/>
        </w:numPr>
        <w:tabs>
          <w:tab w:val="left" w:pos="720"/>
        </w:tabs>
        <w:ind w:left="1440" w:hanging="720"/>
        <w:jc w:val="both"/>
        <w:rPr>
          <w:rFonts w:ascii="Arial" w:eastAsia="Calibri" w:hAnsi="Arial" w:cs="Arial"/>
          <w:b/>
        </w:rPr>
      </w:pPr>
      <w:r>
        <w:rPr>
          <w:rFonts w:ascii="Arial" w:eastAsia="Calibri" w:hAnsi="Arial" w:cs="Arial"/>
          <w:b/>
        </w:rPr>
        <w:t xml:space="preserve">Audit costs </w:t>
      </w:r>
      <w:r w:rsidRPr="00B000A0">
        <w:rPr>
          <w:rFonts w:ascii="Arial" w:eastAsia="Calibri" w:hAnsi="Arial" w:cs="Arial"/>
        </w:rPr>
        <w:t>remain at 2019 level of US$</w:t>
      </w:r>
      <w:r>
        <w:rPr>
          <w:rFonts w:ascii="Arial" w:eastAsia="Calibri" w:hAnsi="Arial" w:cs="Arial"/>
        </w:rPr>
        <w:t>12</w:t>
      </w:r>
      <w:r w:rsidRPr="00B000A0">
        <w:rPr>
          <w:rFonts w:ascii="Arial" w:eastAsia="Calibri" w:hAnsi="Arial" w:cs="Arial"/>
        </w:rPr>
        <w:t>0,000.</w:t>
      </w:r>
      <w:r>
        <w:rPr>
          <w:rFonts w:ascii="Arial" w:eastAsia="Calibri" w:hAnsi="Arial" w:cs="Arial"/>
        </w:rPr>
        <w:t xml:space="preserve"> Processes to fully address instruments required for the audit of COMESA Organs and other Institutions by Auditors General may push the overall cost.</w:t>
      </w:r>
    </w:p>
    <w:p w14:paraId="17B8C7AF" w14:textId="63656A35" w:rsidR="00B000A0" w:rsidRDefault="00B000A0" w:rsidP="005433F5">
      <w:pPr>
        <w:pStyle w:val="ListParagraph"/>
        <w:tabs>
          <w:tab w:val="left" w:pos="720"/>
        </w:tabs>
        <w:ind w:left="1440"/>
        <w:jc w:val="both"/>
        <w:rPr>
          <w:rFonts w:ascii="Arial" w:eastAsia="Calibri" w:hAnsi="Arial" w:cs="Arial"/>
          <w:b/>
        </w:rPr>
      </w:pPr>
    </w:p>
    <w:p w14:paraId="09F288C1" w14:textId="1C8624DB" w:rsidR="002C4CC5" w:rsidRPr="002C4CC5" w:rsidRDefault="002C4CC5" w:rsidP="00552CA2">
      <w:pPr>
        <w:pStyle w:val="ListParagraph"/>
        <w:numPr>
          <w:ilvl w:val="0"/>
          <w:numId w:val="24"/>
        </w:numPr>
        <w:tabs>
          <w:tab w:val="left" w:pos="720"/>
        </w:tabs>
        <w:ind w:left="1440" w:hanging="720"/>
        <w:jc w:val="both"/>
        <w:rPr>
          <w:rFonts w:ascii="Arial" w:eastAsia="Calibri" w:hAnsi="Arial" w:cs="Arial"/>
          <w:b/>
        </w:rPr>
      </w:pPr>
      <w:r w:rsidRPr="00B000A0">
        <w:rPr>
          <w:rFonts w:ascii="Arial" w:eastAsia="Calibri" w:hAnsi="Arial" w:cs="Arial"/>
          <w:b/>
        </w:rPr>
        <w:t>Finance Costs</w:t>
      </w:r>
      <w:r>
        <w:rPr>
          <w:rFonts w:ascii="Arial" w:eastAsia="Calibri" w:hAnsi="Arial" w:cs="Arial"/>
          <w:b/>
        </w:rPr>
        <w:t xml:space="preserve">: </w:t>
      </w:r>
      <w:r w:rsidRPr="005D1787">
        <w:rPr>
          <w:rFonts w:ascii="Arial" w:eastAsia="Calibri" w:hAnsi="Arial" w:cs="Arial"/>
        </w:rPr>
        <w:t xml:space="preserve">An increase of </w:t>
      </w:r>
      <w:r>
        <w:rPr>
          <w:rFonts w:ascii="Arial" w:eastAsia="Calibri" w:hAnsi="Arial" w:cs="Arial"/>
        </w:rPr>
        <w:t>0.25</w:t>
      </w:r>
      <w:r w:rsidRPr="005D1787">
        <w:rPr>
          <w:rFonts w:ascii="Arial" w:eastAsia="Calibri" w:hAnsi="Arial" w:cs="Arial"/>
        </w:rPr>
        <w:t>%, from US$</w:t>
      </w:r>
      <w:r>
        <w:rPr>
          <w:rFonts w:ascii="Arial" w:eastAsia="Calibri" w:hAnsi="Arial" w:cs="Arial"/>
        </w:rPr>
        <w:t>60</w:t>
      </w:r>
      <w:r w:rsidRPr="005D1787">
        <w:rPr>
          <w:rFonts w:ascii="Arial" w:eastAsia="Calibri" w:hAnsi="Arial" w:cs="Arial"/>
        </w:rPr>
        <w:t>,</w:t>
      </w:r>
      <w:r>
        <w:rPr>
          <w:rFonts w:ascii="Arial" w:eastAsia="Calibri" w:hAnsi="Arial" w:cs="Arial"/>
        </w:rPr>
        <w:t>0</w:t>
      </w:r>
      <w:r w:rsidRPr="005D1787">
        <w:rPr>
          <w:rFonts w:ascii="Arial" w:eastAsia="Calibri" w:hAnsi="Arial" w:cs="Arial"/>
        </w:rPr>
        <w:t>00 to US$</w:t>
      </w:r>
      <w:r>
        <w:rPr>
          <w:rFonts w:ascii="Arial" w:eastAsia="Calibri" w:hAnsi="Arial" w:cs="Arial"/>
        </w:rPr>
        <w:t>75</w:t>
      </w:r>
      <w:r w:rsidRPr="005D1787">
        <w:rPr>
          <w:rFonts w:ascii="Arial" w:eastAsia="Calibri" w:hAnsi="Arial" w:cs="Arial"/>
        </w:rPr>
        <w:t>,</w:t>
      </w:r>
      <w:r>
        <w:rPr>
          <w:rFonts w:ascii="Arial" w:eastAsia="Calibri" w:hAnsi="Arial" w:cs="Arial"/>
        </w:rPr>
        <w:t>0</w:t>
      </w:r>
      <w:r w:rsidRPr="005D1787">
        <w:rPr>
          <w:rFonts w:ascii="Arial" w:eastAsia="Calibri" w:hAnsi="Arial" w:cs="Arial"/>
        </w:rPr>
        <w:t>00, reflects actual consumption</w:t>
      </w:r>
      <w:r>
        <w:rPr>
          <w:rFonts w:ascii="Arial" w:eastAsia="Calibri" w:hAnsi="Arial" w:cs="Arial"/>
        </w:rPr>
        <w:t xml:space="preserve"> based on costs.</w:t>
      </w:r>
    </w:p>
    <w:p w14:paraId="44A85C87" w14:textId="77777777" w:rsidR="002C4CC5" w:rsidRPr="005433F5" w:rsidRDefault="002C4CC5" w:rsidP="005433F5">
      <w:pPr>
        <w:pStyle w:val="ListParagraph"/>
        <w:tabs>
          <w:tab w:val="left" w:pos="720"/>
        </w:tabs>
        <w:ind w:left="1440"/>
        <w:jc w:val="both"/>
        <w:rPr>
          <w:rFonts w:ascii="Arial" w:eastAsia="Calibri" w:hAnsi="Arial" w:cs="Arial"/>
          <w:b/>
        </w:rPr>
      </w:pPr>
    </w:p>
    <w:p w14:paraId="7109701B" w14:textId="42439259" w:rsidR="00B000A0" w:rsidRPr="002C4CC5" w:rsidRDefault="005D1787" w:rsidP="00552CA2">
      <w:pPr>
        <w:pStyle w:val="ListParagraph"/>
        <w:numPr>
          <w:ilvl w:val="0"/>
          <w:numId w:val="24"/>
        </w:numPr>
        <w:tabs>
          <w:tab w:val="left" w:pos="720"/>
        </w:tabs>
        <w:ind w:left="1440" w:hanging="720"/>
        <w:jc w:val="both"/>
        <w:rPr>
          <w:rFonts w:ascii="Arial" w:eastAsia="Calibri" w:hAnsi="Arial" w:cs="Arial"/>
        </w:rPr>
      </w:pPr>
      <w:r w:rsidRPr="00B000A0">
        <w:rPr>
          <w:rFonts w:ascii="Arial" w:eastAsia="Calibri" w:hAnsi="Arial" w:cs="Arial"/>
          <w:b/>
        </w:rPr>
        <w:t>Capital Budget</w:t>
      </w:r>
      <w:r w:rsidR="002C4CC5">
        <w:rPr>
          <w:rFonts w:ascii="Arial" w:eastAsia="Calibri" w:hAnsi="Arial" w:cs="Arial"/>
          <w:b/>
        </w:rPr>
        <w:t xml:space="preserve">: </w:t>
      </w:r>
      <w:r w:rsidR="002C4CC5" w:rsidRPr="002C4CC5">
        <w:rPr>
          <w:rFonts w:ascii="Arial" w:eastAsia="Calibri" w:hAnsi="Arial" w:cs="Arial"/>
        </w:rPr>
        <w:t>In line with</w:t>
      </w:r>
      <w:r w:rsidR="002C4CC5">
        <w:rPr>
          <w:rFonts w:ascii="Arial" w:eastAsia="Calibri" w:hAnsi="Arial" w:cs="Arial"/>
        </w:rPr>
        <w:t xml:space="preserve"> plan to replace assets, which cost more to maintain an increased allocation from US$</w:t>
      </w:r>
      <w:r w:rsidRPr="002C4CC5">
        <w:rPr>
          <w:rFonts w:ascii="Arial" w:eastAsia="Calibri" w:hAnsi="Arial" w:cs="Arial"/>
        </w:rPr>
        <w:t xml:space="preserve">192,500 </w:t>
      </w:r>
      <w:r w:rsidR="002C4CC5">
        <w:rPr>
          <w:rFonts w:ascii="Arial" w:eastAsia="Calibri" w:hAnsi="Arial" w:cs="Arial"/>
        </w:rPr>
        <w:t>to US$</w:t>
      </w:r>
      <w:r w:rsidRPr="002C4CC5">
        <w:rPr>
          <w:rFonts w:ascii="Arial" w:eastAsia="Calibri" w:hAnsi="Arial" w:cs="Arial"/>
        </w:rPr>
        <w:t>228,500</w:t>
      </w:r>
      <w:r w:rsidR="002C4CC5">
        <w:rPr>
          <w:rFonts w:ascii="Arial" w:eastAsia="Calibri" w:hAnsi="Arial" w:cs="Arial"/>
        </w:rPr>
        <w:t xml:space="preserve"> is made to replace motor vehicle and office equipment. This is an increase of </w:t>
      </w:r>
      <w:r w:rsidRPr="002C4CC5">
        <w:rPr>
          <w:rFonts w:ascii="Arial" w:eastAsia="Calibri" w:hAnsi="Arial" w:cs="Arial"/>
        </w:rPr>
        <w:t>18.7%</w:t>
      </w:r>
      <w:r w:rsidR="002C4CC5">
        <w:rPr>
          <w:rFonts w:ascii="Arial" w:eastAsia="Calibri" w:hAnsi="Arial" w:cs="Arial"/>
        </w:rPr>
        <w:t>, where as there were fewer asset replacements in the last three (3) years.</w:t>
      </w:r>
    </w:p>
    <w:p w14:paraId="121EAC0E" w14:textId="6AD6A937" w:rsidR="00B000A0" w:rsidRDefault="00B000A0" w:rsidP="00B000A0">
      <w:pPr>
        <w:pStyle w:val="ListParagraph"/>
        <w:rPr>
          <w:rFonts w:ascii="Arial" w:eastAsia="Calibri" w:hAnsi="Arial" w:cs="Arial"/>
          <w:b/>
        </w:rPr>
      </w:pPr>
    </w:p>
    <w:p w14:paraId="0D12B69D" w14:textId="5D568079" w:rsidR="005433F5" w:rsidRPr="006D1FDE" w:rsidRDefault="005433F5" w:rsidP="005433F5">
      <w:pPr>
        <w:pStyle w:val="ListParagraph"/>
        <w:tabs>
          <w:tab w:val="left" w:pos="720"/>
        </w:tabs>
        <w:ind w:left="0"/>
        <w:jc w:val="both"/>
        <w:rPr>
          <w:rFonts w:ascii="Arial" w:eastAsia="Calibri" w:hAnsi="Arial" w:cs="Arial"/>
          <w:b/>
        </w:rPr>
      </w:pPr>
      <w:r>
        <w:rPr>
          <w:rFonts w:ascii="Arial" w:eastAsia="Calibri" w:hAnsi="Arial" w:cs="Arial"/>
        </w:rPr>
        <w:tab/>
      </w:r>
      <w:r>
        <w:rPr>
          <w:rFonts w:ascii="Arial" w:eastAsia="Calibri" w:hAnsi="Arial" w:cs="Arial"/>
          <w:b/>
        </w:rPr>
        <w:t xml:space="preserve">Grants </w:t>
      </w:r>
      <w:r w:rsidRPr="006D1FDE">
        <w:rPr>
          <w:rFonts w:ascii="Arial" w:eastAsia="Calibri" w:hAnsi="Arial" w:cs="Arial"/>
          <w:b/>
        </w:rPr>
        <w:t>funding</w:t>
      </w:r>
      <w:r w:rsidR="002C4CC5">
        <w:rPr>
          <w:rFonts w:ascii="Arial" w:eastAsia="Calibri" w:hAnsi="Arial" w:cs="Arial"/>
          <w:b/>
        </w:rPr>
        <w:t xml:space="preserve">: Programme fees, travel, meetings; Equipment; Evaluation and </w:t>
      </w:r>
      <w:r w:rsidR="002C4CC5">
        <w:rPr>
          <w:rFonts w:ascii="Arial" w:eastAsia="Calibri" w:hAnsi="Arial" w:cs="Arial"/>
          <w:b/>
        </w:rPr>
        <w:tab/>
        <w:t>Audits</w:t>
      </w:r>
    </w:p>
    <w:p w14:paraId="4826A19C" w14:textId="77777777" w:rsidR="005433F5" w:rsidRPr="00B000A0" w:rsidRDefault="005433F5" w:rsidP="00B000A0">
      <w:pPr>
        <w:pStyle w:val="ListParagraph"/>
        <w:rPr>
          <w:rFonts w:ascii="Arial" w:eastAsia="Calibri" w:hAnsi="Arial" w:cs="Arial"/>
          <w:b/>
        </w:rPr>
      </w:pPr>
    </w:p>
    <w:p w14:paraId="41EE368F" w14:textId="7249930D" w:rsidR="002C4CC5" w:rsidRDefault="002C4CC5" w:rsidP="00552CA2">
      <w:pPr>
        <w:pStyle w:val="ListParagraph"/>
        <w:numPr>
          <w:ilvl w:val="0"/>
          <w:numId w:val="24"/>
        </w:numPr>
        <w:tabs>
          <w:tab w:val="left" w:pos="720"/>
        </w:tabs>
        <w:ind w:left="1440" w:hanging="720"/>
        <w:jc w:val="both"/>
        <w:rPr>
          <w:rFonts w:ascii="Arial" w:eastAsia="Calibri" w:hAnsi="Arial" w:cs="Arial"/>
        </w:rPr>
      </w:pPr>
      <w:r w:rsidRPr="002C4CC5">
        <w:rPr>
          <w:rFonts w:ascii="Arial" w:eastAsia="Calibri" w:hAnsi="Arial" w:cs="Arial"/>
        </w:rPr>
        <w:t xml:space="preserve">COMESA </w:t>
      </w:r>
      <w:r>
        <w:rPr>
          <w:rFonts w:ascii="Arial" w:eastAsia="Calibri" w:hAnsi="Arial" w:cs="Arial"/>
        </w:rPr>
        <w:t>has entered into c</w:t>
      </w:r>
      <w:r w:rsidRPr="002C4CC5">
        <w:rPr>
          <w:rFonts w:ascii="Arial" w:eastAsia="Calibri" w:hAnsi="Arial" w:cs="Arial"/>
        </w:rPr>
        <w:t xml:space="preserve">ooperating </w:t>
      </w:r>
      <w:r>
        <w:rPr>
          <w:rFonts w:ascii="Arial" w:eastAsia="Calibri" w:hAnsi="Arial" w:cs="Arial"/>
        </w:rPr>
        <w:t>arrangements with a number of partners, with the aim supporting the implementation of COMESA programmes.</w:t>
      </w:r>
    </w:p>
    <w:p w14:paraId="0B9B604C" w14:textId="77777777" w:rsidR="002C4CC5" w:rsidRDefault="002C4CC5" w:rsidP="002C4CC5">
      <w:pPr>
        <w:pStyle w:val="ListParagraph"/>
        <w:tabs>
          <w:tab w:val="left" w:pos="720"/>
        </w:tabs>
        <w:ind w:left="1440"/>
        <w:jc w:val="both"/>
        <w:rPr>
          <w:rFonts w:ascii="Arial" w:eastAsia="Calibri" w:hAnsi="Arial" w:cs="Arial"/>
        </w:rPr>
      </w:pPr>
    </w:p>
    <w:p w14:paraId="2D2151BD" w14:textId="571C815B" w:rsidR="002C4CC5" w:rsidRDefault="002C4CC5" w:rsidP="00552CA2">
      <w:pPr>
        <w:pStyle w:val="ListParagraph"/>
        <w:numPr>
          <w:ilvl w:val="0"/>
          <w:numId w:val="24"/>
        </w:numPr>
        <w:tabs>
          <w:tab w:val="left" w:pos="720"/>
        </w:tabs>
        <w:ind w:left="1440" w:hanging="720"/>
        <w:jc w:val="both"/>
        <w:rPr>
          <w:rFonts w:ascii="Arial" w:eastAsia="Calibri" w:hAnsi="Arial" w:cs="Arial"/>
        </w:rPr>
      </w:pPr>
      <w:r>
        <w:rPr>
          <w:rFonts w:ascii="Arial" w:eastAsia="Calibri" w:hAnsi="Arial" w:cs="Arial"/>
        </w:rPr>
        <w:t>Resources, in form of financial and technical, are availed through grant contracts, which reflect Medium Term Strategic Plan strategic objectives, as well as priorities and interventions preferred by COMESA.</w:t>
      </w:r>
    </w:p>
    <w:p w14:paraId="151358DB" w14:textId="77777777" w:rsidR="002C4CC5" w:rsidRPr="002C4CC5" w:rsidRDefault="002C4CC5" w:rsidP="002C4CC5">
      <w:pPr>
        <w:pStyle w:val="ListParagraph"/>
        <w:rPr>
          <w:rFonts w:ascii="Arial" w:eastAsia="Calibri" w:hAnsi="Arial" w:cs="Arial"/>
        </w:rPr>
      </w:pPr>
    </w:p>
    <w:p w14:paraId="0F9B7F97" w14:textId="43A83A35" w:rsidR="000D37F9" w:rsidRDefault="002C4CC5" w:rsidP="00552CA2">
      <w:pPr>
        <w:pStyle w:val="ListParagraph"/>
        <w:numPr>
          <w:ilvl w:val="0"/>
          <w:numId w:val="24"/>
        </w:numPr>
        <w:tabs>
          <w:tab w:val="left" w:pos="720"/>
        </w:tabs>
        <w:ind w:left="1440" w:hanging="720"/>
        <w:jc w:val="both"/>
        <w:rPr>
          <w:rFonts w:ascii="Arial" w:eastAsia="Calibri" w:hAnsi="Arial" w:cs="Arial"/>
        </w:rPr>
      </w:pPr>
      <w:r>
        <w:rPr>
          <w:rFonts w:ascii="Arial" w:eastAsia="Calibri" w:hAnsi="Arial" w:cs="Arial"/>
        </w:rPr>
        <w:t>In 2020, US$</w:t>
      </w:r>
      <w:r w:rsidR="000D37F9">
        <w:rPr>
          <w:rFonts w:ascii="Arial" w:eastAsia="Calibri" w:hAnsi="Arial" w:cs="Arial"/>
        </w:rPr>
        <w:t xml:space="preserve">41,214,943 is expected to be spend on a number of grant contracts </w:t>
      </w:r>
      <w:r w:rsidRPr="002C4CC5">
        <w:rPr>
          <w:rFonts w:ascii="Arial" w:eastAsia="Calibri" w:hAnsi="Arial" w:cs="Arial"/>
          <w:b/>
        </w:rPr>
        <w:t xml:space="preserve">(Appendix </w:t>
      </w:r>
      <w:r w:rsidR="000D37F9">
        <w:rPr>
          <w:rFonts w:ascii="Arial" w:eastAsia="Calibri" w:hAnsi="Arial" w:cs="Arial"/>
          <w:b/>
        </w:rPr>
        <w:t>5</w:t>
      </w:r>
      <w:r w:rsidRPr="002C4CC5">
        <w:rPr>
          <w:rFonts w:ascii="Arial" w:eastAsia="Calibri" w:hAnsi="Arial" w:cs="Arial"/>
          <w:b/>
        </w:rPr>
        <w:t>),</w:t>
      </w:r>
      <w:r w:rsidRPr="002C4CC5">
        <w:rPr>
          <w:rFonts w:ascii="Arial" w:eastAsia="Calibri" w:hAnsi="Arial" w:cs="Arial"/>
        </w:rPr>
        <w:t xml:space="preserve"> in line with requirements</w:t>
      </w:r>
      <w:r w:rsidR="000D37F9">
        <w:rPr>
          <w:rFonts w:ascii="Arial" w:eastAsia="Calibri" w:hAnsi="Arial" w:cs="Arial"/>
        </w:rPr>
        <w:t xml:space="preserve"> of individual grant contracts. This is a reduction of 22.1% on amounts availed in 2019, which the Secretariat is projected to spend US$52.9 million.</w:t>
      </w:r>
    </w:p>
    <w:p w14:paraId="1EB91E21" w14:textId="06FB0206" w:rsidR="006C0BB1" w:rsidRDefault="006C0BB1" w:rsidP="006C0BB1">
      <w:pPr>
        <w:pStyle w:val="ListParagraph"/>
        <w:rPr>
          <w:rFonts w:ascii="Arial" w:eastAsia="Calibri" w:hAnsi="Arial" w:cs="Arial"/>
        </w:rPr>
      </w:pPr>
    </w:p>
    <w:p w14:paraId="33FDF1E1" w14:textId="36F13477" w:rsidR="00F13CB1" w:rsidRPr="000D37F9" w:rsidRDefault="00F13CB1" w:rsidP="00F13CB1">
      <w:pPr>
        <w:pStyle w:val="Heading3"/>
        <w:rPr>
          <w:sz w:val="22"/>
          <w:szCs w:val="22"/>
        </w:rPr>
      </w:pPr>
      <w:bookmarkStart w:id="38" w:name="_Toc23006806"/>
      <w:r w:rsidRPr="000D37F9">
        <w:rPr>
          <w:sz w:val="22"/>
          <w:szCs w:val="22"/>
        </w:rPr>
        <w:t>Explanations</w:t>
      </w:r>
      <w:r>
        <w:rPr>
          <w:sz w:val="22"/>
          <w:szCs w:val="22"/>
        </w:rPr>
        <w:t xml:space="preserve"> – on new items within existing budget framework and lines</w:t>
      </w:r>
      <w:bookmarkEnd w:id="38"/>
    </w:p>
    <w:p w14:paraId="3EF4200B" w14:textId="367E24A2" w:rsidR="009031F6" w:rsidRDefault="009031F6" w:rsidP="006C0BB1">
      <w:pPr>
        <w:pStyle w:val="ListParagraph"/>
        <w:rPr>
          <w:rFonts w:ascii="Arial" w:eastAsia="Calibri" w:hAnsi="Arial" w:cs="Arial"/>
        </w:rPr>
      </w:pPr>
    </w:p>
    <w:p w14:paraId="07F917C3" w14:textId="77777777" w:rsidR="009031F6" w:rsidRDefault="009031F6" w:rsidP="009031F6">
      <w:pPr>
        <w:pStyle w:val="ListParagraph"/>
        <w:tabs>
          <w:tab w:val="left" w:pos="720"/>
        </w:tabs>
        <w:ind w:left="0"/>
        <w:jc w:val="both"/>
        <w:rPr>
          <w:b/>
        </w:rPr>
      </w:pPr>
      <w:r w:rsidRPr="00A04766">
        <w:rPr>
          <w:b/>
        </w:rPr>
        <w:t>Member States funding</w:t>
      </w:r>
    </w:p>
    <w:p w14:paraId="7A113E05" w14:textId="77777777" w:rsidR="009031F6" w:rsidRDefault="009031F6" w:rsidP="009031F6">
      <w:pPr>
        <w:pStyle w:val="ListParagraph"/>
        <w:tabs>
          <w:tab w:val="left" w:pos="720"/>
        </w:tabs>
        <w:ind w:left="0"/>
        <w:jc w:val="both"/>
        <w:rPr>
          <w:b/>
        </w:rPr>
      </w:pPr>
    </w:p>
    <w:p w14:paraId="02855023" w14:textId="77777777" w:rsidR="009031F6" w:rsidRDefault="009031F6" w:rsidP="00552CA2">
      <w:pPr>
        <w:pStyle w:val="ListParagraph"/>
        <w:numPr>
          <w:ilvl w:val="0"/>
          <w:numId w:val="4"/>
        </w:numPr>
        <w:tabs>
          <w:tab w:val="left" w:pos="720"/>
        </w:tabs>
        <w:ind w:left="0" w:firstLine="0"/>
        <w:jc w:val="both"/>
        <w:rPr>
          <w:rFonts w:ascii="Arial" w:eastAsia="Calibri" w:hAnsi="Arial" w:cs="Arial"/>
        </w:rPr>
      </w:pPr>
      <w:r>
        <w:rPr>
          <w:rFonts w:ascii="Arial" w:eastAsia="Calibri" w:hAnsi="Arial" w:cs="Arial"/>
        </w:rPr>
        <w:t>Additional items proposed for Member States funding in 2020, are as follows: -</w:t>
      </w:r>
    </w:p>
    <w:tbl>
      <w:tblPr>
        <w:tblW w:w="965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5"/>
        <w:gridCol w:w="1440"/>
        <w:gridCol w:w="3780"/>
      </w:tblGrid>
      <w:tr w:rsidR="009031F6" w14:paraId="124B274D" w14:textId="77777777" w:rsidTr="00861044">
        <w:trPr>
          <w:trHeight w:val="209"/>
        </w:trPr>
        <w:tc>
          <w:tcPr>
            <w:tcW w:w="4435" w:type="dxa"/>
            <w:shd w:val="clear" w:color="auto" w:fill="D9D9D9" w:themeFill="background1" w:themeFillShade="D9"/>
          </w:tcPr>
          <w:p w14:paraId="4F600E2E" w14:textId="77777777" w:rsidR="009031F6" w:rsidRDefault="009031F6" w:rsidP="00861044">
            <w:pPr>
              <w:autoSpaceDE w:val="0"/>
              <w:autoSpaceDN w:val="0"/>
              <w:adjustRightInd w:val="0"/>
              <w:spacing w:after="0" w:line="240" w:lineRule="auto"/>
              <w:rPr>
                <w:rFonts w:ascii="Arial Narrow" w:hAnsi="Arial Narrow" w:cs="Arial Narrow"/>
                <w:color w:val="000000"/>
              </w:rPr>
            </w:pPr>
            <w:r>
              <w:rPr>
                <w:rFonts w:ascii="Arial Narrow" w:hAnsi="Arial Narrow" w:cs="Arial Narrow"/>
                <w:color w:val="000000"/>
              </w:rPr>
              <w:t>Item</w:t>
            </w:r>
          </w:p>
        </w:tc>
        <w:tc>
          <w:tcPr>
            <w:tcW w:w="1440" w:type="dxa"/>
            <w:shd w:val="clear" w:color="auto" w:fill="D9D9D9" w:themeFill="background1" w:themeFillShade="D9"/>
          </w:tcPr>
          <w:p w14:paraId="330CCEC9" w14:textId="77777777" w:rsidR="009031F6" w:rsidRDefault="009031F6" w:rsidP="00861044">
            <w:pPr>
              <w:autoSpaceDE w:val="0"/>
              <w:autoSpaceDN w:val="0"/>
              <w:adjustRightInd w:val="0"/>
              <w:spacing w:after="0" w:line="240" w:lineRule="auto"/>
              <w:jc w:val="right"/>
              <w:rPr>
                <w:rFonts w:ascii="Arial Narrow" w:hAnsi="Arial Narrow" w:cs="Arial Narrow"/>
                <w:color w:val="000000"/>
              </w:rPr>
            </w:pPr>
            <w:r>
              <w:rPr>
                <w:rFonts w:ascii="Arial Narrow" w:hAnsi="Arial Narrow" w:cs="Arial Narrow"/>
                <w:color w:val="000000"/>
              </w:rPr>
              <w:t>US$</w:t>
            </w:r>
          </w:p>
        </w:tc>
        <w:tc>
          <w:tcPr>
            <w:tcW w:w="3780" w:type="dxa"/>
            <w:shd w:val="clear" w:color="auto" w:fill="D9D9D9" w:themeFill="background1" w:themeFillShade="D9"/>
          </w:tcPr>
          <w:p w14:paraId="0D65B7DC" w14:textId="77777777" w:rsidR="009031F6" w:rsidRDefault="009031F6" w:rsidP="00861044">
            <w:pPr>
              <w:autoSpaceDE w:val="0"/>
              <w:autoSpaceDN w:val="0"/>
              <w:adjustRightInd w:val="0"/>
              <w:spacing w:after="0" w:line="240" w:lineRule="auto"/>
              <w:rPr>
                <w:rFonts w:ascii="Arial Narrow" w:hAnsi="Arial Narrow" w:cs="Arial Narrow"/>
                <w:color w:val="000000"/>
              </w:rPr>
            </w:pPr>
            <w:r>
              <w:rPr>
                <w:rFonts w:ascii="Arial Narrow" w:hAnsi="Arial Narrow" w:cs="Arial Narrow"/>
                <w:color w:val="000000"/>
              </w:rPr>
              <w:t>Justification</w:t>
            </w:r>
          </w:p>
        </w:tc>
      </w:tr>
      <w:tr w:rsidR="009031F6" w14:paraId="2B6BCA67" w14:textId="77777777" w:rsidTr="00861044">
        <w:trPr>
          <w:trHeight w:val="209"/>
        </w:trPr>
        <w:tc>
          <w:tcPr>
            <w:tcW w:w="4435" w:type="dxa"/>
          </w:tcPr>
          <w:p w14:paraId="682F672C" w14:textId="77777777" w:rsidR="009031F6" w:rsidRDefault="009031F6" w:rsidP="00861044">
            <w:pPr>
              <w:autoSpaceDE w:val="0"/>
              <w:autoSpaceDN w:val="0"/>
              <w:adjustRightInd w:val="0"/>
              <w:spacing w:after="0" w:line="240" w:lineRule="auto"/>
              <w:rPr>
                <w:rFonts w:ascii="Arial Narrow" w:hAnsi="Arial Narrow" w:cs="Arial Narrow"/>
                <w:color w:val="000000"/>
              </w:rPr>
            </w:pPr>
            <w:r>
              <w:rPr>
                <w:rFonts w:ascii="Arial Narrow" w:hAnsi="Arial Narrow" w:cs="Arial Narrow"/>
                <w:color w:val="000000"/>
              </w:rPr>
              <w:t>IT Auditor</w:t>
            </w:r>
          </w:p>
        </w:tc>
        <w:tc>
          <w:tcPr>
            <w:tcW w:w="1440" w:type="dxa"/>
          </w:tcPr>
          <w:p w14:paraId="7D95F7A5" w14:textId="77777777" w:rsidR="009031F6" w:rsidRDefault="009031F6" w:rsidP="00861044">
            <w:pPr>
              <w:autoSpaceDE w:val="0"/>
              <w:autoSpaceDN w:val="0"/>
              <w:adjustRightInd w:val="0"/>
              <w:spacing w:after="0" w:line="240" w:lineRule="auto"/>
              <w:jc w:val="right"/>
              <w:rPr>
                <w:rFonts w:ascii="Arial Narrow" w:hAnsi="Arial Narrow" w:cs="Arial Narrow"/>
                <w:color w:val="000000"/>
              </w:rPr>
            </w:pPr>
            <w:r>
              <w:rPr>
                <w:rFonts w:ascii="Arial Narrow" w:hAnsi="Arial Narrow" w:cs="Arial Narrow"/>
                <w:color w:val="000000"/>
              </w:rPr>
              <w:t>87,024</w:t>
            </w:r>
          </w:p>
        </w:tc>
        <w:tc>
          <w:tcPr>
            <w:tcW w:w="3780" w:type="dxa"/>
          </w:tcPr>
          <w:p w14:paraId="7D4A6E06" w14:textId="77777777" w:rsidR="009031F6" w:rsidRDefault="009031F6" w:rsidP="00861044">
            <w:pPr>
              <w:autoSpaceDE w:val="0"/>
              <w:autoSpaceDN w:val="0"/>
              <w:adjustRightInd w:val="0"/>
              <w:spacing w:after="0" w:line="240" w:lineRule="auto"/>
              <w:rPr>
                <w:rFonts w:ascii="Arial Narrow" w:hAnsi="Arial Narrow" w:cs="Arial Narrow"/>
                <w:color w:val="000000"/>
              </w:rPr>
            </w:pPr>
            <w:r>
              <w:rPr>
                <w:rFonts w:ascii="Arial Narrow" w:hAnsi="Arial Narrow" w:cs="Arial Narrow"/>
                <w:color w:val="000000"/>
              </w:rPr>
              <w:t>Approved by Council</w:t>
            </w:r>
          </w:p>
        </w:tc>
      </w:tr>
      <w:tr w:rsidR="009031F6" w14:paraId="32D1105A" w14:textId="77777777" w:rsidTr="00861044">
        <w:trPr>
          <w:trHeight w:val="209"/>
        </w:trPr>
        <w:tc>
          <w:tcPr>
            <w:tcW w:w="4435" w:type="dxa"/>
          </w:tcPr>
          <w:p w14:paraId="61408C63" w14:textId="77777777" w:rsidR="009031F6" w:rsidRDefault="009031F6" w:rsidP="00861044">
            <w:pPr>
              <w:autoSpaceDE w:val="0"/>
              <w:autoSpaceDN w:val="0"/>
              <w:adjustRightInd w:val="0"/>
              <w:spacing w:after="0" w:line="240" w:lineRule="auto"/>
              <w:rPr>
                <w:rFonts w:ascii="Arial Narrow" w:hAnsi="Arial Narrow" w:cs="Arial Narrow"/>
                <w:color w:val="000000"/>
              </w:rPr>
            </w:pPr>
            <w:r>
              <w:rPr>
                <w:rFonts w:ascii="Arial Narrow" w:hAnsi="Arial Narrow" w:cs="Arial Narrow"/>
                <w:color w:val="000000"/>
              </w:rPr>
              <w:t>Energy Forum</w:t>
            </w:r>
          </w:p>
        </w:tc>
        <w:tc>
          <w:tcPr>
            <w:tcW w:w="1440" w:type="dxa"/>
          </w:tcPr>
          <w:p w14:paraId="045689EF" w14:textId="77777777" w:rsidR="009031F6" w:rsidRDefault="009031F6" w:rsidP="00861044">
            <w:pPr>
              <w:autoSpaceDE w:val="0"/>
              <w:autoSpaceDN w:val="0"/>
              <w:adjustRightInd w:val="0"/>
              <w:spacing w:after="0" w:line="240" w:lineRule="auto"/>
              <w:jc w:val="right"/>
              <w:rPr>
                <w:rFonts w:ascii="Arial Narrow" w:hAnsi="Arial Narrow" w:cs="Arial Narrow"/>
                <w:color w:val="000000"/>
              </w:rPr>
            </w:pPr>
            <w:r>
              <w:rPr>
                <w:rFonts w:ascii="Arial Narrow" w:hAnsi="Arial Narrow" w:cs="Arial Narrow"/>
                <w:color w:val="000000"/>
              </w:rPr>
              <w:t>80,000</w:t>
            </w:r>
          </w:p>
        </w:tc>
        <w:tc>
          <w:tcPr>
            <w:tcW w:w="3780" w:type="dxa"/>
          </w:tcPr>
          <w:p w14:paraId="06F652BF" w14:textId="77777777" w:rsidR="009031F6" w:rsidRDefault="009031F6" w:rsidP="00861044">
            <w:pPr>
              <w:autoSpaceDE w:val="0"/>
              <w:autoSpaceDN w:val="0"/>
              <w:adjustRightInd w:val="0"/>
              <w:spacing w:after="0" w:line="240" w:lineRule="auto"/>
              <w:rPr>
                <w:rFonts w:ascii="Arial Narrow" w:hAnsi="Arial Narrow" w:cs="Arial Narrow"/>
                <w:color w:val="000000"/>
              </w:rPr>
            </w:pPr>
            <w:r>
              <w:rPr>
                <w:rFonts w:ascii="Arial Narrow" w:hAnsi="Arial Narrow" w:cs="Arial Narrow"/>
                <w:color w:val="000000"/>
              </w:rPr>
              <w:t>Recommended by Sector Ministers</w:t>
            </w:r>
          </w:p>
        </w:tc>
      </w:tr>
      <w:tr w:rsidR="009031F6" w14:paraId="2EDD4B81" w14:textId="77777777" w:rsidTr="00861044">
        <w:trPr>
          <w:trHeight w:val="209"/>
        </w:trPr>
        <w:tc>
          <w:tcPr>
            <w:tcW w:w="4435" w:type="dxa"/>
          </w:tcPr>
          <w:p w14:paraId="196D118F" w14:textId="77777777" w:rsidR="009031F6" w:rsidRDefault="009031F6" w:rsidP="00861044">
            <w:pPr>
              <w:autoSpaceDE w:val="0"/>
              <w:autoSpaceDN w:val="0"/>
              <w:adjustRightInd w:val="0"/>
              <w:spacing w:after="0" w:line="240" w:lineRule="auto"/>
              <w:rPr>
                <w:rFonts w:ascii="Arial Narrow" w:hAnsi="Arial Narrow" w:cs="Arial Narrow"/>
                <w:color w:val="000000"/>
              </w:rPr>
            </w:pPr>
            <w:r>
              <w:rPr>
                <w:rFonts w:ascii="Arial Narrow" w:hAnsi="Arial Narrow" w:cs="Arial Narrow"/>
                <w:color w:val="000000"/>
              </w:rPr>
              <w:t>Legal costs</w:t>
            </w:r>
          </w:p>
        </w:tc>
        <w:tc>
          <w:tcPr>
            <w:tcW w:w="1440" w:type="dxa"/>
          </w:tcPr>
          <w:p w14:paraId="08474BA8" w14:textId="77777777" w:rsidR="009031F6" w:rsidRDefault="009031F6" w:rsidP="00861044">
            <w:pPr>
              <w:autoSpaceDE w:val="0"/>
              <w:autoSpaceDN w:val="0"/>
              <w:adjustRightInd w:val="0"/>
              <w:spacing w:after="0" w:line="240" w:lineRule="auto"/>
              <w:jc w:val="right"/>
              <w:rPr>
                <w:rFonts w:ascii="Arial Narrow" w:hAnsi="Arial Narrow" w:cs="Arial Narrow"/>
                <w:color w:val="000000"/>
              </w:rPr>
            </w:pPr>
            <w:r>
              <w:rPr>
                <w:rFonts w:ascii="Arial Narrow" w:hAnsi="Arial Narrow" w:cs="Arial Narrow"/>
                <w:color w:val="000000"/>
              </w:rPr>
              <w:t>75,000</w:t>
            </w:r>
          </w:p>
        </w:tc>
        <w:tc>
          <w:tcPr>
            <w:tcW w:w="3780" w:type="dxa"/>
          </w:tcPr>
          <w:p w14:paraId="322E220E" w14:textId="77777777" w:rsidR="009031F6" w:rsidRDefault="009031F6" w:rsidP="00861044">
            <w:pPr>
              <w:autoSpaceDE w:val="0"/>
              <w:autoSpaceDN w:val="0"/>
              <w:adjustRightInd w:val="0"/>
              <w:spacing w:after="0" w:line="240" w:lineRule="auto"/>
              <w:rPr>
                <w:rFonts w:ascii="Arial Narrow" w:hAnsi="Arial Narrow" w:cs="Arial Narrow"/>
                <w:color w:val="000000"/>
              </w:rPr>
            </w:pPr>
            <w:r>
              <w:rPr>
                <w:rFonts w:ascii="Arial Narrow" w:hAnsi="Arial Narrow" w:cs="Arial Narrow"/>
                <w:color w:val="000000"/>
              </w:rPr>
              <w:t>Based on consumption</w:t>
            </w:r>
          </w:p>
        </w:tc>
      </w:tr>
      <w:tr w:rsidR="009031F6" w14:paraId="3B293AEB" w14:textId="77777777" w:rsidTr="00861044">
        <w:trPr>
          <w:trHeight w:val="209"/>
        </w:trPr>
        <w:tc>
          <w:tcPr>
            <w:tcW w:w="4435" w:type="dxa"/>
          </w:tcPr>
          <w:p w14:paraId="7AA65439" w14:textId="77777777" w:rsidR="009031F6" w:rsidRDefault="009031F6" w:rsidP="00861044">
            <w:pPr>
              <w:autoSpaceDE w:val="0"/>
              <w:autoSpaceDN w:val="0"/>
              <w:adjustRightInd w:val="0"/>
              <w:spacing w:after="0" w:line="240" w:lineRule="auto"/>
              <w:rPr>
                <w:rFonts w:ascii="Arial Narrow" w:hAnsi="Arial Narrow" w:cs="Arial Narrow"/>
                <w:color w:val="000000"/>
              </w:rPr>
            </w:pPr>
            <w:r>
              <w:rPr>
                <w:rFonts w:ascii="Arial Narrow" w:hAnsi="Arial Narrow" w:cs="Arial Narrow"/>
                <w:color w:val="000000"/>
              </w:rPr>
              <w:t xml:space="preserve">Technical meeting: 2021 - 2025 Medium Term Strategic Plan </w:t>
            </w:r>
          </w:p>
        </w:tc>
        <w:tc>
          <w:tcPr>
            <w:tcW w:w="1440" w:type="dxa"/>
          </w:tcPr>
          <w:p w14:paraId="59FA1008" w14:textId="77777777" w:rsidR="009031F6" w:rsidRDefault="009031F6" w:rsidP="00861044">
            <w:pPr>
              <w:autoSpaceDE w:val="0"/>
              <w:autoSpaceDN w:val="0"/>
              <w:adjustRightInd w:val="0"/>
              <w:spacing w:after="0" w:line="240" w:lineRule="auto"/>
              <w:jc w:val="right"/>
              <w:rPr>
                <w:rFonts w:ascii="Arial Narrow" w:hAnsi="Arial Narrow" w:cs="Arial Narrow"/>
                <w:color w:val="000000"/>
              </w:rPr>
            </w:pPr>
            <w:r>
              <w:rPr>
                <w:rFonts w:ascii="Arial Narrow" w:hAnsi="Arial Narrow" w:cs="Arial Narrow"/>
                <w:color w:val="000000"/>
              </w:rPr>
              <w:t>65,000</w:t>
            </w:r>
          </w:p>
        </w:tc>
        <w:tc>
          <w:tcPr>
            <w:tcW w:w="3780" w:type="dxa"/>
          </w:tcPr>
          <w:p w14:paraId="6945F086" w14:textId="77777777" w:rsidR="009031F6" w:rsidRDefault="009031F6" w:rsidP="00861044">
            <w:pPr>
              <w:autoSpaceDE w:val="0"/>
              <w:autoSpaceDN w:val="0"/>
              <w:adjustRightInd w:val="0"/>
              <w:spacing w:after="0" w:line="240" w:lineRule="auto"/>
              <w:rPr>
                <w:rFonts w:ascii="Arial Narrow" w:hAnsi="Arial Narrow" w:cs="Arial Narrow"/>
                <w:color w:val="000000"/>
              </w:rPr>
            </w:pPr>
            <w:r>
              <w:rPr>
                <w:rFonts w:ascii="Arial Narrow" w:hAnsi="Arial Narrow" w:cs="Arial Narrow"/>
                <w:color w:val="000000"/>
              </w:rPr>
              <w:t>Per five (5) year cycle</w:t>
            </w:r>
          </w:p>
        </w:tc>
      </w:tr>
      <w:tr w:rsidR="009031F6" w14:paraId="536C9521" w14:textId="77777777" w:rsidTr="00861044">
        <w:trPr>
          <w:trHeight w:val="209"/>
        </w:trPr>
        <w:tc>
          <w:tcPr>
            <w:tcW w:w="4435" w:type="dxa"/>
          </w:tcPr>
          <w:p w14:paraId="37C614F9" w14:textId="77777777" w:rsidR="009031F6" w:rsidRDefault="009031F6" w:rsidP="00861044">
            <w:pPr>
              <w:autoSpaceDE w:val="0"/>
              <w:autoSpaceDN w:val="0"/>
              <w:adjustRightInd w:val="0"/>
              <w:spacing w:after="0" w:line="240" w:lineRule="auto"/>
              <w:rPr>
                <w:rFonts w:ascii="Arial Narrow" w:hAnsi="Arial Narrow" w:cs="Arial Narrow"/>
                <w:color w:val="000000"/>
              </w:rPr>
            </w:pPr>
            <w:r>
              <w:rPr>
                <w:rFonts w:ascii="Arial Narrow" w:hAnsi="Arial Narrow" w:cs="Arial Narrow"/>
                <w:color w:val="000000"/>
              </w:rPr>
              <w:t xml:space="preserve">Technical meeting: COMESA Finance Ministers &amp; Governors </w:t>
            </w:r>
          </w:p>
        </w:tc>
        <w:tc>
          <w:tcPr>
            <w:tcW w:w="1440" w:type="dxa"/>
          </w:tcPr>
          <w:p w14:paraId="451F78DC" w14:textId="77777777" w:rsidR="009031F6" w:rsidRDefault="009031F6" w:rsidP="00861044">
            <w:pPr>
              <w:autoSpaceDE w:val="0"/>
              <w:autoSpaceDN w:val="0"/>
              <w:adjustRightInd w:val="0"/>
              <w:spacing w:after="0" w:line="240" w:lineRule="auto"/>
              <w:jc w:val="right"/>
              <w:rPr>
                <w:rFonts w:ascii="Arial Narrow" w:hAnsi="Arial Narrow" w:cs="Arial Narrow"/>
                <w:color w:val="000000"/>
              </w:rPr>
            </w:pPr>
            <w:r>
              <w:rPr>
                <w:rFonts w:ascii="Arial Narrow" w:hAnsi="Arial Narrow" w:cs="Arial Narrow"/>
                <w:color w:val="000000"/>
              </w:rPr>
              <w:t>130,000</w:t>
            </w:r>
          </w:p>
        </w:tc>
        <w:tc>
          <w:tcPr>
            <w:tcW w:w="3780" w:type="dxa"/>
          </w:tcPr>
          <w:p w14:paraId="636C790B" w14:textId="77777777" w:rsidR="009031F6" w:rsidRDefault="009031F6" w:rsidP="00861044">
            <w:pPr>
              <w:autoSpaceDE w:val="0"/>
              <w:autoSpaceDN w:val="0"/>
              <w:adjustRightInd w:val="0"/>
              <w:spacing w:after="0" w:line="240" w:lineRule="auto"/>
              <w:rPr>
                <w:rFonts w:ascii="Arial Narrow" w:hAnsi="Arial Narrow" w:cs="Arial Narrow"/>
                <w:color w:val="000000"/>
              </w:rPr>
            </w:pPr>
            <w:r>
              <w:rPr>
                <w:rFonts w:ascii="Arial Narrow" w:hAnsi="Arial Narrow" w:cs="Arial Narrow"/>
                <w:color w:val="000000"/>
              </w:rPr>
              <w:t>Recommended by Sector Ministers</w:t>
            </w:r>
          </w:p>
        </w:tc>
      </w:tr>
      <w:tr w:rsidR="009031F6" w14:paraId="1D6C6373" w14:textId="77777777" w:rsidTr="00861044">
        <w:trPr>
          <w:trHeight w:val="214"/>
        </w:trPr>
        <w:tc>
          <w:tcPr>
            <w:tcW w:w="4435" w:type="dxa"/>
          </w:tcPr>
          <w:p w14:paraId="07A1EFAE" w14:textId="77777777" w:rsidR="009031F6" w:rsidRDefault="009031F6" w:rsidP="00861044">
            <w:pPr>
              <w:autoSpaceDE w:val="0"/>
              <w:autoSpaceDN w:val="0"/>
              <w:adjustRightInd w:val="0"/>
              <w:spacing w:after="0" w:line="240" w:lineRule="auto"/>
              <w:rPr>
                <w:rFonts w:ascii="Arial Narrow" w:hAnsi="Arial Narrow" w:cs="Arial Narrow"/>
                <w:b/>
                <w:bCs/>
                <w:color w:val="000000"/>
              </w:rPr>
            </w:pPr>
            <w:r>
              <w:rPr>
                <w:rFonts w:ascii="Arial Narrow" w:hAnsi="Arial Narrow" w:cs="Arial Narrow"/>
                <w:b/>
                <w:bCs/>
                <w:color w:val="000000"/>
              </w:rPr>
              <w:t>Total</w:t>
            </w:r>
          </w:p>
        </w:tc>
        <w:tc>
          <w:tcPr>
            <w:tcW w:w="1440" w:type="dxa"/>
          </w:tcPr>
          <w:p w14:paraId="6A748DC5" w14:textId="77777777" w:rsidR="009031F6" w:rsidRDefault="009031F6" w:rsidP="00861044">
            <w:pPr>
              <w:autoSpaceDE w:val="0"/>
              <w:autoSpaceDN w:val="0"/>
              <w:adjustRightInd w:val="0"/>
              <w:spacing w:after="0" w:line="240" w:lineRule="auto"/>
              <w:jc w:val="right"/>
              <w:rPr>
                <w:rFonts w:ascii="Arial Narrow" w:hAnsi="Arial Narrow" w:cs="Arial Narrow"/>
                <w:b/>
                <w:bCs/>
                <w:color w:val="000000"/>
              </w:rPr>
            </w:pPr>
            <w:r>
              <w:rPr>
                <w:rFonts w:ascii="Arial Narrow" w:hAnsi="Arial Narrow" w:cs="Arial Narrow"/>
                <w:b/>
                <w:bCs/>
                <w:color w:val="000000"/>
              </w:rPr>
              <w:t>437,024</w:t>
            </w:r>
          </w:p>
        </w:tc>
        <w:tc>
          <w:tcPr>
            <w:tcW w:w="3780" w:type="dxa"/>
          </w:tcPr>
          <w:p w14:paraId="146FBB2D" w14:textId="77777777" w:rsidR="009031F6" w:rsidRDefault="009031F6" w:rsidP="00861044">
            <w:pPr>
              <w:autoSpaceDE w:val="0"/>
              <w:autoSpaceDN w:val="0"/>
              <w:adjustRightInd w:val="0"/>
              <w:spacing w:after="0" w:line="240" w:lineRule="auto"/>
              <w:rPr>
                <w:rFonts w:ascii="Arial Narrow" w:hAnsi="Arial Narrow" w:cs="Arial Narrow"/>
                <w:b/>
                <w:bCs/>
                <w:color w:val="000000"/>
              </w:rPr>
            </w:pPr>
          </w:p>
        </w:tc>
      </w:tr>
    </w:tbl>
    <w:p w14:paraId="622FEBCC" w14:textId="77777777" w:rsidR="009031F6" w:rsidRDefault="009031F6" w:rsidP="009031F6">
      <w:pPr>
        <w:pStyle w:val="ListParagraph"/>
        <w:tabs>
          <w:tab w:val="left" w:pos="720"/>
        </w:tabs>
        <w:ind w:left="0"/>
        <w:jc w:val="both"/>
        <w:rPr>
          <w:b/>
        </w:rPr>
      </w:pPr>
    </w:p>
    <w:p w14:paraId="6375D3B7" w14:textId="36A3A40C" w:rsidR="009031F6" w:rsidRDefault="009031F6" w:rsidP="009031F6">
      <w:pPr>
        <w:pStyle w:val="ListParagraph"/>
        <w:tabs>
          <w:tab w:val="left" w:pos="720"/>
        </w:tabs>
        <w:ind w:left="0"/>
        <w:jc w:val="both"/>
        <w:rPr>
          <w:b/>
        </w:rPr>
      </w:pPr>
      <w:r>
        <w:rPr>
          <w:b/>
        </w:rPr>
        <w:t xml:space="preserve">Grants </w:t>
      </w:r>
      <w:r w:rsidR="009823E2">
        <w:rPr>
          <w:b/>
        </w:rPr>
        <w:t xml:space="preserve">overheads’ contribution </w:t>
      </w:r>
      <w:r w:rsidRPr="00A04766">
        <w:rPr>
          <w:b/>
        </w:rPr>
        <w:t>funding</w:t>
      </w:r>
      <w:r w:rsidR="009823E2">
        <w:rPr>
          <w:b/>
        </w:rPr>
        <w:t xml:space="preserve"> </w:t>
      </w:r>
    </w:p>
    <w:p w14:paraId="2EDCBE64" w14:textId="77777777" w:rsidR="009823E2" w:rsidRDefault="009823E2" w:rsidP="009031F6">
      <w:pPr>
        <w:pStyle w:val="ListParagraph"/>
        <w:tabs>
          <w:tab w:val="left" w:pos="720"/>
        </w:tabs>
        <w:ind w:left="0"/>
        <w:jc w:val="both"/>
        <w:rPr>
          <w:b/>
        </w:rPr>
      </w:pPr>
    </w:p>
    <w:p w14:paraId="3A47EED2" w14:textId="6D077619" w:rsidR="009031F6" w:rsidRPr="008C6F12" w:rsidRDefault="008C6F12" w:rsidP="009031F6">
      <w:pPr>
        <w:pStyle w:val="ListParagraph"/>
        <w:tabs>
          <w:tab w:val="left" w:pos="720"/>
        </w:tabs>
        <w:ind w:left="0"/>
        <w:jc w:val="both"/>
        <w:rPr>
          <w:b/>
        </w:rPr>
      </w:pPr>
      <w:r w:rsidRPr="008C6F12">
        <w:rPr>
          <w:b/>
        </w:rPr>
        <w:t xml:space="preserve">Interim staffing - </w:t>
      </w:r>
      <w:r w:rsidRPr="008C6F12">
        <w:rPr>
          <w:rFonts w:ascii="Arial" w:eastAsia="Calibri" w:hAnsi="Arial" w:cs="Arial"/>
          <w:b/>
        </w:rPr>
        <w:t>Governance, Peace and Security</w:t>
      </w:r>
      <w:r w:rsidR="009823E2">
        <w:rPr>
          <w:rFonts w:ascii="Arial" w:eastAsia="Calibri" w:hAnsi="Arial" w:cs="Arial"/>
          <w:b/>
        </w:rPr>
        <w:t xml:space="preserve"> </w:t>
      </w:r>
    </w:p>
    <w:p w14:paraId="74A1B1DF" w14:textId="77777777" w:rsidR="009031F6" w:rsidRPr="00124CB4" w:rsidRDefault="009031F6" w:rsidP="00552CA2">
      <w:pPr>
        <w:pStyle w:val="ListParagraph"/>
        <w:numPr>
          <w:ilvl w:val="0"/>
          <w:numId w:val="4"/>
        </w:numPr>
        <w:tabs>
          <w:tab w:val="left" w:pos="720"/>
        </w:tabs>
        <w:ind w:left="0" w:firstLine="0"/>
        <w:jc w:val="both"/>
        <w:rPr>
          <w:rFonts w:ascii="Arial" w:eastAsia="Calibri" w:hAnsi="Arial" w:cs="Arial"/>
          <w:b/>
        </w:rPr>
      </w:pPr>
      <w:r w:rsidRPr="00124CB4">
        <w:rPr>
          <w:rFonts w:ascii="Arial" w:eastAsia="Calibri" w:hAnsi="Arial" w:cs="Arial"/>
        </w:rPr>
        <w:t xml:space="preserve">Additional Item proposed for grants funding in 2020, relates to interim staffing arrangements for Governance, Peace and Security, as outlined in </w:t>
      </w:r>
      <w:r w:rsidRPr="00124CB4">
        <w:rPr>
          <w:rFonts w:ascii="Arial" w:eastAsia="Calibri" w:hAnsi="Arial" w:cs="Arial"/>
          <w:b/>
        </w:rPr>
        <w:t>Appendix 7</w:t>
      </w:r>
      <w:r>
        <w:rPr>
          <w:rFonts w:ascii="Arial" w:eastAsia="Calibri" w:hAnsi="Arial" w:cs="Arial"/>
        </w:rPr>
        <w:t xml:space="preserve">. EU through the AU will continue to avail significant resources towards APSA, excluding allocations towards staffing arrangements. A condition for previous phases, was that each participating REC, shall build up staffing capacity to own and sustain implementation of APSA programmes. </w:t>
      </w:r>
    </w:p>
    <w:p w14:paraId="7A31B211" w14:textId="77777777" w:rsidR="009031F6" w:rsidRPr="00124CB4" w:rsidRDefault="009031F6" w:rsidP="009031F6">
      <w:pPr>
        <w:pStyle w:val="ListParagraph"/>
        <w:tabs>
          <w:tab w:val="left" w:pos="720"/>
        </w:tabs>
        <w:ind w:left="0"/>
        <w:jc w:val="both"/>
        <w:rPr>
          <w:rFonts w:ascii="Arial" w:eastAsia="Calibri" w:hAnsi="Arial" w:cs="Arial"/>
          <w:b/>
        </w:rPr>
      </w:pPr>
    </w:p>
    <w:p w14:paraId="5F893255" w14:textId="1D530AC0" w:rsidR="009031F6" w:rsidRPr="00B70CB5" w:rsidRDefault="009031F6" w:rsidP="00552CA2">
      <w:pPr>
        <w:pStyle w:val="ListParagraph"/>
        <w:numPr>
          <w:ilvl w:val="0"/>
          <w:numId w:val="4"/>
        </w:numPr>
        <w:tabs>
          <w:tab w:val="left" w:pos="720"/>
        </w:tabs>
        <w:ind w:left="0" w:firstLine="0"/>
        <w:jc w:val="both"/>
        <w:rPr>
          <w:rFonts w:ascii="Arial" w:eastAsia="Calibri" w:hAnsi="Arial" w:cs="Arial"/>
        </w:rPr>
      </w:pPr>
      <w:r>
        <w:rPr>
          <w:rFonts w:ascii="Arial" w:eastAsia="Calibri" w:hAnsi="Arial" w:cs="Arial"/>
        </w:rPr>
        <w:t>COMESA is the only REC yet to adjust its organizational structure in line with APSA arrangements. Given that the APSA programmes are within the Medium-Term Strategic Plan, the Secretariat proposes that the review of the Secretariat organizational structure should take into account its responsibilities regarding APSA.</w:t>
      </w:r>
      <w:r w:rsidR="0091344E">
        <w:rPr>
          <w:rFonts w:ascii="Arial" w:eastAsia="Calibri" w:hAnsi="Arial" w:cs="Arial"/>
        </w:rPr>
        <w:t xml:space="preserve"> </w:t>
      </w:r>
      <w:r>
        <w:rPr>
          <w:rFonts w:ascii="Arial" w:eastAsia="Calibri" w:hAnsi="Arial" w:cs="Arial"/>
        </w:rPr>
        <w:t xml:space="preserve">Whilst this work is in progress, the Secretariat </w:t>
      </w:r>
      <w:r>
        <w:rPr>
          <w:rFonts w:ascii="Arial" w:eastAsia="Calibri" w:hAnsi="Arial" w:cs="Arial"/>
        </w:rPr>
        <w:lastRenderedPageBreak/>
        <w:t xml:space="preserve">proposes that the Secretariat continues to pay for staff salaries of staff working under APSA. Assessment of benefits, limited to value of grant, vis-à-vis cost, limited to salaries is presented below. It shows the benefit that COMESA shall derive by maintaining the APSA staffing </w:t>
      </w:r>
      <w:r w:rsidRPr="009031F6">
        <w:rPr>
          <w:rFonts w:ascii="Arial" w:eastAsia="Calibri" w:hAnsi="Arial" w:cs="Arial"/>
          <w:b/>
        </w:rPr>
        <w:t xml:space="preserve">(1 x Head of Governance Unit; 2 x Analysts; 1 x Finance Officer; </w:t>
      </w:r>
      <w:r w:rsidRPr="008C6F12">
        <w:rPr>
          <w:rFonts w:ascii="Arial" w:eastAsia="Calibri" w:hAnsi="Arial" w:cs="Arial"/>
          <w:b/>
          <w:dstrike/>
        </w:rPr>
        <w:t>1 x Early Warning Unit; 1 x Mediation Officer;</w:t>
      </w:r>
      <w:r w:rsidRPr="009031F6">
        <w:rPr>
          <w:rFonts w:ascii="Arial" w:eastAsia="Calibri" w:hAnsi="Arial" w:cs="Arial"/>
          <w:b/>
        </w:rPr>
        <w:t xml:space="preserve"> and 1x AU Liaison Officer)</w:t>
      </w:r>
      <w:r>
        <w:rPr>
          <w:rFonts w:ascii="Arial" w:eastAsia="Calibri" w:hAnsi="Arial" w:cs="Arial"/>
          <w:b/>
        </w:rPr>
        <w:t>.</w:t>
      </w:r>
    </w:p>
    <w:p w14:paraId="2D5CBFF8" w14:textId="77777777" w:rsidR="009031F6" w:rsidRPr="00124CB4" w:rsidRDefault="009031F6" w:rsidP="009031F6">
      <w:pPr>
        <w:pStyle w:val="ListParagraph"/>
        <w:rPr>
          <w:rFonts w:ascii="Arial" w:eastAsia="Calibri" w:hAnsi="Arial" w:cs="Arial"/>
        </w:rPr>
      </w:pPr>
    </w:p>
    <w:bookmarkStart w:id="39" w:name="_MON_1633615846"/>
    <w:bookmarkEnd w:id="39"/>
    <w:p w14:paraId="5A3D65CF" w14:textId="77777777" w:rsidR="009031F6" w:rsidRDefault="009031F6" w:rsidP="009031F6">
      <w:pPr>
        <w:pStyle w:val="ListParagraph"/>
        <w:tabs>
          <w:tab w:val="left" w:pos="720"/>
        </w:tabs>
        <w:jc w:val="both"/>
        <w:rPr>
          <w:rFonts w:ascii="Arial" w:eastAsia="Calibri" w:hAnsi="Arial" w:cs="Arial"/>
        </w:rPr>
      </w:pPr>
      <w:r>
        <w:rPr>
          <w:rFonts w:ascii="Arial Narrow" w:hAnsi="Arial Narrow" w:cs="Arial Narrow"/>
          <w:color w:val="000000"/>
        </w:rPr>
        <w:object w:dxaOrig="6574" w:dyaOrig="7644" w14:anchorId="3CA102E6">
          <v:shape id="_x0000_i1030" type="#_x0000_t75" style="width:329.25pt;height:382.5pt" o:ole="">
            <v:imagedata r:id="rId28" o:title=""/>
          </v:shape>
          <o:OLEObject Type="Embed" ProgID="Excel.Sheet.12" ShapeID="_x0000_i1030" DrawAspect="Content" ObjectID="_1633623877" r:id="rId29"/>
        </w:object>
      </w:r>
    </w:p>
    <w:p w14:paraId="117EFD7B" w14:textId="77777777" w:rsidR="008C6F12" w:rsidRDefault="008C6F12" w:rsidP="008C6F12">
      <w:pPr>
        <w:pStyle w:val="ListParagraph"/>
        <w:tabs>
          <w:tab w:val="left" w:pos="720"/>
        </w:tabs>
        <w:ind w:left="0"/>
        <w:jc w:val="both"/>
        <w:rPr>
          <w:b/>
        </w:rPr>
      </w:pPr>
    </w:p>
    <w:p w14:paraId="2C5EB6A4" w14:textId="3F9FDAC7" w:rsidR="008C6F12" w:rsidRPr="008C6F12" w:rsidRDefault="008C6F12" w:rsidP="008C6F12">
      <w:pPr>
        <w:pStyle w:val="ListParagraph"/>
        <w:tabs>
          <w:tab w:val="left" w:pos="720"/>
        </w:tabs>
        <w:ind w:left="0"/>
        <w:jc w:val="both"/>
        <w:rPr>
          <w:b/>
        </w:rPr>
      </w:pPr>
      <w:r w:rsidRPr="008C6F12">
        <w:rPr>
          <w:b/>
        </w:rPr>
        <w:t xml:space="preserve">Interim staffing </w:t>
      </w:r>
      <w:r>
        <w:rPr>
          <w:b/>
        </w:rPr>
        <w:t>–</w:t>
      </w:r>
      <w:r w:rsidRPr="008C6F12">
        <w:rPr>
          <w:b/>
        </w:rPr>
        <w:t xml:space="preserve"> </w:t>
      </w:r>
      <w:r w:rsidR="009823E2">
        <w:rPr>
          <w:b/>
        </w:rPr>
        <w:t xml:space="preserve">1x </w:t>
      </w:r>
      <w:r>
        <w:rPr>
          <w:rFonts w:ascii="Arial" w:eastAsia="Calibri" w:hAnsi="Arial" w:cs="Arial"/>
          <w:b/>
        </w:rPr>
        <w:t>M&amp;E</w:t>
      </w:r>
      <w:r w:rsidR="009823E2">
        <w:rPr>
          <w:rFonts w:ascii="Arial" w:eastAsia="Calibri" w:hAnsi="Arial" w:cs="Arial"/>
          <w:b/>
        </w:rPr>
        <w:t xml:space="preserve"> (at Head of Unit level: P4)</w:t>
      </w:r>
    </w:p>
    <w:p w14:paraId="00779271" w14:textId="77777777" w:rsidR="009031F6" w:rsidRDefault="009031F6" w:rsidP="009031F6">
      <w:pPr>
        <w:pStyle w:val="ListParagraph"/>
        <w:tabs>
          <w:tab w:val="left" w:pos="720"/>
        </w:tabs>
        <w:ind w:left="0"/>
        <w:jc w:val="both"/>
        <w:rPr>
          <w:b/>
        </w:rPr>
      </w:pPr>
    </w:p>
    <w:p w14:paraId="7A09BD59" w14:textId="0485B066" w:rsidR="008C6F12" w:rsidRDefault="008C6F12" w:rsidP="00552CA2">
      <w:pPr>
        <w:pStyle w:val="ListParagraph"/>
        <w:numPr>
          <w:ilvl w:val="0"/>
          <w:numId w:val="4"/>
        </w:numPr>
        <w:tabs>
          <w:tab w:val="left" w:pos="720"/>
        </w:tabs>
        <w:ind w:left="0" w:firstLine="0"/>
        <w:jc w:val="both"/>
        <w:rPr>
          <w:rFonts w:ascii="Arial" w:eastAsia="Calibri" w:hAnsi="Arial" w:cs="Arial"/>
        </w:rPr>
      </w:pPr>
      <w:r>
        <w:rPr>
          <w:rFonts w:ascii="Arial" w:eastAsia="Calibri" w:hAnsi="Arial" w:cs="Arial"/>
        </w:rPr>
        <w:t>To roll-out a robust M&amp;E function</w:t>
      </w:r>
      <w:r w:rsidR="009823E2">
        <w:rPr>
          <w:rFonts w:ascii="Arial" w:eastAsia="Calibri" w:hAnsi="Arial" w:cs="Arial"/>
        </w:rPr>
        <w:t xml:space="preserve"> </w:t>
      </w:r>
      <w:r>
        <w:rPr>
          <w:rFonts w:ascii="Arial" w:eastAsia="Calibri" w:hAnsi="Arial" w:cs="Arial"/>
        </w:rPr>
        <w:t>the Secretariat has received funding</w:t>
      </w:r>
      <w:r w:rsidR="00615C15">
        <w:rPr>
          <w:rFonts w:ascii="Arial" w:eastAsia="Calibri" w:hAnsi="Arial" w:cs="Arial"/>
        </w:rPr>
        <w:t xml:space="preserve"> from EU</w:t>
      </w:r>
      <w:r w:rsidR="009823E2">
        <w:rPr>
          <w:rFonts w:ascii="Arial" w:eastAsia="Calibri" w:hAnsi="Arial" w:cs="Arial"/>
        </w:rPr>
        <w:t xml:space="preserve">, based </w:t>
      </w:r>
      <w:r w:rsidR="009823E2">
        <w:rPr>
          <w:rFonts w:ascii="Arial" w:eastAsia="Calibri" w:hAnsi="Arial" w:cs="Arial"/>
        </w:rPr>
        <w:tab/>
        <w:t xml:space="preserve">on the following: </w:t>
      </w:r>
      <w:r>
        <w:rPr>
          <w:rFonts w:ascii="Arial" w:eastAsia="Calibri" w:hAnsi="Arial" w:cs="Arial"/>
        </w:rPr>
        <w:t>-</w:t>
      </w:r>
    </w:p>
    <w:p w14:paraId="2B892C9F" w14:textId="48818DBA" w:rsidR="008C6F12" w:rsidRDefault="008C6F12" w:rsidP="008C6F12">
      <w:pPr>
        <w:pStyle w:val="ListParagraph"/>
        <w:tabs>
          <w:tab w:val="left" w:pos="720"/>
        </w:tabs>
        <w:ind w:left="0"/>
        <w:jc w:val="both"/>
        <w:rPr>
          <w:rFonts w:ascii="Arial" w:eastAsia="Calibri" w:hAnsi="Arial" w:cs="Arial"/>
        </w:rPr>
      </w:pPr>
    </w:p>
    <w:p w14:paraId="19CC2E09" w14:textId="2D8228C2" w:rsidR="00615C15" w:rsidRDefault="00615C15" w:rsidP="00615C15">
      <w:pPr>
        <w:tabs>
          <w:tab w:val="left" w:pos="720"/>
        </w:tabs>
        <w:ind w:left="720"/>
        <w:jc w:val="both"/>
        <w:rPr>
          <w:rFonts w:ascii="Arial" w:eastAsia="Calibri" w:hAnsi="Arial" w:cs="Arial"/>
        </w:rPr>
      </w:pPr>
      <w:r>
        <w:rPr>
          <w:rFonts w:ascii="Arial" w:eastAsia="Calibri" w:hAnsi="Arial" w:cs="Arial"/>
          <w:b/>
        </w:rPr>
        <w:t>Deliverable</w:t>
      </w:r>
      <w:r w:rsidRPr="00615C15">
        <w:rPr>
          <w:rFonts w:ascii="Arial" w:eastAsia="Calibri" w:hAnsi="Arial" w:cs="Arial"/>
          <w:b/>
        </w:rPr>
        <w:t xml:space="preserve">: </w:t>
      </w:r>
      <w:r w:rsidRPr="00615C15">
        <w:rPr>
          <w:rFonts w:ascii="Arial" w:eastAsia="Calibri" w:hAnsi="Arial" w:cs="Arial"/>
        </w:rPr>
        <w:t>Improved Monitoring and Evaluation capacities for implementation of regional commitments and regional and at national level, including in terms of climate change and gender mainstreaming.</w:t>
      </w:r>
    </w:p>
    <w:p w14:paraId="4A4A7EB1" w14:textId="09D46290" w:rsidR="00615C15" w:rsidRDefault="00615C15" w:rsidP="00615C15">
      <w:pPr>
        <w:tabs>
          <w:tab w:val="left" w:pos="720"/>
        </w:tabs>
        <w:ind w:left="720"/>
        <w:jc w:val="both"/>
        <w:rPr>
          <w:rFonts w:ascii="Arial" w:eastAsia="Calibri" w:hAnsi="Arial" w:cs="Arial"/>
        </w:rPr>
      </w:pPr>
      <w:r w:rsidRPr="00615C15">
        <w:rPr>
          <w:rFonts w:ascii="Arial" w:eastAsia="Calibri" w:hAnsi="Arial" w:cs="Arial"/>
          <w:b/>
        </w:rPr>
        <w:t>Monitoring &amp; Evaluation</w:t>
      </w:r>
      <w:r w:rsidR="009823E2">
        <w:rPr>
          <w:rFonts w:ascii="Arial" w:eastAsia="Calibri" w:hAnsi="Arial" w:cs="Arial"/>
          <w:b/>
        </w:rPr>
        <w:t xml:space="preserve"> framework</w:t>
      </w:r>
      <w:r w:rsidRPr="00615C15">
        <w:rPr>
          <w:rFonts w:ascii="Arial" w:eastAsia="Calibri" w:hAnsi="Arial" w:cs="Arial"/>
          <w:b/>
        </w:rPr>
        <w:t xml:space="preserve">: </w:t>
      </w:r>
      <w:r w:rsidRPr="00615C15">
        <w:rPr>
          <w:rFonts w:ascii="Arial" w:eastAsia="Calibri" w:hAnsi="Arial" w:cs="Arial"/>
        </w:rPr>
        <w:t xml:space="preserve">M&amp;E has been recognised in the 2016 - 2020 Medium Term Strategic Plan as a critical function to ensure the main goal of Regional Economic Integration is attained. An M&amp;E Policy Framework and an M&amp;E Online System were developed as well as an Evaluation Policy Framework. In 2015 guidelines concerning information gathering, processing and sharing with stakeholders and cooperating partners were adopted. The objective is to link COMESA Organs, COMESA Institutions and Coordinating Member State Ministries with COMESA </w:t>
      </w:r>
      <w:r w:rsidRPr="00615C15">
        <w:rPr>
          <w:rFonts w:ascii="Arial" w:eastAsia="Calibri" w:hAnsi="Arial" w:cs="Arial"/>
        </w:rPr>
        <w:lastRenderedPageBreak/>
        <w:t>Authority, Council of Ministers, Inter</w:t>
      </w:r>
      <w:r w:rsidR="009823E2">
        <w:rPr>
          <w:rFonts w:ascii="Arial" w:eastAsia="Calibri" w:hAnsi="Arial" w:cs="Arial"/>
        </w:rPr>
        <w:t>-</w:t>
      </w:r>
      <w:r w:rsidRPr="00615C15">
        <w:rPr>
          <w:rFonts w:ascii="Arial" w:eastAsia="Calibri" w:hAnsi="Arial" w:cs="Arial"/>
        </w:rPr>
        <w:t>governmental Committees and Technical committees to implement the M&amp;E Framework. The Secretariat has proposed to Member States to fund an M&amp;E Unit to be able to effectively monitor domestication of regional integration commitments.</w:t>
      </w:r>
    </w:p>
    <w:p w14:paraId="2AD14EEC" w14:textId="2CACB354" w:rsidR="00615C15" w:rsidRPr="00615C15" w:rsidRDefault="00615C15" w:rsidP="00615C15">
      <w:pPr>
        <w:tabs>
          <w:tab w:val="left" w:pos="720"/>
        </w:tabs>
        <w:ind w:left="720"/>
        <w:jc w:val="both"/>
        <w:rPr>
          <w:rFonts w:ascii="Arial" w:eastAsia="Calibri" w:hAnsi="Arial" w:cs="Arial"/>
        </w:rPr>
      </w:pPr>
      <w:r w:rsidRPr="00615C15">
        <w:rPr>
          <w:rFonts w:ascii="Arial" w:eastAsia="Calibri" w:hAnsi="Arial" w:cs="Arial"/>
        </w:rPr>
        <w:t xml:space="preserve">Lack of </w:t>
      </w:r>
      <w:r w:rsidRPr="00615C15">
        <w:rPr>
          <w:rFonts w:ascii="Arial" w:eastAsia="Calibri" w:hAnsi="Arial" w:cs="Arial"/>
        </w:rPr>
        <w:t xml:space="preserve">Monitoring and Evaluation </w:t>
      </w:r>
      <w:r w:rsidRPr="00615C15">
        <w:rPr>
          <w:rFonts w:ascii="Arial" w:eastAsia="Calibri" w:hAnsi="Arial" w:cs="Arial"/>
        </w:rPr>
        <w:t xml:space="preserve">human </w:t>
      </w:r>
      <w:r w:rsidRPr="00615C15">
        <w:rPr>
          <w:rFonts w:ascii="Arial" w:eastAsia="Calibri" w:hAnsi="Arial" w:cs="Arial"/>
        </w:rPr>
        <w:t>capacity</w:t>
      </w:r>
      <w:r>
        <w:rPr>
          <w:rFonts w:ascii="Arial" w:eastAsia="Calibri" w:hAnsi="Arial" w:cs="Arial"/>
        </w:rPr>
        <w:t xml:space="preserve"> </w:t>
      </w:r>
      <w:r w:rsidRPr="00615C15">
        <w:rPr>
          <w:rFonts w:ascii="Arial" w:eastAsia="Calibri" w:hAnsi="Arial" w:cs="Arial"/>
        </w:rPr>
        <w:t xml:space="preserve">has resulted in lack of compliance by COMESA with the M&amp;E Policy Framework. This resulted in inability to monitor domestication of the implementation of COMESA commitments and programmes by Member States. The existing online monitoring and evaluation tool is not functional requiring additional resources to ensure its </w:t>
      </w:r>
      <w:proofErr w:type="spellStart"/>
      <w:r w:rsidRPr="00615C15">
        <w:rPr>
          <w:rFonts w:ascii="Arial" w:eastAsia="Calibri" w:hAnsi="Arial" w:cs="Arial"/>
        </w:rPr>
        <w:t>operationalisation</w:t>
      </w:r>
      <w:proofErr w:type="spellEnd"/>
      <w:r w:rsidRPr="00615C15">
        <w:rPr>
          <w:rFonts w:ascii="Arial" w:eastAsia="Calibri" w:hAnsi="Arial" w:cs="Arial"/>
        </w:rPr>
        <w:t xml:space="preserve">. Integration with other systems, namely in the areas of strategic planning, financial management, audit and human resources is also required. Experts are attached to programmes funded by various cooperating partners and not </w:t>
      </w:r>
      <w:proofErr w:type="spellStart"/>
      <w:r w:rsidRPr="00615C15">
        <w:rPr>
          <w:rFonts w:ascii="Arial" w:eastAsia="Calibri" w:hAnsi="Arial" w:cs="Arial"/>
        </w:rPr>
        <w:t>operationalising</w:t>
      </w:r>
      <w:proofErr w:type="spellEnd"/>
      <w:r w:rsidRPr="00615C15">
        <w:rPr>
          <w:rFonts w:ascii="Arial" w:eastAsia="Calibri" w:hAnsi="Arial" w:cs="Arial"/>
        </w:rPr>
        <w:t xml:space="preserve"> the </w:t>
      </w:r>
      <w:proofErr w:type="spellStart"/>
      <w:r w:rsidRPr="00615C15">
        <w:rPr>
          <w:rFonts w:ascii="Arial" w:eastAsia="Calibri" w:hAnsi="Arial" w:cs="Arial"/>
        </w:rPr>
        <w:t>organisation’s</w:t>
      </w:r>
      <w:proofErr w:type="spellEnd"/>
      <w:r w:rsidRPr="00615C15">
        <w:rPr>
          <w:rFonts w:ascii="Arial" w:eastAsia="Calibri" w:hAnsi="Arial" w:cs="Arial"/>
        </w:rPr>
        <w:t xml:space="preserve"> wide needs for M&amp;E. The organisation lacks a five-year operational plan to roll-out the MTSP which would enable it to effectively monitor the implementation of the activities ensuring their relevance and impact to Member States.</w:t>
      </w:r>
    </w:p>
    <w:p w14:paraId="0FD18D49" w14:textId="4F0B89B1" w:rsidR="009823E2" w:rsidRPr="008C6F12" w:rsidRDefault="009823E2" w:rsidP="009823E2">
      <w:pPr>
        <w:pStyle w:val="ListParagraph"/>
        <w:tabs>
          <w:tab w:val="left" w:pos="720"/>
        </w:tabs>
        <w:ind w:left="0"/>
        <w:jc w:val="both"/>
        <w:rPr>
          <w:b/>
        </w:rPr>
      </w:pPr>
      <w:r w:rsidRPr="008C6F12">
        <w:rPr>
          <w:b/>
        </w:rPr>
        <w:t xml:space="preserve">Interim staffing </w:t>
      </w:r>
      <w:r>
        <w:rPr>
          <w:b/>
        </w:rPr>
        <w:t>–</w:t>
      </w:r>
      <w:r w:rsidRPr="008C6F12">
        <w:rPr>
          <w:b/>
        </w:rPr>
        <w:t xml:space="preserve"> </w:t>
      </w:r>
      <w:r>
        <w:rPr>
          <w:b/>
        </w:rPr>
        <w:t xml:space="preserve">1x </w:t>
      </w:r>
      <w:r>
        <w:rPr>
          <w:rFonts w:ascii="Arial" w:eastAsia="Calibri" w:hAnsi="Arial" w:cs="Arial"/>
          <w:b/>
        </w:rPr>
        <w:t>Web Editor</w:t>
      </w:r>
    </w:p>
    <w:p w14:paraId="475A02CB" w14:textId="1557510E" w:rsidR="009823E2" w:rsidRDefault="009823E2" w:rsidP="009823E2">
      <w:pPr>
        <w:pStyle w:val="ListParagraph"/>
        <w:numPr>
          <w:ilvl w:val="0"/>
          <w:numId w:val="4"/>
        </w:numPr>
        <w:tabs>
          <w:tab w:val="left" w:pos="720"/>
        </w:tabs>
        <w:ind w:left="0" w:firstLine="0"/>
        <w:jc w:val="both"/>
        <w:rPr>
          <w:rFonts w:ascii="Arial" w:eastAsia="Calibri" w:hAnsi="Arial" w:cs="Arial"/>
        </w:rPr>
      </w:pPr>
      <w:r>
        <w:rPr>
          <w:rFonts w:ascii="Arial" w:eastAsia="Calibri" w:hAnsi="Arial" w:cs="Arial"/>
        </w:rPr>
        <w:t xml:space="preserve">To </w:t>
      </w:r>
      <w:r>
        <w:rPr>
          <w:rFonts w:ascii="Arial" w:eastAsia="Calibri" w:hAnsi="Arial" w:cs="Arial"/>
        </w:rPr>
        <w:t>continue providing services in respect of Web Editor, pending formal incorporation of the function into Secretariat’s organizational structure.</w:t>
      </w:r>
    </w:p>
    <w:p w14:paraId="05B5B85C" w14:textId="77777777" w:rsidR="009823E2" w:rsidRDefault="009823E2" w:rsidP="009823E2">
      <w:pPr>
        <w:pStyle w:val="ListParagraph"/>
        <w:tabs>
          <w:tab w:val="left" w:pos="720"/>
        </w:tabs>
        <w:ind w:left="0"/>
        <w:jc w:val="both"/>
        <w:rPr>
          <w:b/>
        </w:rPr>
      </w:pPr>
    </w:p>
    <w:p w14:paraId="0903CACB" w14:textId="6F1504BB" w:rsidR="005433F5" w:rsidRPr="0009691A" w:rsidRDefault="005433F5" w:rsidP="005433F5">
      <w:pPr>
        <w:pStyle w:val="Heading1"/>
        <w:spacing w:before="0" w:line="240" w:lineRule="auto"/>
        <w:rPr>
          <w:rFonts w:ascii="Arial" w:hAnsi="Arial" w:cs="Arial"/>
          <w:b/>
          <w:sz w:val="22"/>
          <w:szCs w:val="22"/>
        </w:rPr>
      </w:pPr>
      <w:bookmarkStart w:id="40" w:name="_Toc23006807"/>
      <w:r w:rsidRPr="0009691A">
        <w:rPr>
          <w:rFonts w:ascii="Arial" w:hAnsi="Arial" w:cs="Arial"/>
          <w:b/>
          <w:sz w:val="22"/>
          <w:szCs w:val="22"/>
        </w:rPr>
        <w:t xml:space="preserve">PART </w:t>
      </w:r>
      <w:r>
        <w:rPr>
          <w:rFonts w:ascii="Arial" w:hAnsi="Arial" w:cs="Arial"/>
          <w:b/>
          <w:sz w:val="22"/>
          <w:szCs w:val="22"/>
        </w:rPr>
        <w:t>C</w:t>
      </w:r>
      <w:r w:rsidRPr="0009691A">
        <w:rPr>
          <w:rFonts w:ascii="Arial" w:hAnsi="Arial" w:cs="Arial"/>
          <w:b/>
          <w:sz w:val="22"/>
          <w:szCs w:val="22"/>
        </w:rPr>
        <w:t>:</w:t>
      </w:r>
      <w:r w:rsidRPr="0009691A">
        <w:rPr>
          <w:rFonts w:ascii="Arial" w:hAnsi="Arial" w:cs="Arial"/>
          <w:b/>
          <w:sz w:val="22"/>
          <w:szCs w:val="22"/>
        </w:rPr>
        <w:tab/>
      </w:r>
      <w:r>
        <w:rPr>
          <w:rFonts w:ascii="Arial" w:hAnsi="Arial" w:cs="Arial"/>
          <w:b/>
          <w:sz w:val="22"/>
          <w:szCs w:val="22"/>
        </w:rPr>
        <w:t>RISKS AND ASSUMPTIONS</w:t>
      </w:r>
      <w:bookmarkEnd w:id="40"/>
    </w:p>
    <w:p w14:paraId="16C84613" w14:textId="2667B1E0" w:rsidR="00265122" w:rsidRDefault="00265122" w:rsidP="004D4365">
      <w:pPr>
        <w:tabs>
          <w:tab w:val="left" w:pos="1440"/>
        </w:tabs>
        <w:spacing w:after="0" w:line="240" w:lineRule="auto"/>
        <w:contextualSpacing/>
        <w:jc w:val="both"/>
        <w:rPr>
          <w:rFonts w:ascii="Arial" w:eastAsia="Calibri" w:hAnsi="Arial" w:cs="Arial"/>
          <w:color w:val="000000"/>
        </w:rPr>
      </w:pPr>
    </w:p>
    <w:p w14:paraId="4FB6F52A" w14:textId="4CC486AA" w:rsidR="000D37F9" w:rsidRDefault="000D37F9" w:rsidP="000D37F9">
      <w:pPr>
        <w:pStyle w:val="Heading2"/>
        <w:tabs>
          <w:tab w:val="left" w:pos="720"/>
        </w:tabs>
        <w:rPr>
          <w:rFonts w:ascii="Arial" w:eastAsia="Times New Roman" w:hAnsi="Arial" w:cs="Arial"/>
          <w:sz w:val="22"/>
          <w:szCs w:val="22"/>
        </w:rPr>
      </w:pPr>
      <w:bookmarkStart w:id="41" w:name="_Toc23006808"/>
      <w:r>
        <w:rPr>
          <w:rFonts w:ascii="Arial" w:eastAsia="Times New Roman" w:hAnsi="Arial" w:cs="Arial"/>
          <w:sz w:val="22"/>
          <w:szCs w:val="22"/>
        </w:rPr>
        <w:t>C1:</w:t>
      </w:r>
      <w:r>
        <w:rPr>
          <w:rFonts w:ascii="Arial" w:eastAsia="Times New Roman" w:hAnsi="Arial" w:cs="Arial"/>
          <w:sz w:val="22"/>
          <w:szCs w:val="22"/>
        </w:rPr>
        <w:tab/>
      </w:r>
      <w:r w:rsidR="006C0BB1">
        <w:rPr>
          <w:rFonts w:ascii="Arial" w:eastAsia="Times New Roman" w:hAnsi="Arial" w:cs="Arial"/>
          <w:sz w:val="22"/>
          <w:szCs w:val="22"/>
        </w:rPr>
        <w:t>Risks and assumptions</w:t>
      </w:r>
      <w:bookmarkEnd w:id="41"/>
    </w:p>
    <w:p w14:paraId="4DD795C0" w14:textId="61DAA613" w:rsidR="006C0BB1" w:rsidRDefault="006C0BB1" w:rsidP="00552CA2">
      <w:pPr>
        <w:pStyle w:val="ListParagraph"/>
        <w:numPr>
          <w:ilvl w:val="0"/>
          <w:numId w:val="4"/>
        </w:numPr>
        <w:tabs>
          <w:tab w:val="left" w:pos="720"/>
        </w:tabs>
        <w:ind w:left="0" w:firstLine="0"/>
        <w:jc w:val="both"/>
        <w:rPr>
          <w:rFonts w:ascii="Arial" w:eastAsia="Calibri" w:hAnsi="Arial" w:cs="Arial"/>
          <w:color w:val="000000"/>
        </w:rPr>
      </w:pPr>
      <w:r>
        <w:rPr>
          <w:rFonts w:ascii="Arial" w:eastAsia="Calibri" w:hAnsi="Arial" w:cs="Arial"/>
          <w:color w:val="000000"/>
        </w:rPr>
        <w:t>COMESA work programme is owned by its Member States, whose full participation is required by the Treaty, as well as a number of programmes and instruments. The outputs provided for in the proposed 2020 Budget can only be achieved, based on this participation of Member States from all sectors. Measures should be adopted and implemented to urge full participation of Member States.</w:t>
      </w:r>
    </w:p>
    <w:p w14:paraId="331A03E0" w14:textId="77777777" w:rsidR="006C0BB1" w:rsidRDefault="006C0BB1" w:rsidP="006C0BB1">
      <w:pPr>
        <w:pStyle w:val="ListParagraph"/>
        <w:tabs>
          <w:tab w:val="left" w:pos="720"/>
        </w:tabs>
        <w:ind w:left="0"/>
        <w:jc w:val="both"/>
        <w:rPr>
          <w:rFonts w:ascii="Arial" w:eastAsia="Calibri" w:hAnsi="Arial" w:cs="Arial"/>
          <w:color w:val="000000"/>
        </w:rPr>
      </w:pPr>
    </w:p>
    <w:p w14:paraId="3BAA6934" w14:textId="3DC4D83C" w:rsidR="006C0BB1" w:rsidRDefault="006C0BB1" w:rsidP="00552CA2">
      <w:pPr>
        <w:pStyle w:val="ListParagraph"/>
        <w:numPr>
          <w:ilvl w:val="0"/>
          <w:numId w:val="4"/>
        </w:numPr>
        <w:tabs>
          <w:tab w:val="left" w:pos="720"/>
        </w:tabs>
        <w:ind w:left="0" w:firstLine="0"/>
        <w:jc w:val="both"/>
        <w:rPr>
          <w:rFonts w:ascii="Arial" w:eastAsia="Calibri" w:hAnsi="Arial" w:cs="Arial"/>
          <w:color w:val="000000"/>
        </w:rPr>
      </w:pPr>
      <w:r>
        <w:rPr>
          <w:rFonts w:ascii="Arial" w:eastAsia="Calibri" w:hAnsi="Arial" w:cs="Arial"/>
          <w:color w:val="000000"/>
        </w:rPr>
        <w:t xml:space="preserve">Notwithstanding existing high levels of dependence on grant funding, Member States are expected to meet their financial obligations. Whilst this is expected, a number of Member States have fallen behind in the remittance of assessed annual Member States contributions. Measures should be adopted and implemented to urge compliance by Member States of their financial obligations to COMESA. </w:t>
      </w:r>
    </w:p>
    <w:p w14:paraId="12F6EF47" w14:textId="7E4C9F64" w:rsidR="006C0BB1" w:rsidRDefault="006C0BB1" w:rsidP="006C0BB1">
      <w:pPr>
        <w:pStyle w:val="ListParagraph"/>
        <w:tabs>
          <w:tab w:val="left" w:pos="720"/>
        </w:tabs>
        <w:ind w:left="0"/>
        <w:jc w:val="both"/>
        <w:rPr>
          <w:rFonts w:ascii="Arial" w:eastAsia="Calibri" w:hAnsi="Arial" w:cs="Arial"/>
          <w:color w:val="000000"/>
        </w:rPr>
      </w:pPr>
    </w:p>
    <w:p w14:paraId="7795FDB5" w14:textId="27D6EEF3" w:rsidR="006C0BB1" w:rsidRDefault="006C0BB1" w:rsidP="00552CA2">
      <w:pPr>
        <w:pStyle w:val="ListParagraph"/>
        <w:numPr>
          <w:ilvl w:val="0"/>
          <w:numId w:val="4"/>
        </w:numPr>
        <w:tabs>
          <w:tab w:val="left" w:pos="720"/>
        </w:tabs>
        <w:ind w:left="0" w:firstLine="0"/>
        <w:jc w:val="both"/>
        <w:rPr>
          <w:rFonts w:ascii="Arial" w:eastAsia="Calibri" w:hAnsi="Arial" w:cs="Arial"/>
          <w:color w:val="000000"/>
        </w:rPr>
      </w:pPr>
      <w:r>
        <w:rPr>
          <w:rFonts w:ascii="Arial" w:eastAsia="Calibri" w:hAnsi="Arial" w:cs="Arial"/>
          <w:color w:val="000000"/>
        </w:rPr>
        <w:t>It is expected that 2020 will see the finalization of instruments, which will strengthen assurances to the satisfaction of Member States and Cooperating Partners, alike. Any challenge in addressing this objective will immediately impact on flow of resources to COMESA.</w:t>
      </w:r>
    </w:p>
    <w:p w14:paraId="5C8BBB1C" w14:textId="4E2220A5" w:rsidR="006C0BB1" w:rsidRDefault="006C0BB1" w:rsidP="006C0BB1">
      <w:pPr>
        <w:pStyle w:val="ListParagraph"/>
        <w:tabs>
          <w:tab w:val="left" w:pos="720"/>
        </w:tabs>
        <w:ind w:left="0"/>
        <w:jc w:val="both"/>
        <w:rPr>
          <w:rFonts w:ascii="Arial" w:eastAsia="Calibri" w:hAnsi="Arial" w:cs="Arial"/>
          <w:color w:val="000000"/>
        </w:rPr>
      </w:pPr>
    </w:p>
    <w:p w14:paraId="793EAC99" w14:textId="20A24C90" w:rsidR="006C0BB1" w:rsidRDefault="006C0BB1" w:rsidP="00552CA2">
      <w:pPr>
        <w:pStyle w:val="ListParagraph"/>
        <w:numPr>
          <w:ilvl w:val="0"/>
          <w:numId w:val="4"/>
        </w:numPr>
        <w:tabs>
          <w:tab w:val="left" w:pos="720"/>
        </w:tabs>
        <w:ind w:left="0" w:firstLine="0"/>
        <w:jc w:val="both"/>
        <w:rPr>
          <w:rFonts w:ascii="Arial" w:eastAsia="Calibri" w:hAnsi="Arial" w:cs="Arial"/>
          <w:color w:val="000000"/>
        </w:rPr>
      </w:pPr>
      <w:r>
        <w:rPr>
          <w:rFonts w:ascii="Arial" w:eastAsia="Calibri" w:hAnsi="Arial" w:cs="Arial"/>
          <w:color w:val="000000"/>
        </w:rPr>
        <w:t>The 2020</w:t>
      </w:r>
      <w:r w:rsidR="00F13CB1">
        <w:rPr>
          <w:rFonts w:ascii="Arial" w:eastAsia="Calibri" w:hAnsi="Arial" w:cs="Arial"/>
          <w:color w:val="000000"/>
        </w:rPr>
        <w:t xml:space="preserve">-2023 </w:t>
      </w:r>
      <w:r>
        <w:rPr>
          <w:rFonts w:ascii="Arial" w:eastAsia="Calibri" w:hAnsi="Arial" w:cs="Arial"/>
          <w:color w:val="000000"/>
        </w:rPr>
        <w:t xml:space="preserve">prospects are increasingly looking positive, as EU and USAID have partnered with COMESA to </w:t>
      </w:r>
      <w:r w:rsidR="00656909">
        <w:rPr>
          <w:rFonts w:ascii="Arial" w:eastAsia="Calibri" w:hAnsi="Arial" w:cs="Arial"/>
          <w:color w:val="000000"/>
        </w:rPr>
        <w:t>implement measures aimed at strengthening capacity of Secretariat to deliver on its mandate. Focus of these measures is to ensure COMESA rules and procedures provide protection to resources comparable to what is required under relevant rules and procedures at the EU and USAID. Accordingly, interventions are planned in the following areas: -</w:t>
      </w:r>
    </w:p>
    <w:p w14:paraId="5AD99A0D" w14:textId="3BEA050D" w:rsidR="00656909" w:rsidRDefault="00656909" w:rsidP="00656909">
      <w:pPr>
        <w:pStyle w:val="ListParagraph"/>
        <w:rPr>
          <w:rFonts w:ascii="Arial" w:eastAsia="Calibri" w:hAnsi="Arial" w:cs="Arial"/>
          <w:color w:val="000000"/>
        </w:rPr>
      </w:pPr>
    </w:p>
    <w:p w14:paraId="616607CA" w14:textId="77777777" w:rsidR="00F13CB1" w:rsidRDefault="00F13CB1" w:rsidP="00552CA2">
      <w:pPr>
        <w:pStyle w:val="ListParagraph"/>
        <w:numPr>
          <w:ilvl w:val="0"/>
          <w:numId w:val="21"/>
        </w:numPr>
        <w:tabs>
          <w:tab w:val="left" w:pos="720"/>
        </w:tabs>
        <w:jc w:val="both"/>
        <w:rPr>
          <w:rFonts w:ascii="Arial" w:eastAsia="Calibri" w:hAnsi="Arial" w:cs="Arial"/>
          <w:color w:val="000000"/>
        </w:rPr>
      </w:pPr>
      <w:r w:rsidRPr="00F13CB1">
        <w:rPr>
          <w:rFonts w:ascii="Arial" w:eastAsia="Calibri" w:hAnsi="Arial" w:cs="Arial"/>
          <w:color w:val="000000"/>
        </w:rPr>
        <w:t>Output 1. Improved Monitoring and Evaluation capacities for implementation of regional commitments and regional and at national level, including in terms of climate change and gender mainstreaming.</w:t>
      </w:r>
    </w:p>
    <w:p w14:paraId="14B4F484" w14:textId="77777777" w:rsidR="00F13CB1" w:rsidRDefault="00F13CB1" w:rsidP="00F13CB1">
      <w:pPr>
        <w:pStyle w:val="ListParagraph"/>
        <w:tabs>
          <w:tab w:val="left" w:pos="720"/>
        </w:tabs>
        <w:jc w:val="both"/>
        <w:rPr>
          <w:rFonts w:ascii="Arial" w:eastAsia="Calibri" w:hAnsi="Arial" w:cs="Arial"/>
          <w:color w:val="000000"/>
        </w:rPr>
      </w:pPr>
    </w:p>
    <w:p w14:paraId="33DAEEF2" w14:textId="18F1F0F0" w:rsidR="00F13CB1" w:rsidRDefault="00F13CB1" w:rsidP="00552CA2">
      <w:pPr>
        <w:pStyle w:val="ListParagraph"/>
        <w:numPr>
          <w:ilvl w:val="0"/>
          <w:numId w:val="21"/>
        </w:numPr>
        <w:tabs>
          <w:tab w:val="left" w:pos="720"/>
        </w:tabs>
        <w:jc w:val="both"/>
        <w:rPr>
          <w:rFonts w:ascii="Arial" w:eastAsia="Calibri" w:hAnsi="Arial" w:cs="Arial"/>
          <w:color w:val="000000"/>
        </w:rPr>
      </w:pPr>
      <w:r w:rsidRPr="00F13CB1">
        <w:rPr>
          <w:rFonts w:ascii="Arial" w:eastAsia="Calibri" w:hAnsi="Arial" w:cs="Arial"/>
          <w:color w:val="000000"/>
        </w:rPr>
        <w:lastRenderedPageBreak/>
        <w:t>Output 2 Improved COMESA financial and audit processes in line with international standards and with the recommendations resulting from the 9-Pillar assessment.</w:t>
      </w:r>
    </w:p>
    <w:p w14:paraId="01F38E30" w14:textId="77777777" w:rsidR="00F13CB1" w:rsidRDefault="00F13CB1" w:rsidP="00552CA2">
      <w:pPr>
        <w:pStyle w:val="ListParagraph"/>
        <w:numPr>
          <w:ilvl w:val="0"/>
          <w:numId w:val="21"/>
        </w:numPr>
        <w:tabs>
          <w:tab w:val="left" w:pos="720"/>
        </w:tabs>
        <w:jc w:val="both"/>
        <w:rPr>
          <w:rFonts w:ascii="Arial" w:eastAsia="Calibri" w:hAnsi="Arial" w:cs="Arial"/>
          <w:color w:val="000000"/>
        </w:rPr>
      </w:pPr>
      <w:r w:rsidRPr="00F13CB1">
        <w:rPr>
          <w:rFonts w:ascii="Arial" w:eastAsia="Calibri" w:hAnsi="Arial" w:cs="Arial"/>
          <w:color w:val="000000"/>
        </w:rPr>
        <w:t>Output 3 Strengthened ability to produce and disseminate regional statistics in line with the COMESA Statistics Strategy ensuring harmonisation and gender responsiveness.</w:t>
      </w:r>
    </w:p>
    <w:p w14:paraId="31A819C9" w14:textId="77777777" w:rsidR="00F13CB1" w:rsidRDefault="00F13CB1" w:rsidP="00F13CB1">
      <w:pPr>
        <w:pStyle w:val="ListParagraph"/>
        <w:tabs>
          <w:tab w:val="left" w:pos="720"/>
        </w:tabs>
        <w:jc w:val="both"/>
        <w:rPr>
          <w:rFonts w:ascii="Arial" w:eastAsia="Calibri" w:hAnsi="Arial" w:cs="Arial"/>
          <w:color w:val="000000"/>
        </w:rPr>
      </w:pPr>
    </w:p>
    <w:p w14:paraId="0CE1F0D9" w14:textId="77A28A7F" w:rsidR="00656909" w:rsidRPr="00F13CB1" w:rsidRDefault="00F13CB1" w:rsidP="00552CA2">
      <w:pPr>
        <w:pStyle w:val="ListParagraph"/>
        <w:numPr>
          <w:ilvl w:val="0"/>
          <w:numId w:val="21"/>
        </w:numPr>
        <w:tabs>
          <w:tab w:val="left" w:pos="720"/>
        </w:tabs>
        <w:jc w:val="both"/>
        <w:rPr>
          <w:rFonts w:ascii="Arial" w:eastAsia="Calibri" w:hAnsi="Arial" w:cs="Arial"/>
          <w:color w:val="000000"/>
        </w:rPr>
      </w:pPr>
      <w:r w:rsidRPr="00F13CB1">
        <w:rPr>
          <w:rFonts w:ascii="Arial" w:eastAsia="Calibri" w:hAnsi="Arial" w:cs="Arial"/>
          <w:color w:val="000000"/>
        </w:rPr>
        <w:t>Output 4. Strengthened partnership, dialogue and communication on COMESA regional integration policies with Member States, key public and private stakeholders as well as with the EU and its Member States.</w:t>
      </w:r>
    </w:p>
    <w:p w14:paraId="629B5919" w14:textId="77777777" w:rsidR="006C0BB1" w:rsidRPr="006C0BB1" w:rsidRDefault="006C0BB1" w:rsidP="006C0BB1">
      <w:pPr>
        <w:pStyle w:val="ListParagraph"/>
        <w:rPr>
          <w:rFonts w:ascii="Arial" w:eastAsia="Calibri" w:hAnsi="Arial" w:cs="Arial"/>
          <w:color w:val="000000"/>
        </w:rPr>
      </w:pPr>
    </w:p>
    <w:p w14:paraId="616D2158" w14:textId="55FA14F4" w:rsidR="006A752A" w:rsidRPr="0009691A" w:rsidRDefault="006A752A" w:rsidP="006A752A">
      <w:pPr>
        <w:pStyle w:val="Heading1"/>
        <w:spacing w:before="0" w:line="240" w:lineRule="auto"/>
        <w:rPr>
          <w:rFonts w:ascii="Arial" w:hAnsi="Arial" w:cs="Arial"/>
          <w:b/>
          <w:sz w:val="22"/>
          <w:szCs w:val="22"/>
        </w:rPr>
      </w:pPr>
      <w:bookmarkStart w:id="42" w:name="_Toc23006809"/>
      <w:r w:rsidRPr="0009691A">
        <w:rPr>
          <w:rFonts w:ascii="Arial" w:hAnsi="Arial" w:cs="Arial"/>
          <w:b/>
          <w:sz w:val="22"/>
          <w:szCs w:val="22"/>
        </w:rPr>
        <w:t xml:space="preserve">PART </w:t>
      </w:r>
      <w:r w:rsidR="005433F5">
        <w:rPr>
          <w:rFonts w:ascii="Arial" w:hAnsi="Arial" w:cs="Arial"/>
          <w:b/>
          <w:sz w:val="22"/>
          <w:szCs w:val="22"/>
        </w:rPr>
        <w:t>D</w:t>
      </w:r>
      <w:r w:rsidRPr="0009691A">
        <w:rPr>
          <w:rFonts w:ascii="Arial" w:hAnsi="Arial" w:cs="Arial"/>
          <w:b/>
          <w:sz w:val="22"/>
          <w:szCs w:val="22"/>
        </w:rPr>
        <w:t>:</w:t>
      </w:r>
      <w:r w:rsidRPr="0009691A">
        <w:rPr>
          <w:rFonts w:ascii="Arial" w:hAnsi="Arial" w:cs="Arial"/>
          <w:b/>
          <w:sz w:val="22"/>
          <w:szCs w:val="22"/>
        </w:rPr>
        <w:tab/>
      </w:r>
      <w:r w:rsidR="009031F6">
        <w:rPr>
          <w:rFonts w:ascii="Arial" w:hAnsi="Arial" w:cs="Arial"/>
          <w:b/>
          <w:sz w:val="22"/>
          <w:szCs w:val="22"/>
        </w:rPr>
        <w:t>RECOMMENDATIONS TO COMESA POLICY ORGANS</w:t>
      </w:r>
      <w:bookmarkEnd w:id="42"/>
      <w:r w:rsidR="009031F6">
        <w:rPr>
          <w:rFonts w:ascii="Arial" w:hAnsi="Arial" w:cs="Arial"/>
          <w:b/>
          <w:sz w:val="22"/>
          <w:szCs w:val="22"/>
        </w:rPr>
        <w:t xml:space="preserve"> </w:t>
      </w:r>
    </w:p>
    <w:p w14:paraId="32A50E27" w14:textId="156BA86D" w:rsidR="0073533F" w:rsidRPr="00054004" w:rsidRDefault="009031F6" w:rsidP="00552CA2">
      <w:pPr>
        <w:pStyle w:val="ListParagraph"/>
        <w:numPr>
          <w:ilvl w:val="0"/>
          <w:numId w:val="4"/>
        </w:numPr>
        <w:tabs>
          <w:tab w:val="left" w:pos="720"/>
        </w:tabs>
        <w:ind w:left="0" w:firstLine="0"/>
        <w:jc w:val="both"/>
        <w:rPr>
          <w:rFonts w:ascii="Arial" w:eastAsia="Calibri" w:hAnsi="Arial" w:cs="Arial"/>
          <w:b/>
          <w:i/>
          <w:color w:val="000000"/>
        </w:rPr>
      </w:pPr>
      <w:r w:rsidRPr="00054004">
        <w:rPr>
          <w:rFonts w:ascii="Arial" w:eastAsia="Calibri" w:hAnsi="Arial" w:cs="Arial"/>
          <w:b/>
          <w:i/>
          <w:color w:val="000000"/>
        </w:rPr>
        <w:t>Sub Committee on Audit and Budgetary matters is invited to recommend approval of 2020 Budget of COMESA Secretariat of US$57,055,060 (2019</w:t>
      </w:r>
      <w:r w:rsidR="007F22C0" w:rsidRPr="00054004">
        <w:rPr>
          <w:rFonts w:ascii="Arial" w:eastAsia="Calibri" w:hAnsi="Arial" w:cs="Arial"/>
          <w:b/>
          <w:i/>
          <w:color w:val="000000"/>
        </w:rPr>
        <w:t xml:space="preserve"> Revised Budget</w:t>
      </w:r>
      <w:r w:rsidRPr="00054004">
        <w:rPr>
          <w:rFonts w:ascii="Arial" w:eastAsia="Calibri" w:hAnsi="Arial" w:cs="Arial"/>
          <w:b/>
          <w:i/>
          <w:color w:val="000000"/>
        </w:rPr>
        <w:t>: US$</w:t>
      </w:r>
      <w:r w:rsidR="007F22C0" w:rsidRPr="00054004">
        <w:rPr>
          <w:rFonts w:ascii="Arial" w:eastAsia="Calibri" w:hAnsi="Arial" w:cs="Arial"/>
          <w:b/>
          <w:i/>
          <w:color w:val="000000"/>
        </w:rPr>
        <w:t xml:space="preserve">68,493,144) </w:t>
      </w:r>
      <w:r w:rsidRPr="00054004">
        <w:rPr>
          <w:rFonts w:ascii="Arial" w:eastAsia="Calibri" w:hAnsi="Arial" w:cs="Arial"/>
          <w:b/>
          <w:i/>
          <w:color w:val="000000"/>
        </w:rPr>
        <w:t>to be funded through: -</w:t>
      </w:r>
    </w:p>
    <w:p w14:paraId="4637E8C0" w14:textId="69E8F73F" w:rsidR="009031F6" w:rsidRPr="00054004" w:rsidRDefault="009031F6" w:rsidP="009031F6">
      <w:pPr>
        <w:pStyle w:val="ListParagraph"/>
        <w:tabs>
          <w:tab w:val="left" w:pos="720"/>
        </w:tabs>
        <w:ind w:left="0"/>
        <w:jc w:val="both"/>
        <w:rPr>
          <w:rFonts w:ascii="Arial" w:eastAsia="Calibri" w:hAnsi="Arial" w:cs="Arial"/>
          <w:b/>
          <w:i/>
          <w:color w:val="000000"/>
        </w:rPr>
      </w:pPr>
    </w:p>
    <w:p w14:paraId="29622280" w14:textId="7AC4EFF6" w:rsidR="009031F6" w:rsidRPr="00054004" w:rsidRDefault="009031F6" w:rsidP="00552CA2">
      <w:pPr>
        <w:pStyle w:val="ListParagraph"/>
        <w:numPr>
          <w:ilvl w:val="0"/>
          <w:numId w:val="27"/>
        </w:numPr>
        <w:tabs>
          <w:tab w:val="left" w:pos="720"/>
        </w:tabs>
        <w:jc w:val="both"/>
        <w:rPr>
          <w:rFonts w:ascii="Arial" w:eastAsia="Calibri" w:hAnsi="Arial" w:cs="Arial"/>
          <w:b/>
          <w:i/>
          <w:color w:val="000000"/>
        </w:rPr>
      </w:pPr>
      <w:r w:rsidRPr="00054004">
        <w:rPr>
          <w:rFonts w:ascii="Arial" w:eastAsia="Calibri" w:hAnsi="Arial" w:cs="Arial"/>
          <w:b/>
          <w:i/>
          <w:color w:val="000000"/>
        </w:rPr>
        <w:t>Assessed annual Member States contributions</w:t>
      </w:r>
      <w:r w:rsidR="007F22C0" w:rsidRPr="00054004">
        <w:rPr>
          <w:rFonts w:ascii="Arial" w:eastAsia="Calibri" w:hAnsi="Arial" w:cs="Arial"/>
          <w:b/>
          <w:i/>
          <w:color w:val="000000"/>
        </w:rPr>
        <w:t xml:space="preserve"> of US$15,840,117 (2019: US$15,205,698)</w:t>
      </w:r>
      <w:r w:rsidR="008C6F12">
        <w:rPr>
          <w:rFonts w:ascii="Arial" w:eastAsia="Calibri" w:hAnsi="Arial" w:cs="Arial"/>
          <w:b/>
          <w:i/>
          <w:color w:val="000000"/>
        </w:rPr>
        <w:t>, with amount</w:t>
      </w:r>
      <w:r w:rsidR="00A74043">
        <w:rPr>
          <w:rFonts w:ascii="Arial" w:eastAsia="Calibri" w:hAnsi="Arial" w:cs="Arial"/>
          <w:b/>
          <w:i/>
          <w:color w:val="000000"/>
        </w:rPr>
        <w:t xml:space="preserve"> due from Somalia to be pro-rated from the date instrument of ratification is deposited with the Secretariat.</w:t>
      </w:r>
    </w:p>
    <w:p w14:paraId="15E9484A" w14:textId="77777777" w:rsidR="007F22C0" w:rsidRPr="00054004" w:rsidRDefault="007F22C0" w:rsidP="007F22C0">
      <w:pPr>
        <w:pStyle w:val="ListParagraph"/>
        <w:tabs>
          <w:tab w:val="left" w:pos="720"/>
        </w:tabs>
        <w:ind w:left="1440"/>
        <w:jc w:val="both"/>
        <w:rPr>
          <w:rFonts w:ascii="Arial" w:eastAsia="Calibri" w:hAnsi="Arial" w:cs="Arial"/>
          <w:b/>
          <w:i/>
          <w:color w:val="000000"/>
        </w:rPr>
      </w:pPr>
    </w:p>
    <w:p w14:paraId="7195065E" w14:textId="5B576D14" w:rsidR="007F22C0" w:rsidRPr="00054004" w:rsidRDefault="009031F6" w:rsidP="00552CA2">
      <w:pPr>
        <w:pStyle w:val="ListParagraph"/>
        <w:numPr>
          <w:ilvl w:val="0"/>
          <w:numId w:val="27"/>
        </w:numPr>
        <w:tabs>
          <w:tab w:val="left" w:pos="720"/>
        </w:tabs>
        <w:jc w:val="both"/>
        <w:rPr>
          <w:rFonts w:ascii="Arial" w:eastAsia="Calibri" w:hAnsi="Arial" w:cs="Arial"/>
          <w:b/>
          <w:i/>
          <w:color w:val="000000"/>
        </w:rPr>
      </w:pPr>
      <w:r w:rsidRPr="00054004">
        <w:rPr>
          <w:rFonts w:ascii="Arial" w:eastAsia="Calibri" w:hAnsi="Arial" w:cs="Arial"/>
          <w:b/>
          <w:i/>
          <w:color w:val="000000"/>
        </w:rPr>
        <w:t xml:space="preserve">Grant contributions </w:t>
      </w:r>
      <w:r w:rsidR="007F22C0" w:rsidRPr="00054004">
        <w:rPr>
          <w:rFonts w:ascii="Arial" w:eastAsia="Calibri" w:hAnsi="Arial" w:cs="Arial"/>
          <w:b/>
          <w:i/>
          <w:color w:val="000000"/>
        </w:rPr>
        <w:t>of US$41,214,943  (2019: US$52,890,617).</w:t>
      </w:r>
    </w:p>
    <w:p w14:paraId="629EAB07" w14:textId="77777777" w:rsidR="007F22C0" w:rsidRPr="00054004" w:rsidRDefault="007F22C0" w:rsidP="007F22C0">
      <w:pPr>
        <w:pStyle w:val="ListParagraph"/>
        <w:rPr>
          <w:rFonts w:ascii="Arial" w:eastAsia="Calibri" w:hAnsi="Arial" w:cs="Arial"/>
          <w:b/>
          <w:i/>
          <w:color w:val="000000"/>
        </w:rPr>
      </w:pPr>
    </w:p>
    <w:p w14:paraId="44008297" w14:textId="7F28F131" w:rsidR="007F22C0" w:rsidRPr="00054004" w:rsidRDefault="007F22C0" w:rsidP="00552CA2">
      <w:pPr>
        <w:pStyle w:val="ListParagraph"/>
        <w:numPr>
          <w:ilvl w:val="0"/>
          <w:numId w:val="4"/>
        </w:numPr>
        <w:tabs>
          <w:tab w:val="left" w:pos="720"/>
        </w:tabs>
        <w:ind w:left="0" w:firstLine="0"/>
        <w:jc w:val="both"/>
        <w:rPr>
          <w:rFonts w:ascii="Arial" w:eastAsia="Calibri" w:hAnsi="Arial" w:cs="Arial"/>
          <w:b/>
          <w:i/>
          <w:color w:val="000000"/>
        </w:rPr>
      </w:pPr>
      <w:r w:rsidRPr="00054004">
        <w:rPr>
          <w:rFonts w:ascii="Arial" w:eastAsia="Calibri" w:hAnsi="Arial" w:cs="Arial"/>
          <w:b/>
          <w:i/>
          <w:color w:val="000000"/>
        </w:rPr>
        <w:t>Sub Committee on Audit and Budgetary matters is also invited to recommend the following distribution of assessed annual Member States contributions: -</w:t>
      </w:r>
    </w:p>
    <w:p w14:paraId="60B9DD49" w14:textId="556B165B" w:rsidR="007F22C0" w:rsidRPr="00054004" w:rsidRDefault="007F22C0" w:rsidP="007F22C0">
      <w:pPr>
        <w:pStyle w:val="ListParagraph"/>
        <w:tabs>
          <w:tab w:val="left" w:pos="720"/>
        </w:tabs>
        <w:ind w:left="0"/>
        <w:jc w:val="both"/>
        <w:rPr>
          <w:rFonts w:ascii="Arial" w:eastAsia="Calibri" w:hAnsi="Arial" w:cs="Arial"/>
          <w:b/>
          <w:i/>
          <w:color w:val="000000"/>
        </w:rPr>
      </w:pPr>
    </w:p>
    <w:p w14:paraId="08457CED" w14:textId="4DC1D579" w:rsidR="007F22C0" w:rsidRPr="00054004" w:rsidRDefault="007F22C0" w:rsidP="007F22C0">
      <w:pPr>
        <w:pStyle w:val="ListParagraph"/>
        <w:tabs>
          <w:tab w:val="left" w:pos="720"/>
        </w:tabs>
        <w:jc w:val="both"/>
        <w:rPr>
          <w:rFonts w:ascii="Arial" w:eastAsia="Calibri" w:hAnsi="Arial" w:cs="Arial"/>
          <w:b/>
          <w:i/>
          <w:color w:val="000000"/>
        </w:rPr>
      </w:pPr>
      <w:r w:rsidRPr="00054004">
        <w:rPr>
          <w:rFonts w:ascii="Arial" w:eastAsia="Calibri" w:hAnsi="Arial" w:cs="Arial"/>
          <w:b/>
          <w:i/>
          <w:color w:val="000000"/>
        </w:rPr>
        <w:object w:dxaOrig="6244" w:dyaOrig="8350" w14:anchorId="20275861">
          <v:shape id="_x0000_i1031" type="#_x0000_t75" style="width:312.75pt;height:417.75pt" o:ole="">
            <v:imagedata r:id="rId30" o:title=""/>
          </v:shape>
          <o:OLEObject Type="Embed" ProgID="Excel.Sheet.12" ShapeID="_x0000_i1031" DrawAspect="Content" ObjectID="_1633623878" r:id="rId31"/>
        </w:object>
      </w:r>
    </w:p>
    <w:p w14:paraId="14DD98B1" w14:textId="77777777" w:rsidR="009823E2" w:rsidRDefault="009823E2" w:rsidP="009823E2">
      <w:pPr>
        <w:pStyle w:val="ListParagraph"/>
        <w:tabs>
          <w:tab w:val="left" w:pos="720"/>
        </w:tabs>
        <w:ind w:left="0"/>
        <w:jc w:val="both"/>
        <w:rPr>
          <w:rFonts w:ascii="Arial" w:eastAsia="Calibri" w:hAnsi="Arial" w:cs="Arial"/>
          <w:b/>
          <w:i/>
          <w:color w:val="000000"/>
        </w:rPr>
      </w:pPr>
    </w:p>
    <w:p w14:paraId="61F1640E" w14:textId="2E5BDA97" w:rsidR="007F22C0" w:rsidRPr="00054004" w:rsidRDefault="007F22C0" w:rsidP="00552CA2">
      <w:pPr>
        <w:pStyle w:val="ListParagraph"/>
        <w:numPr>
          <w:ilvl w:val="0"/>
          <w:numId w:val="4"/>
        </w:numPr>
        <w:tabs>
          <w:tab w:val="left" w:pos="720"/>
        </w:tabs>
        <w:ind w:left="0" w:firstLine="0"/>
        <w:jc w:val="both"/>
        <w:rPr>
          <w:rFonts w:ascii="Arial" w:eastAsia="Calibri" w:hAnsi="Arial" w:cs="Arial"/>
          <w:b/>
          <w:i/>
          <w:color w:val="000000"/>
        </w:rPr>
      </w:pPr>
      <w:bookmarkStart w:id="43" w:name="_GoBack"/>
      <w:r w:rsidRPr="00054004">
        <w:rPr>
          <w:rFonts w:ascii="Arial" w:eastAsia="Calibri" w:hAnsi="Arial" w:cs="Arial"/>
          <w:b/>
          <w:i/>
          <w:color w:val="000000"/>
        </w:rPr>
        <w:t>Sub Committee on Audit and Budgetary matters is further invited to recommend the absorption of staffing under Governance, Peace and Security, pending finalization of COMESA Secretariat organizational structure, as follows: -</w:t>
      </w:r>
    </w:p>
    <w:p w14:paraId="5926DF5A" w14:textId="43537303" w:rsidR="007F22C0" w:rsidRPr="00054004" w:rsidRDefault="007F22C0" w:rsidP="007F22C0">
      <w:pPr>
        <w:pStyle w:val="ListParagraph"/>
        <w:tabs>
          <w:tab w:val="left" w:pos="720"/>
        </w:tabs>
        <w:ind w:left="0"/>
        <w:jc w:val="both"/>
        <w:rPr>
          <w:rFonts w:ascii="Arial" w:eastAsia="Calibri" w:hAnsi="Arial" w:cs="Arial"/>
          <w:b/>
          <w:i/>
          <w:color w:val="000000"/>
        </w:rPr>
      </w:pPr>
    </w:p>
    <w:p w14:paraId="464D204E" w14:textId="11EF56EE" w:rsidR="007F22C0" w:rsidRDefault="007F22C0" w:rsidP="008C6F12">
      <w:pPr>
        <w:pStyle w:val="ListParagraph"/>
        <w:numPr>
          <w:ilvl w:val="0"/>
          <w:numId w:val="28"/>
        </w:numPr>
        <w:jc w:val="both"/>
        <w:rPr>
          <w:rFonts w:ascii="Arial" w:eastAsia="Calibri" w:hAnsi="Arial" w:cs="Arial"/>
          <w:b/>
          <w:i/>
          <w:color w:val="000000"/>
        </w:rPr>
      </w:pPr>
      <w:r w:rsidRPr="00054004">
        <w:rPr>
          <w:rFonts w:ascii="Arial" w:eastAsia="Calibri" w:hAnsi="Arial" w:cs="Arial"/>
          <w:b/>
          <w:i/>
          <w:color w:val="000000"/>
        </w:rPr>
        <w:t>1x Head of Governance Unit; 2x Analysts; 1x Finance Officer; and 1x AU Liaison Officer)</w:t>
      </w:r>
      <w:r w:rsidR="0091344E" w:rsidRPr="00054004">
        <w:rPr>
          <w:rFonts w:ascii="Arial" w:eastAsia="Calibri" w:hAnsi="Arial" w:cs="Arial"/>
          <w:b/>
          <w:i/>
          <w:color w:val="000000"/>
        </w:rPr>
        <w:t xml:space="preserve"> to ensure COMESA’s access to APSA programmes</w:t>
      </w:r>
      <w:r w:rsidR="00A74043">
        <w:rPr>
          <w:rFonts w:ascii="Arial" w:eastAsia="Calibri" w:hAnsi="Arial" w:cs="Arial"/>
          <w:b/>
          <w:i/>
          <w:color w:val="000000"/>
        </w:rPr>
        <w:t>, within the context of AU-COMESA cooperation.</w:t>
      </w:r>
    </w:p>
    <w:p w14:paraId="56A501C4" w14:textId="77777777" w:rsidR="008C6F12" w:rsidRDefault="008C6F12" w:rsidP="008C6F12">
      <w:pPr>
        <w:pStyle w:val="ListParagraph"/>
        <w:ind w:left="1440"/>
        <w:jc w:val="both"/>
        <w:rPr>
          <w:rFonts w:ascii="Arial" w:eastAsia="Calibri" w:hAnsi="Arial" w:cs="Arial"/>
          <w:b/>
          <w:i/>
          <w:color w:val="000000"/>
        </w:rPr>
      </w:pPr>
    </w:p>
    <w:p w14:paraId="2761B3DB" w14:textId="631EC441" w:rsidR="008C6F12" w:rsidRDefault="008C6F12" w:rsidP="008C6F12">
      <w:pPr>
        <w:pStyle w:val="ListParagraph"/>
        <w:numPr>
          <w:ilvl w:val="0"/>
          <w:numId w:val="28"/>
        </w:numPr>
        <w:jc w:val="both"/>
        <w:rPr>
          <w:rFonts w:ascii="Arial" w:eastAsia="Calibri" w:hAnsi="Arial" w:cs="Arial"/>
          <w:b/>
          <w:i/>
          <w:color w:val="000000"/>
        </w:rPr>
      </w:pPr>
      <w:r w:rsidRPr="00054004">
        <w:rPr>
          <w:rFonts w:ascii="Arial" w:eastAsia="Calibri" w:hAnsi="Arial" w:cs="Arial"/>
          <w:b/>
          <w:i/>
          <w:color w:val="000000"/>
        </w:rPr>
        <w:t xml:space="preserve">1x Head of </w:t>
      </w:r>
      <w:r>
        <w:rPr>
          <w:rFonts w:ascii="Arial" w:eastAsia="Calibri" w:hAnsi="Arial" w:cs="Arial"/>
          <w:b/>
          <w:i/>
          <w:color w:val="000000"/>
        </w:rPr>
        <w:t xml:space="preserve">M&amp;E Unit </w:t>
      </w:r>
      <w:r w:rsidR="009823E2">
        <w:rPr>
          <w:rFonts w:ascii="Arial" w:eastAsia="Calibri" w:hAnsi="Arial" w:cs="Arial"/>
          <w:b/>
          <w:i/>
          <w:color w:val="000000"/>
        </w:rPr>
        <w:t xml:space="preserve">(P4) </w:t>
      </w:r>
      <w:r>
        <w:rPr>
          <w:rFonts w:ascii="Arial" w:eastAsia="Calibri" w:hAnsi="Arial" w:cs="Arial"/>
          <w:b/>
          <w:i/>
          <w:color w:val="000000"/>
        </w:rPr>
        <w:t>to coordinate and control all M&amp;E functions</w:t>
      </w:r>
      <w:r w:rsidR="00A74043">
        <w:rPr>
          <w:rFonts w:ascii="Arial" w:eastAsia="Calibri" w:hAnsi="Arial" w:cs="Arial"/>
          <w:b/>
          <w:i/>
          <w:color w:val="000000"/>
        </w:rPr>
        <w:t>.</w:t>
      </w:r>
    </w:p>
    <w:p w14:paraId="2E79EE12" w14:textId="77777777" w:rsidR="00A74043" w:rsidRPr="00A74043" w:rsidRDefault="00A74043" w:rsidP="00A74043">
      <w:pPr>
        <w:pStyle w:val="ListParagraph"/>
        <w:rPr>
          <w:rFonts w:ascii="Arial" w:eastAsia="Calibri" w:hAnsi="Arial" w:cs="Arial"/>
          <w:b/>
          <w:i/>
          <w:color w:val="000000"/>
        </w:rPr>
      </w:pPr>
    </w:p>
    <w:p w14:paraId="51F41DD0" w14:textId="1D080C41" w:rsidR="00A74043" w:rsidRDefault="00A74043" w:rsidP="00A74043">
      <w:pPr>
        <w:pStyle w:val="ListParagraph"/>
        <w:numPr>
          <w:ilvl w:val="0"/>
          <w:numId w:val="28"/>
        </w:numPr>
        <w:jc w:val="both"/>
        <w:rPr>
          <w:rFonts w:ascii="Arial" w:eastAsia="Calibri" w:hAnsi="Arial" w:cs="Arial"/>
          <w:b/>
          <w:i/>
          <w:color w:val="000000"/>
        </w:rPr>
      </w:pPr>
      <w:r w:rsidRPr="00054004">
        <w:rPr>
          <w:rFonts w:ascii="Arial" w:eastAsia="Calibri" w:hAnsi="Arial" w:cs="Arial"/>
          <w:b/>
          <w:i/>
          <w:color w:val="000000"/>
        </w:rPr>
        <w:t xml:space="preserve">1x </w:t>
      </w:r>
      <w:r>
        <w:rPr>
          <w:rFonts w:ascii="Arial" w:eastAsia="Calibri" w:hAnsi="Arial" w:cs="Arial"/>
          <w:b/>
          <w:i/>
          <w:color w:val="000000"/>
        </w:rPr>
        <w:t xml:space="preserve">Web Editor </w:t>
      </w:r>
      <w:r>
        <w:rPr>
          <w:rFonts w:ascii="Arial" w:eastAsia="Calibri" w:hAnsi="Arial" w:cs="Arial"/>
          <w:b/>
          <w:i/>
          <w:color w:val="000000"/>
        </w:rPr>
        <w:t>to coordinate and control all M&amp;E functions</w:t>
      </w:r>
      <w:r>
        <w:rPr>
          <w:rFonts w:ascii="Arial" w:eastAsia="Calibri" w:hAnsi="Arial" w:cs="Arial"/>
          <w:b/>
          <w:i/>
          <w:color w:val="000000"/>
        </w:rPr>
        <w:t>.</w:t>
      </w:r>
    </w:p>
    <w:p w14:paraId="70850E4D" w14:textId="77777777" w:rsidR="007F22C0" w:rsidRPr="00054004" w:rsidRDefault="007F22C0" w:rsidP="007F22C0">
      <w:pPr>
        <w:pStyle w:val="ListParagraph"/>
        <w:ind w:left="1440"/>
        <w:rPr>
          <w:rFonts w:ascii="Arial" w:eastAsia="Calibri" w:hAnsi="Arial" w:cs="Arial"/>
          <w:b/>
          <w:i/>
          <w:color w:val="000000"/>
        </w:rPr>
      </w:pPr>
    </w:p>
    <w:p w14:paraId="73700278" w14:textId="7E947A00" w:rsidR="007F22C0" w:rsidRPr="00054004" w:rsidRDefault="0091344E" w:rsidP="00552CA2">
      <w:pPr>
        <w:pStyle w:val="ListParagraph"/>
        <w:numPr>
          <w:ilvl w:val="0"/>
          <w:numId w:val="28"/>
        </w:numPr>
        <w:tabs>
          <w:tab w:val="left" w:pos="720"/>
        </w:tabs>
        <w:jc w:val="both"/>
        <w:rPr>
          <w:rFonts w:ascii="Arial" w:eastAsia="Calibri" w:hAnsi="Arial" w:cs="Arial"/>
          <w:b/>
          <w:i/>
          <w:color w:val="000000"/>
        </w:rPr>
      </w:pPr>
      <w:r w:rsidRPr="00054004">
        <w:rPr>
          <w:rFonts w:ascii="Arial" w:eastAsia="Calibri" w:hAnsi="Arial" w:cs="Arial"/>
          <w:b/>
          <w:i/>
          <w:color w:val="000000"/>
        </w:rPr>
        <w:t>Annual re-current staff c</w:t>
      </w:r>
      <w:r w:rsidR="007F22C0" w:rsidRPr="00054004">
        <w:rPr>
          <w:rFonts w:ascii="Arial" w:eastAsia="Calibri" w:hAnsi="Arial" w:cs="Arial"/>
          <w:b/>
          <w:i/>
          <w:color w:val="000000"/>
        </w:rPr>
        <w:t xml:space="preserve">ost </w:t>
      </w:r>
      <w:r w:rsidRPr="00054004">
        <w:rPr>
          <w:rFonts w:ascii="Arial" w:eastAsia="Calibri" w:hAnsi="Arial" w:cs="Arial"/>
          <w:b/>
          <w:i/>
          <w:color w:val="000000"/>
        </w:rPr>
        <w:t xml:space="preserve">(of US$600,472) </w:t>
      </w:r>
      <w:r w:rsidR="007F22C0" w:rsidRPr="00054004">
        <w:rPr>
          <w:rFonts w:ascii="Arial" w:eastAsia="Calibri" w:hAnsi="Arial" w:cs="Arial"/>
          <w:b/>
          <w:i/>
          <w:color w:val="000000"/>
        </w:rPr>
        <w:t>to be met as follows: -</w:t>
      </w:r>
    </w:p>
    <w:p w14:paraId="5A000DE2" w14:textId="77777777" w:rsidR="007F22C0" w:rsidRPr="00054004" w:rsidRDefault="007F22C0" w:rsidP="007F22C0">
      <w:pPr>
        <w:pStyle w:val="ListParagraph"/>
        <w:rPr>
          <w:rFonts w:ascii="Arial" w:eastAsia="Calibri" w:hAnsi="Arial" w:cs="Arial"/>
          <w:b/>
          <w:i/>
          <w:color w:val="000000"/>
        </w:rPr>
      </w:pPr>
    </w:p>
    <w:p w14:paraId="58373BDA" w14:textId="4FCC537C" w:rsidR="007F22C0" w:rsidRPr="00054004" w:rsidRDefault="0091344E" w:rsidP="00552CA2">
      <w:pPr>
        <w:pStyle w:val="ListParagraph"/>
        <w:numPr>
          <w:ilvl w:val="0"/>
          <w:numId w:val="29"/>
        </w:numPr>
        <w:tabs>
          <w:tab w:val="left" w:pos="720"/>
        </w:tabs>
        <w:ind w:left="2160" w:hanging="720"/>
        <w:jc w:val="both"/>
        <w:rPr>
          <w:rFonts w:ascii="Arial" w:eastAsia="Calibri" w:hAnsi="Arial" w:cs="Arial"/>
          <w:b/>
          <w:i/>
          <w:color w:val="000000"/>
        </w:rPr>
      </w:pPr>
      <w:r w:rsidRPr="00054004">
        <w:rPr>
          <w:rFonts w:ascii="Arial" w:eastAsia="Calibri" w:hAnsi="Arial" w:cs="Arial"/>
          <w:b/>
          <w:i/>
          <w:color w:val="000000"/>
        </w:rPr>
        <w:t>2020:</w:t>
      </w:r>
      <w:r w:rsidRPr="00054004">
        <w:rPr>
          <w:rFonts w:ascii="Arial" w:eastAsia="Calibri" w:hAnsi="Arial" w:cs="Arial"/>
          <w:b/>
          <w:i/>
          <w:color w:val="000000"/>
        </w:rPr>
        <w:tab/>
      </w:r>
      <w:r w:rsidR="007F22C0" w:rsidRPr="00054004">
        <w:rPr>
          <w:rFonts w:ascii="Arial" w:eastAsia="Calibri" w:hAnsi="Arial" w:cs="Arial"/>
          <w:b/>
          <w:i/>
          <w:color w:val="000000"/>
        </w:rPr>
        <w:t xml:space="preserve">Overheads contributions received </w:t>
      </w:r>
      <w:r w:rsidRPr="00054004">
        <w:rPr>
          <w:rFonts w:ascii="Arial" w:eastAsia="Calibri" w:hAnsi="Arial" w:cs="Arial"/>
          <w:b/>
          <w:i/>
          <w:color w:val="000000"/>
        </w:rPr>
        <w:t xml:space="preserve">from </w:t>
      </w:r>
      <w:r w:rsidR="007F22C0" w:rsidRPr="00054004">
        <w:rPr>
          <w:rFonts w:ascii="Arial" w:eastAsia="Calibri" w:hAnsi="Arial" w:cs="Arial"/>
          <w:b/>
          <w:i/>
          <w:color w:val="000000"/>
        </w:rPr>
        <w:t>EU programmes; and</w:t>
      </w:r>
    </w:p>
    <w:p w14:paraId="5EFFBB84" w14:textId="39E1FA50" w:rsidR="007F22C0" w:rsidRPr="00054004" w:rsidRDefault="0091344E" w:rsidP="00552CA2">
      <w:pPr>
        <w:pStyle w:val="ListParagraph"/>
        <w:numPr>
          <w:ilvl w:val="0"/>
          <w:numId w:val="29"/>
        </w:numPr>
        <w:tabs>
          <w:tab w:val="left" w:pos="720"/>
        </w:tabs>
        <w:ind w:left="2160" w:hanging="720"/>
        <w:jc w:val="both"/>
        <w:rPr>
          <w:rFonts w:ascii="Arial" w:eastAsia="Calibri" w:hAnsi="Arial" w:cs="Arial"/>
          <w:b/>
          <w:i/>
          <w:color w:val="000000"/>
        </w:rPr>
      </w:pPr>
      <w:r w:rsidRPr="00054004">
        <w:rPr>
          <w:rFonts w:ascii="Arial" w:eastAsia="Calibri" w:hAnsi="Arial" w:cs="Arial"/>
          <w:b/>
          <w:i/>
          <w:color w:val="000000"/>
        </w:rPr>
        <w:t xml:space="preserve">2021 and 2022: </w:t>
      </w:r>
      <w:r w:rsidR="007F22C0" w:rsidRPr="00054004">
        <w:rPr>
          <w:rFonts w:ascii="Arial" w:eastAsia="Calibri" w:hAnsi="Arial" w:cs="Arial"/>
          <w:b/>
          <w:i/>
          <w:color w:val="000000"/>
        </w:rPr>
        <w:t>Incorporation</w:t>
      </w:r>
      <w:r w:rsidRPr="00054004">
        <w:rPr>
          <w:rFonts w:ascii="Arial" w:eastAsia="Calibri" w:hAnsi="Arial" w:cs="Arial"/>
          <w:b/>
          <w:i/>
          <w:color w:val="000000"/>
        </w:rPr>
        <w:t xml:space="preserve"> into Regular Staff costs budget lines.</w:t>
      </w:r>
    </w:p>
    <w:bookmarkEnd w:id="43"/>
    <w:p w14:paraId="4AD2D7C6" w14:textId="14139F20" w:rsidR="007F22C0" w:rsidRPr="007F22C0" w:rsidRDefault="007F22C0" w:rsidP="007F22C0">
      <w:pPr>
        <w:tabs>
          <w:tab w:val="left" w:pos="720"/>
        </w:tabs>
        <w:jc w:val="both"/>
        <w:rPr>
          <w:rFonts w:ascii="Arial" w:eastAsia="Calibri" w:hAnsi="Arial" w:cs="Arial"/>
          <w:color w:val="000000"/>
        </w:rPr>
        <w:sectPr w:rsidR="007F22C0" w:rsidRPr="007F22C0" w:rsidSect="009031F6">
          <w:pgSz w:w="11906" w:h="16838"/>
          <w:pgMar w:top="1440" w:right="1440" w:bottom="90" w:left="1440" w:header="708" w:footer="708" w:gutter="0"/>
          <w:cols w:space="708"/>
          <w:docGrid w:linePitch="360"/>
        </w:sectPr>
      </w:pPr>
    </w:p>
    <w:p w14:paraId="011CB834" w14:textId="3304663C" w:rsidR="0073533F" w:rsidRPr="0009691A" w:rsidRDefault="0073533F" w:rsidP="0073533F">
      <w:pPr>
        <w:pStyle w:val="ListParagraph"/>
        <w:tabs>
          <w:tab w:val="left" w:pos="720"/>
        </w:tabs>
        <w:ind w:left="0"/>
        <w:jc w:val="both"/>
        <w:rPr>
          <w:rFonts w:ascii="Arial" w:eastAsia="Calibri" w:hAnsi="Arial" w:cs="Arial"/>
          <w:color w:val="000000"/>
        </w:rPr>
      </w:pPr>
    </w:p>
    <w:p w14:paraId="370ABADF" w14:textId="3642A5E0" w:rsidR="00B07AB6" w:rsidRPr="009F1AD8" w:rsidRDefault="009F1AD8" w:rsidP="009F1AD8">
      <w:pPr>
        <w:pStyle w:val="Heading3"/>
        <w:rPr>
          <w:sz w:val="22"/>
          <w:szCs w:val="22"/>
        </w:rPr>
      </w:pPr>
      <w:bookmarkStart w:id="44" w:name="_Toc23006810"/>
      <w:r w:rsidRPr="009F1AD8">
        <w:rPr>
          <w:sz w:val="22"/>
          <w:szCs w:val="22"/>
        </w:rPr>
        <w:t>Appendix 1</w:t>
      </w:r>
      <w:r w:rsidRPr="009F1AD8">
        <w:rPr>
          <w:sz w:val="22"/>
          <w:szCs w:val="22"/>
        </w:rPr>
        <w:tab/>
        <w:t>2020 Budget Estimates (Member States and Grants) – funding and expenditure</w:t>
      </w:r>
      <w:bookmarkEnd w:id="44"/>
    </w:p>
    <w:p w14:paraId="31AFBEE0" w14:textId="77777777" w:rsidR="00B07AB6" w:rsidRPr="009F1AD8" w:rsidRDefault="00B07AB6" w:rsidP="009F1AD8">
      <w:pPr>
        <w:pStyle w:val="Heading2"/>
        <w:jc w:val="both"/>
        <w:rPr>
          <w:rFonts w:ascii="Arial" w:eastAsia="Calibri" w:hAnsi="Arial" w:cs="Arial"/>
          <w:color w:val="000000"/>
          <w:sz w:val="22"/>
          <w:szCs w:val="22"/>
        </w:rPr>
      </w:pPr>
    </w:p>
    <w:p w14:paraId="3E3A6440" w14:textId="74700E8C" w:rsidR="00B07AB6" w:rsidRPr="009F1AD8" w:rsidRDefault="009F1AD8" w:rsidP="009F1AD8">
      <w:pPr>
        <w:pStyle w:val="Heading3"/>
        <w:rPr>
          <w:sz w:val="22"/>
          <w:szCs w:val="22"/>
        </w:rPr>
      </w:pPr>
      <w:bookmarkStart w:id="45" w:name="_Toc23006811"/>
      <w:r w:rsidRPr="009F1AD8">
        <w:rPr>
          <w:sz w:val="22"/>
          <w:szCs w:val="22"/>
        </w:rPr>
        <w:t>Appendix 2</w:t>
      </w:r>
      <w:r w:rsidRPr="009F1AD8">
        <w:rPr>
          <w:sz w:val="22"/>
          <w:szCs w:val="22"/>
        </w:rPr>
        <w:tab/>
        <w:t>2020 Distribution of assessed contribution among Member States</w:t>
      </w:r>
      <w:bookmarkEnd w:id="45"/>
    </w:p>
    <w:p w14:paraId="6124D306" w14:textId="77777777" w:rsidR="00B07AB6" w:rsidRPr="009F1AD8" w:rsidRDefault="00B07AB6" w:rsidP="009F1AD8">
      <w:pPr>
        <w:pStyle w:val="Heading2"/>
        <w:jc w:val="both"/>
        <w:rPr>
          <w:rFonts w:ascii="Arial" w:eastAsia="Calibri" w:hAnsi="Arial" w:cs="Arial"/>
          <w:color w:val="000000"/>
          <w:sz w:val="22"/>
          <w:szCs w:val="22"/>
        </w:rPr>
      </w:pPr>
    </w:p>
    <w:p w14:paraId="5CC07CF9" w14:textId="1600D258" w:rsidR="00B07AB6" w:rsidRPr="009F1AD8" w:rsidRDefault="009F1AD8" w:rsidP="009F1AD8">
      <w:pPr>
        <w:pStyle w:val="Heading3"/>
        <w:rPr>
          <w:sz w:val="22"/>
          <w:szCs w:val="22"/>
        </w:rPr>
      </w:pPr>
      <w:bookmarkStart w:id="46" w:name="_Toc23006812"/>
      <w:r w:rsidRPr="009F1AD8">
        <w:rPr>
          <w:sz w:val="22"/>
          <w:szCs w:val="22"/>
        </w:rPr>
        <w:t>Appendix 3</w:t>
      </w:r>
      <w:r w:rsidRPr="009F1AD8">
        <w:rPr>
          <w:sz w:val="22"/>
          <w:szCs w:val="22"/>
        </w:rPr>
        <w:tab/>
        <w:t>2020 Budget expenditure estimate - budget line (member states funding)</w:t>
      </w:r>
      <w:bookmarkEnd w:id="46"/>
    </w:p>
    <w:p w14:paraId="5F873698" w14:textId="77777777" w:rsidR="00B07AB6" w:rsidRPr="009F1AD8" w:rsidRDefault="00B07AB6" w:rsidP="009F1AD8">
      <w:pPr>
        <w:pStyle w:val="Heading2"/>
        <w:jc w:val="both"/>
        <w:rPr>
          <w:rFonts w:ascii="Arial" w:eastAsia="Calibri" w:hAnsi="Arial" w:cs="Arial"/>
          <w:color w:val="000000"/>
          <w:sz w:val="22"/>
          <w:szCs w:val="22"/>
        </w:rPr>
      </w:pPr>
    </w:p>
    <w:p w14:paraId="614652C3" w14:textId="717F9182" w:rsidR="00B07AB6" w:rsidRPr="009F1AD8" w:rsidRDefault="009F1AD8" w:rsidP="009F1AD8">
      <w:pPr>
        <w:pStyle w:val="Heading3"/>
        <w:rPr>
          <w:sz w:val="22"/>
          <w:szCs w:val="22"/>
        </w:rPr>
      </w:pPr>
      <w:bookmarkStart w:id="47" w:name="_Toc23006813"/>
      <w:r w:rsidRPr="009F1AD8">
        <w:rPr>
          <w:sz w:val="22"/>
          <w:szCs w:val="22"/>
        </w:rPr>
        <w:t>Appendix 4</w:t>
      </w:r>
      <w:r w:rsidRPr="009F1AD8">
        <w:rPr>
          <w:sz w:val="22"/>
          <w:szCs w:val="22"/>
        </w:rPr>
        <w:tab/>
        <w:t xml:space="preserve">2020 Budget expenditure estimate - cost </w:t>
      </w:r>
      <w:r w:rsidR="0091344E" w:rsidRPr="009F1AD8">
        <w:rPr>
          <w:sz w:val="22"/>
          <w:szCs w:val="22"/>
        </w:rPr>
        <w:t>center</w:t>
      </w:r>
      <w:r w:rsidRPr="009F1AD8">
        <w:rPr>
          <w:sz w:val="22"/>
          <w:szCs w:val="22"/>
        </w:rPr>
        <w:t xml:space="preserve"> (member states funding)</w:t>
      </w:r>
      <w:bookmarkEnd w:id="47"/>
    </w:p>
    <w:p w14:paraId="61E1F21B" w14:textId="77777777" w:rsidR="00B07AB6" w:rsidRPr="009F1AD8" w:rsidRDefault="00B07AB6" w:rsidP="009F1AD8">
      <w:pPr>
        <w:pStyle w:val="Heading2"/>
        <w:jc w:val="both"/>
        <w:rPr>
          <w:rFonts w:ascii="Arial" w:eastAsia="Calibri" w:hAnsi="Arial" w:cs="Arial"/>
          <w:color w:val="000000"/>
          <w:sz w:val="22"/>
          <w:szCs w:val="22"/>
        </w:rPr>
      </w:pPr>
    </w:p>
    <w:p w14:paraId="3411EBE6" w14:textId="3E9AD34E" w:rsidR="006A752A" w:rsidRPr="009F1AD8" w:rsidRDefault="009F1AD8" w:rsidP="009F1AD8">
      <w:pPr>
        <w:pStyle w:val="Heading3"/>
        <w:rPr>
          <w:sz w:val="22"/>
          <w:szCs w:val="22"/>
        </w:rPr>
      </w:pPr>
      <w:bookmarkStart w:id="48" w:name="_Toc23006814"/>
      <w:r w:rsidRPr="009F1AD8">
        <w:rPr>
          <w:sz w:val="22"/>
          <w:szCs w:val="22"/>
        </w:rPr>
        <w:t>Appendix 5</w:t>
      </w:r>
      <w:r w:rsidRPr="009F1AD8">
        <w:rPr>
          <w:sz w:val="22"/>
          <w:szCs w:val="22"/>
        </w:rPr>
        <w:tab/>
        <w:t>2020 Budget expenditure estimate - project (grants funding)</w:t>
      </w:r>
      <w:bookmarkEnd w:id="48"/>
    </w:p>
    <w:p w14:paraId="2E939439" w14:textId="73EBA4DD" w:rsidR="00B07AB6" w:rsidRDefault="00B07AB6" w:rsidP="00B07AB6">
      <w:pPr>
        <w:tabs>
          <w:tab w:val="left" w:pos="1440"/>
        </w:tabs>
        <w:spacing w:after="0" w:line="240" w:lineRule="auto"/>
        <w:contextualSpacing/>
        <w:jc w:val="both"/>
        <w:rPr>
          <w:rFonts w:ascii="Arial" w:eastAsia="Calibri" w:hAnsi="Arial" w:cs="Arial"/>
          <w:color w:val="000000"/>
        </w:rPr>
      </w:pPr>
    </w:p>
    <w:p w14:paraId="37CA319A" w14:textId="583B443F" w:rsidR="009031F6" w:rsidRPr="009F1AD8" w:rsidRDefault="009031F6" w:rsidP="009031F6">
      <w:pPr>
        <w:pStyle w:val="Heading3"/>
        <w:rPr>
          <w:sz w:val="22"/>
          <w:szCs w:val="22"/>
        </w:rPr>
      </w:pPr>
      <w:bookmarkStart w:id="49" w:name="_Toc23006815"/>
      <w:r w:rsidRPr="009F1AD8">
        <w:rPr>
          <w:sz w:val="22"/>
          <w:szCs w:val="22"/>
        </w:rPr>
        <w:t xml:space="preserve">Appendix </w:t>
      </w:r>
      <w:r>
        <w:rPr>
          <w:sz w:val="22"/>
          <w:szCs w:val="22"/>
        </w:rPr>
        <w:t>6</w:t>
      </w:r>
      <w:r w:rsidRPr="009F1AD8">
        <w:rPr>
          <w:sz w:val="22"/>
          <w:szCs w:val="22"/>
        </w:rPr>
        <w:tab/>
      </w:r>
      <w:r w:rsidRPr="009031F6">
        <w:rPr>
          <w:sz w:val="22"/>
          <w:szCs w:val="22"/>
        </w:rPr>
        <w:t>Cash transfer from COMESA to Member State (2010 - 2019)</w:t>
      </w:r>
      <w:bookmarkEnd w:id="49"/>
    </w:p>
    <w:p w14:paraId="3220A97F" w14:textId="62DDADAC" w:rsidR="009031F6" w:rsidRDefault="009031F6" w:rsidP="00B07AB6">
      <w:pPr>
        <w:tabs>
          <w:tab w:val="left" w:pos="1440"/>
        </w:tabs>
        <w:spacing w:after="0" w:line="240" w:lineRule="auto"/>
        <w:contextualSpacing/>
        <w:jc w:val="both"/>
        <w:rPr>
          <w:rFonts w:ascii="Arial" w:eastAsia="Calibri" w:hAnsi="Arial" w:cs="Arial"/>
          <w:color w:val="000000"/>
        </w:rPr>
      </w:pPr>
    </w:p>
    <w:p w14:paraId="0FA736D4" w14:textId="05673255" w:rsidR="009031F6" w:rsidRPr="009F1AD8" w:rsidRDefault="009031F6" w:rsidP="009031F6">
      <w:pPr>
        <w:pStyle w:val="Heading3"/>
        <w:rPr>
          <w:sz w:val="22"/>
          <w:szCs w:val="22"/>
        </w:rPr>
      </w:pPr>
      <w:bookmarkStart w:id="50" w:name="_Toc23006816"/>
      <w:r w:rsidRPr="009F1AD8">
        <w:rPr>
          <w:sz w:val="22"/>
          <w:szCs w:val="22"/>
        </w:rPr>
        <w:t xml:space="preserve">Appendix </w:t>
      </w:r>
      <w:r>
        <w:rPr>
          <w:sz w:val="22"/>
          <w:szCs w:val="22"/>
        </w:rPr>
        <w:t>7</w:t>
      </w:r>
      <w:r w:rsidRPr="009F1AD8">
        <w:rPr>
          <w:sz w:val="22"/>
          <w:szCs w:val="22"/>
        </w:rPr>
        <w:tab/>
      </w:r>
      <w:r>
        <w:rPr>
          <w:sz w:val="22"/>
          <w:szCs w:val="22"/>
        </w:rPr>
        <w:t>Staffing arrangement for Governance, Peace and Security</w:t>
      </w:r>
      <w:bookmarkEnd w:id="50"/>
    </w:p>
    <w:p w14:paraId="6D5C7952" w14:textId="77777777" w:rsidR="009031F6" w:rsidRDefault="009031F6" w:rsidP="00B07AB6">
      <w:pPr>
        <w:tabs>
          <w:tab w:val="left" w:pos="1440"/>
        </w:tabs>
        <w:spacing w:after="0" w:line="240" w:lineRule="auto"/>
        <w:contextualSpacing/>
        <w:jc w:val="both"/>
        <w:rPr>
          <w:rFonts w:ascii="Arial" w:eastAsia="Calibri" w:hAnsi="Arial" w:cs="Arial"/>
          <w:color w:val="000000"/>
        </w:rPr>
      </w:pPr>
    </w:p>
    <w:p w14:paraId="6EAA14FD" w14:textId="77777777" w:rsidR="00B07AB6" w:rsidRPr="0009691A" w:rsidRDefault="00B07AB6" w:rsidP="00B07AB6">
      <w:pPr>
        <w:tabs>
          <w:tab w:val="left" w:pos="1440"/>
        </w:tabs>
        <w:spacing w:after="0" w:line="240" w:lineRule="auto"/>
        <w:contextualSpacing/>
        <w:jc w:val="both"/>
        <w:rPr>
          <w:rFonts w:ascii="Arial" w:eastAsia="Calibri" w:hAnsi="Arial" w:cs="Arial"/>
          <w:color w:val="000000"/>
        </w:rPr>
      </w:pPr>
    </w:p>
    <w:sectPr w:rsidR="00B07AB6" w:rsidRPr="0009691A" w:rsidSect="009031F6">
      <w:pgSz w:w="11906" w:h="16838"/>
      <w:pgMar w:top="1440" w:right="1440" w:bottom="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280DB" w14:textId="77777777" w:rsidR="00A03D7A" w:rsidRDefault="00A03D7A" w:rsidP="00EF3A37">
      <w:pPr>
        <w:spacing w:after="0" w:line="240" w:lineRule="auto"/>
      </w:pPr>
      <w:r>
        <w:separator/>
      </w:r>
    </w:p>
  </w:endnote>
  <w:endnote w:type="continuationSeparator" w:id="0">
    <w:p w14:paraId="41CD4591" w14:textId="77777777" w:rsidR="00A03D7A" w:rsidRDefault="00A03D7A" w:rsidP="00EF3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5000785B" w:usb2="00000000"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70F93" w14:textId="77777777" w:rsidR="008C6F12" w:rsidRDefault="008C6F12">
    <w:pPr>
      <w:pStyle w:val="Footer"/>
      <w:jc w:val="center"/>
    </w:pPr>
  </w:p>
  <w:p w14:paraId="425D2CAE" w14:textId="77777777" w:rsidR="008C6F12" w:rsidRDefault="008C6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A7BCE" w14:textId="391757AB" w:rsidR="008C6F12" w:rsidRDefault="008C6F12">
    <w:pPr>
      <w:pStyle w:val="Footer"/>
      <w:jc w:val="center"/>
    </w:pPr>
  </w:p>
  <w:p w14:paraId="4CCC50BF" w14:textId="77777777" w:rsidR="008C6F12" w:rsidRDefault="008C6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0423C" w14:textId="77777777" w:rsidR="00A03D7A" w:rsidRDefault="00A03D7A" w:rsidP="00EF3A37">
      <w:pPr>
        <w:spacing w:after="0" w:line="240" w:lineRule="auto"/>
      </w:pPr>
      <w:r>
        <w:separator/>
      </w:r>
    </w:p>
  </w:footnote>
  <w:footnote w:type="continuationSeparator" w:id="0">
    <w:p w14:paraId="15A408A8" w14:textId="77777777" w:rsidR="00A03D7A" w:rsidRDefault="00A03D7A" w:rsidP="00EF3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80093" w14:textId="77777777" w:rsidR="008C6F12" w:rsidRPr="00AE11A1" w:rsidRDefault="008C6F12" w:rsidP="00B07AB6">
    <w:pPr>
      <w:pStyle w:val="Header"/>
      <w:jc w:val="right"/>
      <w:rPr>
        <w:i/>
      </w:rPr>
    </w:pPr>
  </w:p>
  <w:p w14:paraId="42BAD45B" w14:textId="77777777" w:rsidR="008C6F12" w:rsidRDefault="008C6F12" w:rsidP="00B07AB6">
    <w:pPr>
      <w:pStyle w:val="Header"/>
      <w:tabs>
        <w:tab w:val="left" w:pos="1208"/>
      </w:tabs>
      <w:jc w:val="right"/>
    </w:pPr>
    <w:r>
      <w:t>COMESA Secretariat/ADM/SC/XXII/7.1A</w:t>
    </w:r>
  </w:p>
  <w:p w14:paraId="14716F71" w14:textId="77777777" w:rsidR="008C6F12" w:rsidRDefault="008C6F12" w:rsidP="00B07AB6">
    <w:pPr>
      <w:pStyle w:val="Header"/>
      <w:jc w:val="right"/>
    </w:pPr>
    <w:r>
      <w:t xml:space="preserve">Page </w:t>
    </w:r>
    <w:sdt>
      <w:sdtPr>
        <w:id w:val="100184814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5ECD075C" w14:textId="77777777" w:rsidR="008C6F12" w:rsidRPr="00AE11A1" w:rsidRDefault="008C6F12" w:rsidP="00B07AB6">
    <w:pPr>
      <w:pStyle w:val="Header"/>
      <w:jc w:val="right"/>
      <w:rPr>
        <w:i/>
      </w:rPr>
    </w:pPr>
  </w:p>
  <w:p w14:paraId="7AA02EEF" w14:textId="77777777" w:rsidR="008C6F12" w:rsidRPr="00AE11A1" w:rsidRDefault="008C6F12" w:rsidP="00EF3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51148" w14:textId="77777777" w:rsidR="008C6F12" w:rsidRPr="00AE11A1" w:rsidRDefault="008C6F12" w:rsidP="00EF3A37">
    <w:pPr>
      <w:pStyle w:val="Header"/>
      <w:jc w:val="right"/>
      <w:rPr>
        <w:i/>
      </w:rPr>
    </w:pPr>
  </w:p>
  <w:p w14:paraId="2395082D" w14:textId="77777777" w:rsidR="008C6F12" w:rsidRDefault="008C6F12" w:rsidP="00861044">
    <w:pPr>
      <w:pStyle w:val="Header"/>
      <w:tabs>
        <w:tab w:val="left" w:pos="1208"/>
      </w:tabs>
      <w:jc w:val="right"/>
    </w:pPr>
    <w:r>
      <w:t>COMESA Secretariat/ADM/SC/XXII/7.1A</w:t>
    </w:r>
  </w:p>
  <w:p w14:paraId="276771CD" w14:textId="77777777" w:rsidR="008C6F12" w:rsidRDefault="008C6F12" w:rsidP="00861044">
    <w:pPr>
      <w:pStyle w:val="Header"/>
      <w:jc w:val="right"/>
    </w:pPr>
    <w:r>
      <w:t xml:space="preserve">Page </w:t>
    </w:r>
    <w:sdt>
      <w:sdtPr>
        <w:id w:val="40526608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1584E5C1" w14:textId="77777777" w:rsidR="008C6F12" w:rsidRPr="00AE11A1" w:rsidRDefault="008C6F12" w:rsidP="00EF3A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51A29" w14:textId="77777777" w:rsidR="008C6F12" w:rsidRDefault="008C6F12" w:rsidP="00B07AB6">
    <w:pPr>
      <w:pStyle w:val="Header"/>
      <w:tabs>
        <w:tab w:val="left" w:pos="1208"/>
      </w:tabs>
      <w:jc w:val="right"/>
    </w:pPr>
    <w:r>
      <w:t>COMESA Secretariat/ADM/SC/XXII/7.1A</w:t>
    </w:r>
  </w:p>
  <w:p w14:paraId="25898BEF" w14:textId="77777777" w:rsidR="008C6F12" w:rsidRDefault="008C6F12" w:rsidP="00B07AB6">
    <w:pPr>
      <w:pStyle w:val="Header"/>
      <w:jc w:val="right"/>
    </w:pPr>
    <w:r>
      <w:t xml:space="preserve">Page </w:t>
    </w:r>
    <w:sdt>
      <w:sdtPr>
        <w:id w:val="45730480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28CA1F2D" w14:textId="77777777" w:rsidR="008C6F12" w:rsidRPr="00AE11A1" w:rsidRDefault="008C6F12" w:rsidP="00EF3A37">
    <w:pPr>
      <w:pStyle w:val="Header"/>
      <w:jc w:val="right"/>
      <w:rPr>
        <w:i/>
      </w:rPr>
    </w:pPr>
  </w:p>
  <w:p w14:paraId="6D1AC288" w14:textId="77777777" w:rsidR="008C6F12" w:rsidRPr="00AE11A1" w:rsidRDefault="008C6F12" w:rsidP="00EF3A37">
    <w:pPr>
      <w:pStyle w:val="Header"/>
    </w:pPr>
  </w:p>
  <w:p w14:paraId="36A5DCA9" w14:textId="77777777" w:rsidR="008C6F12" w:rsidRDefault="008C6F1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33E50" w14:textId="77777777" w:rsidR="008C6F12" w:rsidRDefault="008C6F12" w:rsidP="00B07AB6">
    <w:pPr>
      <w:pStyle w:val="Header"/>
      <w:tabs>
        <w:tab w:val="left" w:pos="1208"/>
      </w:tabs>
      <w:jc w:val="right"/>
    </w:pPr>
    <w:r>
      <w:t>COMESA Secretariat/ADM/SC/XXII/7.1A</w:t>
    </w:r>
  </w:p>
  <w:p w14:paraId="2C1A5C87" w14:textId="77777777" w:rsidR="008C6F12" w:rsidRDefault="008C6F12" w:rsidP="00B07AB6">
    <w:pPr>
      <w:pStyle w:val="Header"/>
      <w:jc w:val="right"/>
    </w:pPr>
    <w:r>
      <w:t xml:space="preserve">Page </w:t>
    </w:r>
    <w:sdt>
      <w:sdtPr>
        <w:id w:val="-109131850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0A5C7C3D" w14:textId="77777777" w:rsidR="008C6F12" w:rsidRPr="00AE11A1" w:rsidRDefault="008C6F12" w:rsidP="00EF3A37">
    <w:pPr>
      <w:pStyle w:val="Header"/>
      <w:jc w:val="right"/>
      <w:rPr>
        <w:i/>
      </w:rPr>
    </w:pPr>
  </w:p>
  <w:p w14:paraId="1916F7CB" w14:textId="77777777" w:rsidR="008C6F12" w:rsidRPr="00AE11A1" w:rsidRDefault="008C6F12" w:rsidP="00EF3A37">
    <w:pPr>
      <w:pStyle w:val="Header"/>
    </w:pPr>
  </w:p>
  <w:p w14:paraId="212CF31A" w14:textId="77777777" w:rsidR="008C6F12" w:rsidRDefault="008C6F1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2A9C9" w14:textId="77777777" w:rsidR="008C6F12" w:rsidRDefault="008C6F12" w:rsidP="00B07AB6">
    <w:pPr>
      <w:pStyle w:val="Header"/>
      <w:tabs>
        <w:tab w:val="left" w:pos="1208"/>
      </w:tabs>
      <w:jc w:val="right"/>
    </w:pPr>
    <w:r>
      <w:t>COMESA Secretariat/ADM/SC/XXII/7.1A</w:t>
    </w:r>
  </w:p>
  <w:p w14:paraId="5CF82F1A" w14:textId="77777777" w:rsidR="008C6F12" w:rsidRDefault="008C6F12" w:rsidP="00B07AB6">
    <w:pPr>
      <w:pStyle w:val="Header"/>
      <w:jc w:val="right"/>
    </w:pPr>
    <w:r>
      <w:t xml:space="preserve">Page </w:t>
    </w:r>
    <w:sdt>
      <w:sdtPr>
        <w:id w:val="-176237064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3833E34B" w14:textId="77777777" w:rsidR="008C6F12" w:rsidRPr="00AE11A1" w:rsidRDefault="008C6F12" w:rsidP="00EF3A37">
    <w:pPr>
      <w:pStyle w:val="Header"/>
      <w:jc w:val="right"/>
      <w:rPr>
        <w:i/>
      </w:rPr>
    </w:pPr>
  </w:p>
  <w:p w14:paraId="39A38ED6" w14:textId="77777777" w:rsidR="008C6F12" w:rsidRPr="00AE11A1" w:rsidRDefault="008C6F12" w:rsidP="00EF3A37">
    <w:pPr>
      <w:pStyle w:val="Header"/>
    </w:pPr>
  </w:p>
  <w:p w14:paraId="52AB725F" w14:textId="77777777" w:rsidR="008C6F12" w:rsidRDefault="008C6F1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F547D" w14:textId="77777777" w:rsidR="008C6F12" w:rsidRPr="00AE11A1" w:rsidRDefault="008C6F12" w:rsidP="00EF3A37">
    <w:pPr>
      <w:pStyle w:val="Header"/>
      <w:jc w:val="right"/>
      <w:rPr>
        <w:i/>
      </w:rPr>
    </w:pPr>
  </w:p>
  <w:p w14:paraId="65AC159B" w14:textId="77777777" w:rsidR="008C6F12" w:rsidRDefault="008C6F12" w:rsidP="00861044">
    <w:pPr>
      <w:pStyle w:val="Header"/>
      <w:tabs>
        <w:tab w:val="left" w:pos="1208"/>
      </w:tabs>
      <w:jc w:val="right"/>
    </w:pPr>
    <w:r>
      <w:t>COMESA Secretariat/ADM/SC/XXII/7.1A</w:t>
    </w:r>
  </w:p>
  <w:p w14:paraId="15C5BF0B" w14:textId="77777777" w:rsidR="008C6F12" w:rsidRDefault="008C6F12" w:rsidP="00861044">
    <w:pPr>
      <w:pStyle w:val="Header"/>
      <w:jc w:val="right"/>
    </w:pPr>
    <w:r>
      <w:t xml:space="preserve">Page </w:t>
    </w:r>
    <w:sdt>
      <w:sdtPr>
        <w:id w:val="-192871693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3008FF8D" w14:textId="77777777" w:rsidR="008C6F12" w:rsidRPr="00AE11A1" w:rsidRDefault="008C6F12" w:rsidP="00EF3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5882"/>
    <w:multiLevelType w:val="hybridMultilevel"/>
    <w:tmpl w:val="CE44C3CE"/>
    <w:lvl w:ilvl="0" w:tplc="24620D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952543"/>
    <w:multiLevelType w:val="hybridMultilevel"/>
    <w:tmpl w:val="A52868F0"/>
    <w:lvl w:ilvl="0" w:tplc="CC8240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35590F"/>
    <w:multiLevelType w:val="hybridMultilevel"/>
    <w:tmpl w:val="036C8AF0"/>
    <w:lvl w:ilvl="0" w:tplc="ADEA5F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087C21"/>
    <w:multiLevelType w:val="hybridMultilevel"/>
    <w:tmpl w:val="492A1EA4"/>
    <w:lvl w:ilvl="0" w:tplc="BEEAA38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444786"/>
    <w:multiLevelType w:val="hybridMultilevel"/>
    <w:tmpl w:val="1F14A0C2"/>
    <w:lvl w:ilvl="0" w:tplc="F6DAC878">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243C3DD9"/>
    <w:multiLevelType w:val="hybridMultilevel"/>
    <w:tmpl w:val="7556D0A4"/>
    <w:lvl w:ilvl="0" w:tplc="440C0A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6F062F"/>
    <w:multiLevelType w:val="hybridMultilevel"/>
    <w:tmpl w:val="78166BE0"/>
    <w:lvl w:ilvl="0" w:tplc="221CFB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3C4A76"/>
    <w:multiLevelType w:val="hybridMultilevel"/>
    <w:tmpl w:val="651AFA78"/>
    <w:lvl w:ilvl="0" w:tplc="1D48C8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5D43CE"/>
    <w:multiLevelType w:val="hybridMultilevel"/>
    <w:tmpl w:val="79BA472A"/>
    <w:lvl w:ilvl="0" w:tplc="8376CE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FF5D9C"/>
    <w:multiLevelType w:val="hybridMultilevel"/>
    <w:tmpl w:val="E7122CB8"/>
    <w:lvl w:ilvl="0" w:tplc="E5FC8A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3E521F"/>
    <w:multiLevelType w:val="hybridMultilevel"/>
    <w:tmpl w:val="A4CCB4B6"/>
    <w:lvl w:ilvl="0" w:tplc="A162A3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C54341"/>
    <w:multiLevelType w:val="hybridMultilevel"/>
    <w:tmpl w:val="4A88C188"/>
    <w:lvl w:ilvl="0" w:tplc="E64EE1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1645B3"/>
    <w:multiLevelType w:val="hybridMultilevel"/>
    <w:tmpl w:val="2A740406"/>
    <w:lvl w:ilvl="0" w:tplc="7DC8D4F4">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CC1D80"/>
    <w:multiLevelType w:val="hybridMultilevel"/>
    <w:tmpl w:val="6BDA0024"/>
    <w:lvl w:ilvl="0" w:tplc="24620DDC">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3D413887"/>
    <w:multiLevelType w:val="hybridMultilevel"/>
    <w:tmpl w:val="0E0AFB94"/>
    <w:lvl w:ilvl="0" w:tplc="08C854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597A45"/>
    <w:multiLevelType w:val="hybridMultilevel"/>
    <w:tmpl w:val="6BDA0024"/>
    <w:lvl w:ilvl="0" w:tplc="24620DDC">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46765531"/>
    <w:multiLevelType w:val="hybridMultilevel"/>
    <w:tmpl w:val="00F05628"/>
    <w:lvl w:ilvl="0" w:tplc="25CC577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E7E724F"/>
    <w:multiLevelType w:val="hybridMultilevel"/>
    <w:tmpl w:val="056EC4AC"/>
    <w:lvl w:ilvl="0" w:tplc="F10284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31055EE"/>
    <w:multiLevelType w:val="hybridMultilevel"/>
    <w:tmpl w:val="2F18F55C"/>
    <w:lvl w:ilvl="0" w:tplc="AF42243A">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DE79BF"/>
    <w:multiLevelType w:val="hybridMultilevel"/>
    <w:tmpl w:val="EB1A0930"/>
    <w:lvl w:ilvl="0" w:tplc="9ACAC3CC">
      <w:start w:val="1"/>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5F56B4"/>
    <w:multiLevelType w:val="hybridMultilevel"/>
    <w:tmpl w:val="535423D8"/>
    <w:lvl w:ilvl="0" w:tplc="308845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705F00"/>
    <w:multiLevelType w:val="hybridMultilevel"/>
    <w:tmpl w:val="5DF61FFA"/>
    <w:lvl w:ilvl="0" w:tplc="941EDF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B415C3"/>
    <w:multiLevelType w:val="hybridMultilevel"/>
    <w:tmpl w:val="3B18721C"/>
    <w:lvl w:ilvl="0" w:tplc="A162A3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C2540D"/>
    <w:multiLevelType w:val="hybridMultilevel"/>
    <w:tmpl w:val="4D02CDCE"/>
    <w:lvl w:ilvl="0" w:tplc="F6EA3586">
      <w:start w:val="1"/>
      <w:numFmt w:val="decimal"/>
      <w:lvlText w:val="%1."/>
      <w:lvlJc w:val="left"/>
      <w:pPr>
        <w:ind w:left="5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A548B"/>
    <w:multiLevelType w:val="hybridMultilevel"/>
    <w:tmpl w:val="FB54739C"/>
    <w:lvl w:ilvl="0" w:tplc="0EECC0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2F0A06"/>
    <w:multiLevelType w:val="hybridMultilevel"/>
    <w:tmpl w:val="061EF288"/>
    <w:lvl w:ilvl="0" w:tplc="F9302A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DEF342B"/>
    <w:multiLevelType w:val="hybridMultilevel"/>
    <w:tmpl w:val="42D66806"/>
    <w:lvl w:ilvl="0" w:tplc="FB1E55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3DA5460"/>
    <w:multiLevelType w:val="hybridMultilevel"/>
    <w:tmpl w:val="032E3D34"/>
    <w:lvl w:ilvl="0" w:tplc="1D2EF7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69269D"/>
    <w:multiLevelType w:val="hybridMultilevel"/>
    <w:tmpl w:val="E3E692E6"/>
    <w:lvl w:ilvl="0" w:tplc="75BA05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A37D5C"/>
    <w:multiLevelType w:val="hybridMultilevel"/>
    <w:tmpl w:val="057E05E0"/>
    <w:lvl w:ilvl="0" w:tplc="12A24784">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3"/>
  </w:num>
  <w:num w:numId="3">
    <w:abstractNumId w:val="18"/>
  </w:num>
  <w:num w:numId="4">
    <w:abstractNumId w:val="23"/>
  </w:num>
  <w:num w:numId="5">
    <w:abstractNumId w:val="11"/>
  </w:num>
  <w:num w:numId="6">
    <w:abstractNumId w:val="2"/>
  </w:num>
  <w:num w:numId="7">
    <w:abstractNumId w:val="22"/>
  </w:num>
  <w:num w:numId="8">
    <w:abstractNumId w:val="10"/>
  </w:num>
  <w:num w:numId="9">
    <w:abstractNumId w:val="26"/>
  </w:num>
  <w:num w:numId="10">
    <w:abstractNumId w:val="15"/>
  </w:num>
  <w:num w:numId="11">
    <w:abstractNumId w:val="9"/>
  </w:num>
  <w:num w:numId="12">
    <w:abstractNumId w:val="12"/>
  </w:num>
  <w:num w:numId="13">
    <w:abstractNumId w:val="21"/>
  </w:num>
  <w:num w:numId="14">
    <w:abstractNumId w:val="4"/>
  </w:num>
  <w:num w:numId="15">
    <w:abstractNumId w:val="20"/>
  </w:num>
  <w:num w:numId="16">
    <w:abstractNumId w:val="29"/>
  </w:num>
  <w:num w:numId="17">
    <w:abstractNumId w:val="27"/>
  </w:num>
  <w:num w:numId="18">
    <w:abstractNumId w:val="17"/>
  </w:num>
  <w:num w:numId="19">
    <w:abstractNumId w:val="8"/>
  </w:num>
  <w:num w:numId="20">
    <w:abstractNumId w:val="6"/>
  </w:num>
  <w:num w:numId="21">
    <w:abstractNumId w:val="19"/>
  </w:num>
  <w:num w:numId="22">
    <w:abstractNumId w:val="24"/>
  </w:num>
  <w:num w:numId="23">
    <w:abstractNumId w:val="7"/>
  </w:num>
  <w:num w:numId="24">
    <w:abstractNumId w:val="3"/>
  </w:num>
  <w:num w:numId="25">
    <w:abstractNumId w:val="16"/>
  </w:num>
  <w:num w:numId="26">
    <w:abstractNumId w:val="1"/>
  </w:num>
  <w:num w:numId="27">
    <w:abstractNumId w:val="14"/>
  </w:num>
  <w:num w:numId="28">
    <w:abstractNumId w:val="28"/>
  </w:num>
  <w:num w:numId="29">
    <w:abstractNumId w:val="25"/>
  </w:num>
  <w:num w:numId="30">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0F2"/>
    <w:rsid w:val="000100D5"/>
    <w:rsid w:val="000129EF"/>
    <w:rsid w:val="00015AF1"/>
    <w:rsid w:val="00021BCB"/>
    <w:rsid w:val="00026E5A"/>
    <w:rsid w:val="00040A8D"/>
    <w:rsid w:val="0004288C"/>
    <w:rsid w:val="000432C3"/>
    <w:rsid w:val="00051506"/>
    <w:rsid w:val="00054004"/>
    <w:rsid w:val="000567FD"/>
    <w:rsid w:val="000753A9"/>
    <w:rsid w:val="00080696"/>
    <w:rsid w:val="000830BB"/>
    <w:rsid w:val="0009691A"/>
    <w:rsid w:val="000A5D1A"/>
    <w:rsid w:val="000B6C36"/>
    <w:rsid w:val="000C6B33"/>
    <w:rsid w:val="000D37F9"/>
    <w:rsid w:val="000E56FC"/>
    <w:rsid w:val="000F39BD"/>
    <w:rsid w:val="001002AD"/>
    <w:rsid w:val="00105CBD"/>
    <w:rsid w:val="00107C42"/>
    <w:rsid w:val="00124CB4"/>
    <w:rsid w:val="00127B44"/>
    <w:rsid w:val="00132717"/>
    <w:rsid w:val="00146AB0"/>
    <w:rsid w:val="001513BF"/>
    <w:rsid w:val="00154FB2"/>
    <w:rsid w:val="00155AC1"/>
    <w:rsid w:val="001744F3"/>
    <w:rsid w:val="0018592C"/>
    <w:rsid w:val="00190559"/>
    <w:rsid w:val="001C5DA2"/>
    <w:rsid w:val="001D67CD"/>
    <w:rsid w:val="001E4BC0"/>
    <w:rsid w:val="00203159"/>
    <w:rsid w:val="00211337"/>
    <w:rsid w:val="00214FB7"/>
    <w:rsid w:val="00224D40"/>
    <w:rsid w:val="0023306E"/>
    <w:rsid w:val="00262746"/>
    <w:rsid w:val="00263E60"/>
    <w:rsid w:val="00265122"/>
    <w:rsid w:val="00272C42"/>
    <w:rsid w:val="0029530A"/>
    <w:rsid w:val="002A5C2D"/>
    <w:rsid w:val="002C4CC5"/>
    <w:rsid w:val="002F468E"/>
    <w:rsid w:val="002F5468"/>
    <w:rsid w:val="002F7776"/>
    <w:rsid w:val="00307F98"/>
    <w:rsid w:val="00314142"/>
    <w:rsid w:val="00331E9B"/>
    <w:rsid w:val="00332885"/>
    <w:rsid w:val="003461A8"/>
    <w:rsid w:val="00354E56"/>
    <w:rsid w:val="00364C1B"/>
    <w:rsid w:val="003716EF"/>
    <w:rsid w:val="003867A8"/>
    <w:rsid w:val="003957C8"/>
    <w:rsid w:val="003B63CB"/>
    <w:rsid w:val="003C533A"/>
    <w:rsid w:val="003D062D"/>
    <w:rsid w:val="003F4C85"/>
    <w:rsid w:val="004077AF"/>
    <w:rsid w:val="00421B62"/>
    <w:rsid w:val="00427AA0"/>
    <w:rsid w:val="00445BCC"/>
    <w:rsid w:val="00454F8D"/>
    <w:rsid w:val="00461A4E"/>
    <w:rsid w:val="00463B12"/>
    <w:rsid w:val="004660A7"/>
    <w:rsid w:val="00473301"/>
    <w:rsid w:val="00476D7B"/>
    <w:rsid w:val="004A4199"/>
    <w:rsid w:val="004B02BF"/>
    <w:rsid w:val="004B1637"/>
    <w:rsid w:val="004B6CD1"/>
    <w:rsid w:val="004C4EF9"/>
    <w:rsid w:val="004D4365"/>
    <w:rsid w:val="004D5205"/>
    <w:rsid w:val="004E3E9F"/>
    <w:rsid w:val="00506832"/>
    <w:rsid w:val="005134A5"/>
    <w:rsid w:val="0053421D"/>
    <w:rsid w:val="00542022"/>
    <w:rsid w:val="005433F5"/>
    <w:rsid w:val="00552CA2"/>
    <w:rsid w:val="00563950"/>
    <w:rsid w:val="00582FFE"/>
    <w:rsid w:val="00594407"/>
    <w:rsid w:val="00596983"/>
    <w:rsid w:val="005A15DF"/>
    <w:rsid w:val="005A649B"/>
    <w:rsid w:val="005C1EDB"/>
    <w:rsid w:val="005D061A"/>
    <w:rsid w:val="005D1787"/>
    <w:rsid w:val="005D1EBD"/>
    <w:rsid w:val="005E0EF5"/>
    <w:rsid w:val="00604D42"/>
    <w:rsid w:val="00606CF1"/>
    <w:rsid w:val="00615C15"/>
    <w:rsid w:val="00656909"/>
    <w:rsid w:val="00672164"/>
    <w:rsid w:val="0068088E"/>
    <w:rsid w:val="00694C0D"/>
    <w:rsid w:val="006978B8"/>
    <w:rsid w:val="006A752A"/>
    <w:rsid w:val="006C0BB1"/>
    <w:rsid w:val="006D1FDE"/>
    <w:rsid w:val="006D3DFD"/>
    <w:rsid w:val="006E5F81"/>
    <w:rsid w:val="007043DE"/>
    <w:rsid w:val="007177C5"/>
    <w:rsid w:val="00723ECA"/>
    <w:rsid w:val="0073533F"/>
    <w:rsid w:val="00740092"/>
    <w:rsid w:val="00750A2F"/>
    <w:rsid w:val="00760640"/>
    <w:rsid w:val="0077521D"/>
    <w:rsid w:val="00781888"/>
    <w:rsid w:val="00797243"/>
    <w:rsid w:val="007A2E71"/>
    <w:rsid w:val="007C7FF1"/>
    <w:rsid w:val="007E29B8"/>
    <w:rsid w:val="007E59EA"/>
    <w:rsid w:val="007F22C0"/>
    <w:rsid w:val="008172F0"/>
    <w:rsid w:val="00830308"/>
    <w:rsid w:val="00860392"/>
    <w:rsid w:val="00860882"/>
    <w:rsid w:val="00861044"/>
    <w:rsid w:val="00873D1E"/>
    <w:rsid w:val="00886302"/>
    <w:rsid w:val="00893AF7"/>
    <w:rsid w:val="008953A5"/>
    <w:rsid w:val="00896BA4"/>
    <w:rsid w:val="008C6F12"/>
    <w:rsid w:val="008D3A21"/>
    <w:rsid w:val="008F2CB8"/>
    <w:rsid w:val="008F4EEB"/>
    <w:rsid w:val="009031F6"/>
    <w:rsid w:val="009120F2"/>
    <w:rsid w:val="0091344E"/>
    <w:rsid w:val="00916A09"/>
    <w:rsid w:val="00917591"/>
    <w:rsid w:val="00921085"/>
    <w:rsid w:val="00921AF5"/>
    <w:rsid w:val="00930DAD"/>
    <w:rsid w:val="009419D8"/>
    <w:rsid w:val="009552F2"/>
    <w:rsid w:val="00966FC3"/>
    <w:rsid w:val="009823E2"/>
    <w:rsid w:val="0098449F"/>
    <w:rsid w:val="00985175"/>
    <w:rsid w:val="009B7501"/>
    <w:rsid w:val="009D1FAD"/>
    <w:rsid w:val="009E2978"/>
    <w:rsid w:val="009F1AD8"/>
    <w:rsid w:val="009F4A69"/>
    <w:rsid w:val="00A034CC"/>
    <w:rsid w:val="00A03D7A"/>
    <w:rsid w:val="00A04766"/>
    <w:rsid w:val="00A06D47"/>
    <w:rsid w:val="00A12BDD"/>
    <w:rsid w:val="00A20E8A"/>
    <w:rsid w:val="00A210DA"/>
    <w:rsid w:val="00A33C14"/>
    <w:rsid w:val="00A4201E"/>
    <w:rsid w:val="00A432EE"/>
    <w:rsid w:val="00A475DF"/>
    <w:rsid w:val="00A50197"/>
    <w:rsid w:val="00A63C5F"/>
    <w:rsid w:val="00A655D5"/>
    <w:rsid w:val="00A66209"/>
    <w:rsid w:val="00A670F5"/>
    <w:rsid w:val="00A67D57"/>
    <w:rsid w:val="00A74043"/>
    <w:rsid w:val="00A77323"/>
    <w:rsid w:val="00AB1F2E"/>
    <w:rsid w:val="00AC7B02"/>
    <w:rsid w:val="00AD6433"/>
    <w:rsid w:val="00AE1A04"/>
    <w:rsid w:val="00AE35BE"/>
    <w:rsid w:val="00B000A0"/>
    <w:rsid w:val="00B04DFC"/>
    <w:rsid w:val="00B07AB6"/>
    <w:rsid w:val="00B34B36"/>
    <w:rsid w:val="00B70CB5"/>
    <w:rsid w:val="00B829D9"/>
    <w:rsid w:val="00B83C3C"/>
    <w:rsid w:val="00B847F4"/>
    <w:rsid w:val="00BC083D"/>
    <w:rsid w:val="00BC1E8D"/>
    <w:rsid w:val="00BC3740"/>
    <w:rsid w:val="00BE3421"/>
    <w:rsid w:val="00BF64EA"/>
    <w:rsid w:val="00C219CF"/>
    <w:rsid w:val="00C24C81"/>
    <w:rsid w:val="00C563F4"/>
    <w:rsid w:val="00C62EA9"/>
    <w:rsid w:val="00C65B9B"/>
    <w:rsid w:val="00C82250"/>
    <w:rsid w:val="00C82395"/>
    <w:rsid w:val="00C840EF"/>
    <w:rsid w:val="00C8531E"/>
    <w:rsid w:val="00C936DD"/>
    <w:rsid w:val="00CD6C9C"/>
    <w:rsid w:val="00D063A1"/>
    <w:rsid w:val="00D06644"/>
    <w:rsid w:val="00D140F0"/>
    <w:rsid w:val="00D213AC"/>
    <w:rsid w:val="00D30E9B"/>
    <w:rsid w:val="00D315F7"/>
    <w:rsid w:val="00D60E7F"/>
    <w:rsid w:val="00DA12A8"/>
    <w:rsid w:val="00DB1D56"/>
    <w:rsid w:val="00DE79F5"/>
    <w:rsid w:val="00DF628A"/>
    <w:rsid w:val="00E11F78"/>
    <w:rsid w:val="00E31953"/>
    <w:rsid w:val="00E43F7E"/>
    <w:rsid w:val="00E51962"/>
    <w:rsid w:val="00E5675A"/>
    <w:rsid w:val="00E70A86"/>
    <w:rsid w:val="00E71326"/>
    <w:rsid w:val="00EB6B9F"/>
    <w:rsid w:val="00EC1BD9"/>
    <w:rsid w:val="00EF1E32"/>
    <w:rsid w:val="00EF3A37"/>
    <w:rsid w:val="00F13CB1"/>
    <w:rsid w:val="00F208FE"/>
    <w:rsid w:val="00F33D2C"/>
    <w:rsid w:val="00F3737D"/>
    <w:rsid w:val="00F43A99"/>
    <w:rsid w:val="00F56105"/>
    <w:rsid w:val="00F655D3"/>
    <w:rsid w:val="00F7180A"/>
    <w:rsid w:val="00F735BB"/>
    <w:rsid w:val="00F82BA5"/>
    <w:rsid w:val="00F92780"/>
    <w:rsid w:val="00FA1169"/>
    <w:rsid w:val="00FB4375"/>
    <w:rsid w:val="00FD4493"/>
    <w:rsid w:val="00FE1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6C463"/>
  <w15:chartTrackingRefBased/>
  <w15:docId w15:val="{5D6FC219-01B3-4374-923B-1E636484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0F2"/>
    <w:rPr>
      <w:lang w:val="en-US"/>
    </w:rPr>
  </w:style>
  <w:style w:type="paragraph" w:styleId="Heading1">
    <w:name w:val="heading 1"/>
    <w:basedOn w:val="Normal"/>
    <w:next w:val="Normal"/>
    <w:link w:val="Heading1Char"/>
    <w:uiPriority w:val="9"/>
    <w:qFormat/>
    <w:rsid w:val="009120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13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6B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120F2"/>
    <w:pPr>
      <w:keepNext/>
      <w:keepLines/>
      <w:spacing w:before="40" w:after="0" w:line="240" w:lineRule="auto"/>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B04DF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0F2"/>
    <w:rPr>
      <w:rFonts w:asciiTheme="majorHAnsi" w:eastAsiaTheme="majorEastAsia" w:hAnsiTheme="majorHAnsi" w:cstheme="majorBidi"/>
      <w:color w:val="2F5496" w:themeColor="accent1" w:themeShade="BF"/>
      <w:sz w:val="32"/>
      <w:szCs w:val="32"/>
      <w:lang w:val="en-US"/>
    </w:rPr>
  </w:style>
  <w:style w:type="character" w:customStyle="1" w:styleId="Heading4Char">
    <w:name w:val="Heading 4 Char"/>
    <w:basedOn w:val="DefaultParagraphFont"/>
    <w:link w:val="Heading4"/>
    <w:uiPriority w:val="9"/>
    <w:semiHidden/>
    <w:rsid w:val="009120F2"/>
    <w:rPr>
      <w:rFonts w:asciiTheme="majorHAnsi" w:eastAsiaTheme="majorEastAsia" w:hAnsiTheme="majorHAnsi" w:cstheme="majorBidi"/>
      <w:i/>
      <w:iCs/>
      <w:color w:val="2F5496" w:themeColor="accent1" w:themeShade="BF"/>
      <w:lang w:val="en-US"/>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9120F2"/>
    <w:pPr>
      <w:spacing w:after="0" w:line="240" w:lineRule="auto"/>
      <w:ind w:left="720"/>
      <w:contextualSpacing/>
    </w:p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locked/>
    <w:rsid w:val="009120F2"/>
    <w:rPr>
      <w:lang w:val="en-US"/>
    </w:rPr>
  </w:style>
  <w:style w:type="paragraph" w:styleId="Footer">
    <w:name w:val="footer"/>
    <w:aliases w:val="EOI Header"/>
    <w:basedOn w:val="Normal"/>
    <w:link w:val="FooterChar"/>
    <w:uiPriority w:val="99"/>
    <w:unhideWhenUsed/>
    <w:rsid w:val="009120F2"/>
    <w:pPr>
      <w:tabs>
        <w:tab w:val="center" w:pos="4680"/>
        <w:tab w:val="right" w:pos="9360"/>
      </w:tabs>
      <w:spacing w:after="0" w:line="240" w:lineRule="auto"/>
    </w:pPr>
  </w:style>
  <w:style w:type="character" w:customStyle="1" w:styleId="FooterChar">
    <w:name w:val="Footer Char"/>
    <w:aliases w:val="EOI Header Char"/>
    <w:basedOn w:val="DefaultParagraphFont"/>
    <w:link w:val="Footer"/>
    <w:uiPriority w:val="99"/>
    <w:rsid w:val="009120F2"/>
    <w:rPr>
      <w:lang w:val="en-US"/>
    </w:rPr>
  </w:style>
  <w:style w:type="table" w:styleId="TableGrid">
    <w:name w:val="Table Grid"/>
    <w:basedOn w:val="TableNormal"/>
    <w:uiPriority w:val="39"/>
    <w:rsid w:val="003716E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08FE"/>
    <w:rPr>
      <w:sz w:val="16"/>
      <w:szCs w:val="16"/>
    </w:rPr>
  </w:style>
  <w:style w:type="paragraph" w:styleId="CommentText">
    <w:name w:val="annotation text"/>
    <w:basedOn w:val="Normal"/>
    <w:link w:val="CommentTextChar"/>
    <w:uiPriority w:val="99"/>
    <w:semiHidden/>
    <w:unhideWhenUsed/>
    <w:rsid w:val="00F208FE"/>
    <w:pPr>
      <w:spacing w:line="240" w:lineRule="auto"/>
    </w:pPr>
    <w:rPr>
      <w:sz w:val="20"/>
      <w:szCs w:val="20"/>
    </w:rPr>
  </w:style>
  <w:style w:type="character" w:customStyle="1" w:styleId="CommentTextChar">
    <w:name w:val="Comment Text Char"/>
    <w:basedOn w:val="DefaultParagraphFont"/>
    <w:link w:val="CommentText"/>
    <w:uiPriority w:val="99"/>
    <w:semiHidden/>
    <w:rsid w:val="00F208FE"/>
    <w:rPr>
      <w:sz w:val="20"/>
      <w:szCs w:val="20"/>
      <w:lang w:val="en-US"/>
    </w:rPr>
  </w:style>
  <w:style w:type="table" w:customStyle="1" w:styleId="TableGrid2">
    <w:name w:val="TableGrid2"/>
    <w:rsid w:val="00F208FE"/>
    <w:pPr>
      <w:spacing w:after="0" w:line="240" w:lineRule="auto"/>
    </w:pPr>
    <w:rPr>
      <w:rFonts w:eastAsiaTheme="minorEastAsia"/>
      <w:lang w:val="en-US"/>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208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8FE"/>
    <w:rPr>
      <w:rFonts w:ascii="Segoe UI" w:hAnsi="Segoe UI" w:cs="Segoe UI"/>
      <w:sz w:val="18"/>
      <w:szCs w:val="18"/>
      <w:lang w:val="en-US"/>
    </w:rPr>
  </w:style>
  <w:style w:type="paragraph" w:styleId="Header">
    <w:name w:val="header"/>
    <w:aliases w:val="ContentsHeader"/>
    <w:basedOn w:val="Normal"/>
    <w:link w:val="HeaderChar"/>
    <w:uiPriority w:val="99"/>
    <w:unhideWhenUsed/>
    <w:rsid w:val="002F5468"/>
    <w:pPr>
      <w:tabs>
        <w:tab w:val="center" w:pos="4513"/>
        <w:tab w:val="right" w:pos="9026"/>
      </w:tabs>
      <w:spacing w:after="0" w:line="240" w:lineRule="auto"/>
    </w:pPr>
  </w:style>
  <w:style w:type="character" w:customStyle="1" w:styleId="HeaderChar">
    <w:name w:val="Header Char"/>
    <w:aliases w:val="ContentsHeader Char"/>
    <w:basedOn w:val="DefaultParagraphFont"/>
    <w:link w:val="Header"/>
    <w:uiPriority w:val="99"/>
    <w:rsid w:val="002F5468"/>
    <w:rPr>
      <w:lang w:val="en-US"/>
    </w:rPr>
  </w:style>
  <w:style w:type="table" w:customStyle="1" w:styleId="TableGrid1">
    <w:name w:val="Table Grid1"/>
    <w:basedOn w:val="TableNormal"/>
    <w:next w:val="TableGrid"/>
    <w:uiPriority w:val="39"/>
    <w:rsid w:val="002F546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AB1F2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76D7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34B3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11337"/>
    <w:rPr>
      <w:rFonts w:asciiTheme="majorHAnsi" w:eastAsiaTheme="majorEastAsia" w:hAnsiTheme="majorHAnsi" w:cstheme="majorBidi"/>
      <w:color w:val="2F5496" w:themeColor="accent1" w:themeShade="BF"/>
      <w:sz w:val="26"/>
      <w:szCs w:val="26"/>
      <w:lang w:val="en-US"/>
    </w:rPr>
  </w:style>
  <w:style w:type="paragraph" w:customStyle="1" w:styleId="BodyAA">
    <w:name w:val="Body A A"/>
    <w:rsid w:val="00211337"/>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en-US"/>
    </w:rPr>
  </w:style>
  <w:style w:type="table" w:customStyle="1" w:styleId="TableGrid5">
    <w:name w:val="Table Grid5"/>
    <w:basedOn w:val="TableNormal"/>
    <w:next w:val="TableGrid"/>
    <w:uiPriority w:val="39"/>
    <w:rsid w:val="00CD6C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F3A37"/>
  </w:style>
  <w:style w:type="paragraph" w:styleId="FootnoteText">
    <w:name w:val="footnote text"/>
    <w:basedOn w:val="Normal"/>
    <w:link w:val="FootnoteTextChar"/>
    <w:uiPriority w:val="99"/>
    <w:semiHidden/>
    <w:unhideWhenUsed/>
    <w:rsid w:val="00EF3A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3A37"/>
    <w:rPr>
      <w:sz w:val="20"/>
      <w:szCs w:val="20"/>
      <w:lang w:val="en-US"/>
    </w:rPr>
  </w:style>
  <w:style w:type="character" w:styleId="FootnoteReference">
    <w:name w:val="footnote reference"/>
    <w:basedOn w:val="DefaultParagraphFont"/>
    <w:uiPriority w:val="99"/>
    <w:semiHidden/>
    <w:unhideWhenUsed/>
    <w:rsid w:val="00EF3A37"/>
    <w:rPr>
      <w:vertAlign w:val="superscript"/>
    </w:rPr>
  </w:style>
  <w:style w:type="table" w:customStyle="1" w:styleId="TableGrid11">
    <w:name w:val="Table Grid11"/>
    <w:basedOn w:val="TableNormal"/>
    <w:next w:val="TableGrid"/>
    <w:uiPriority w:val="39"/>
    <w:rsid w:val="00EF3A3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F3A3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F3A37"/>
    <w:rPr>
      <w:rFonts w:ascii="Times New Roman" w:hAnsi="Times New Roman" w:cs="Times New Roman"/>
      <w:sz w:val="24"/>
      <w:szCs w:val="24"/>
    </w:rPr>
  </w:style>
  <w:style w:type="paragraph" w:styleId="TOCHeading">
    <w:name w:val="TOC Heading"/>
    <w:basedOn w:val="Heading1"/>
    <w:next w:val="Normal"/>
    <w:uiPriority w:val="39"/>
    <w:unhideWhenUsed/>
    <w:qFormat/>
    <w:rsid w:val="00966FC3"/>
    <w:pPr>
      <w:outlineLvl w:val="9"/>
    </w:pPr>
  </w:style>
  <w:style w:type="paragraph" w:styleId="TOC1">
    <w:name w:val="toc 1"/>
    <w:basedOn w:val="Normal"/>
    <w:next w:val="Normal"/>
    <w:autoRedefine/>
    <w:uiPriority w:val="39"/>
    <w:unhideWhenUsed/>
    <w:rsid w:val="00966FC3"/>
    <w:pPr>
      <w:spacing w:after="100"/>
    </w:pPr>
  </w:style>
  <w:style w:type="paragraph" w:styleId="TOC2">
    <w:name w:val="toc 2"/>
    <w:basedOn w:val="Normal"/>
    <w:next w:val="Normal"/>
    <w:autoRedefine/>
    <w:uiPriority w:val="39"/>
    <w:unhideWhenUsed/>
    <w:rsid w:val="00966FC3"/>
    <w:pPr>
      <w:spacing w:after="100"/>
      <w:ind w:left="220"/>
    </w:pPr>
  </w:style>
  <w:style w:type="character" w:styleId="Hyperlink">
    <w:name w:val="Hyperlink"/>
    <w:basedOn w:val="DefaultParagraphFont"/>
    <w:uiPriority w:val="99"/>
    <w:unhideWhenUsed/>
    <w:rsid w:val="00966FC3"/>
    <w:rPr>
      <w:color w:val="0563C1" w:themeColor="hyperlink"/>
      <w:u w:val="single"/>
    </w:rPr>
  </w:style>
  <w:style w:type="character" w:customStyle="1" w:styleId="Heading3Char">
    <w:name w:val="Heading 3 Char"/>
    <w:basedOn w:val="DefaultParagraphFont"/>
    <w:link w:val="Heading3"/>
    <w:uiPriority w:val="9"/>
    <w:rsid w:val="000C6B33"/>
    <w:rPr>
      <w:rFonts w:asciiTheme="majorHAnsi" w:eastAsiaTheme="majorEastAsia" w:hAnsiTheme="majorHAnsi" w:cstheme="majorBidi"/>
      <w:color w:val="1F3763" w:themeColor="accent1" w:themeShade="7F"/>
      <w:sz w:val="24"/>
      <w:szCs w:val="24"/>
      <w:lang w:val="en-US"/>
    </w:rPr>
  </w:style>
  <w:style w:type="paragraph" w:styleId="TOC3">
    <w:name w:val="toc 3"/>
    <w:basedOn w:val="Normal"/>
    <w:next w:val="Normal"/>
    <w:autoRedefine/>
    <w:uiPriority w:val="39"/>
    <w:unhideWhenUsed/>
    <w:rsid w:val="00563950"/>
    <w:pPr>
      <w:spacing w:after="100"/>
      <w:ind w:left="440"/>
    </w:pPr>
  </w:style>
  <w:style w:type="paragraph" w:styleId="CommentSubject">
    <w:name w:val="annotation subject"/>
    <w:basedOn w:val="CommentText"/>
    <w:next w:val="CommentText"/>
    <w:link w:val="CommentSubjectChar"/>
    <w:uiPriority w:val="99"/>
    <w:semiHidden/>
    <w:unhideWhenUsed/>
    <w:rsid w:val="00E51962"/>
    <w:rPr>
      <w:b/>
      <w:bCs/>
    </w:rPr>
  </w:style>
  <w:style w:type="character" w:customStyle="1" w:styleId="CommentSubjectChar">
    <w:name w:val="Comment Subject Char"/>
    <w:basedOn w:val="CommentTextChar"/>
    <w:link w:val="CommentSubject"/>
    <w:uiPriority w:val="99"/>
    <w:semiHidden/>
    <w:rsid w:val="00E51962"/>
    <w:rPr>
      <w:b/>
      <w:bCs/>
      <w:sz w:val="20"/>
      <w:szCs w:val="20"/>
      <w:lang w:val="en-US"/>
    </w:rPr>
  </w:style>
  <w:style w:type="character" w:customStyle="1" w:styleId="Heading6Char">
    <w:name w:val="Heading 6 Char"/>
    <w:basedOn w:val="DefaultParagraphFont"/>
    <w:link w:val="Heading6"/>
    <w:uiPriority w:val="9"/>
    <w:semiHidden/>
    <w:rsid w:val="00B04DFC"/>
    <w:rPr>
      <w:rFonts w:asciiTheme="majorHAnsi" w:eastAsiaTheme="majorEastAsia" w:hAnsiTheme="majorHAnsi" w:cstheme="majorBidi"/>
      <w:color w:val="1F3763" w:themeColor="accent1" w:themeShade="7F"/>
      <w:lang w:val="en-US"/>
    </w:rPr>
  </w:style>
  <w:style w:type="paragraph" w:styleId="NoSpacing">
    <w:name w:val="No Spacing"/>
    <w:link w:val="NoSpacingChar"/>
    <w:uiPriority w:val="1"/>
    <w:qFormat/>
    <w:rsid w:val="00B04DFC"/>
    <w:pPr>
      <w:spacing w:after="0" w:line="240" w:lineRule="auto"/>
    </w:pPr>
    <w:rPr>
      <w:rFonts w:ascii="Arial" w:eastAsia="Calibri" w:hAnsi="Arial" w:cs="Arial"/>
      <w:bCs/>
      <w:lang w:val="fr-FR" w:eastAsia="fr-FR" w:bidi="fr-FR"/>
    </w:rPr>
  </w:style>
  <w:style w:type="character" w:customStyle="1" w:styleId="NoSpacingChar">
    <w:name w:val="No Spacing Char"/>
    <w:link w:val="NoSpacing"/>
    <w:uiPriority w:val="1"/>
    <w:rsid w:val="00B04DFC"/>
    <w:rPr>
      <w:rFonts w:ascii="Arial" w:eastAsia="Calibri" w:hAnsi="Arial" w:cs="Arial"/>
      <w:bCs/>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95276">
      <w:bodyDiv w:val="1"/>
      <w:marLeft w:val="0"/>
      <w:marRight w:val="0"/>
      <w:marTop w:val="0"/>
      <w:marBottom w:val="0"/>
      <w:divBdr>
        <w:top w:val="none" w:sz="0" w:space="0" w:color="auto"/>
        <w:left w:val="none" w:sz="0" w:space="0" w:color="auto"/>
        <w:bottom w:val="none" w:sz="0" w:space="0" w:color="auto"/>
        <w:right w:val="none" w:sz="0" w:space="0" w:color="auto"/>
      </w:divBdr>
    </w:div>
    <w:div w:id="971209123">
      <w:bodyDiv w:val="1"/>
      <w:marLeft w:val="0"/>
      <w:marRight w:val="0"/>
      <w:marTop w:val="0"/>
      <w:marBottom w:val="0"/>
      <w:divBdr>
        <w:top w:val="none" w:sz="0" w:space="0" w:color="auto"/>
        <w:left w:val="none" w:sz="0" w:space="0" w:color="auto"/>
        <w:bottom w:val="none" w:sz="0" w:space="0" w:color="auto"/>
        <w:right w:val="none" w:sz="0" w:space="0" w:color="auto"/>
      </w:divBdr>
    </w:div>
    <w:div w:id="1282877965">
      <w:bodyDiv w:val="1"/>
      <w:marLeft w:val="0"/>
      <w:marRight w:val="0"/>
      <w:marTop w:val="0"/>
      <w:marBottom w:val="0"/>
      <w:divBdr>
        <w:top w:val="none" w:sz="0" w:space="0" w:color="auto"/>
        <w:left w:val="none" w:sz="0" w:space="0" w:color="auto"/>
        <w:bottom w:val="none" w:sz="0" w:space="0" w:color="auto"/>
        <w:right w:val="none" w:sz="0" w:space="0" w:color="auto"/>
      </w:divBdr>
    </w:div>
    <w:div w:id="1405758126">
      <w:bodyDiv w:val="1"/>
      <w:marLeft w:val="0"/>
      <w:marRight w:val="0"/>
      <w:marTop w:val="0"/>
      <w:marBottom w:val="0"/>
      <w:divBdr>
        <w:top w:val="none" w:sz="0" w:space="0" w:color="auto"/>
        <w:left w:val="none" w:sz="0" w:space="0" w:color="auto"/>
        <w:bottom w:val="none" w:sz="0" w:space="0" w:color="auto"/>
        <w:right w:val="none" w:sz="0" w:space="0" w:color="auto"/>
      </w:divBdr>
    </w:div>
    <w:div w:id="1532186862">
      <w:bodyDiv w:val="1"/>
      <w:marLeft w:val="0"/>
      <w:marRight w:val="0"/>
      <w:marTop w:val="0"/>
      <w:marBottom w:val="0"/>
      <w:divBdr>
        <w:top w:val="none" w:sz="0" w:space="0" w:color="auto"/>
        <w:left w:val="none" w:sz="0" w:space="0" w:color="auto"/>
        <w:bottom w:val="none" w:sz="0" w:space="0" w:color="auto"/>
        <w:right w:val="none" w:sz="0" w:space="0" w:color="auto"/>
      </w:divBdr>
    </w:div>
    <w:div w:id="1589342311">
      <w:bodyDiv w:val="1"/>
      <w:marLeft w:val="0"/>
      <w:marRight w:val="0"/>
      <w:marTop w:val="0"/>
      <w:marBottom w:val="0"/>
      <w:divBdr>
        <w:top w:val="none" w:sz="0" w:space="0" w:color="auto"/>
        <w:left w:val="none" w:sz="0" w:space="0" w:color="auto"/>
        <w:bottom w:val="none" w:sz="0" w:space="0" w:color="auto"/>
        <w:right w:val="none" w:sz="0" w:space="0" w:color="auto"/>
      </w:divBdr>
    </w:div>
    <w:div w:id="1619069936">
      <w:bodyDiv w:val="1"/>
      <w:marLeft w:val="0"/>
      <w:marRight w:val="0"/>
      <w:marTop w:val="0"/>
      <w:marBottom w:val="0"/>
      <w:divBdr>
        <w:top w:val="none" w:sz="0" w:space="0" w:color="auto"/>
        <w:left w:val="none" w:sz="0" w:space="0" w:color="auto"/>
        <w:bottom w:val="none" w:sz="0" w:space="0" w:color="auto"/>
        <w:right w:val="none" w:sz="0" w:space="0" w:color="auto"/>
      </w:divBdr>
    </w:div>
    <w:div w:id="1802573142">
      <w:bodyDiv w:val="1"/>
      <w:marLeft w:val="0"/>
      <w:marRight w:val="0"/>
      <w:marTop w:val="0"/>
      <w:marBottom w:val="0"/>
      <w:divBdr>
        <w:top w:val="none" w:sz="0" w:space="0" w:color="auto"/>
        <w:left w:val="none" w:sz="0" w:space="0" w:color="auto"/>
        <w:bottom w:val="none" w:sz="0" w:space="0" w:color="auto"/>
        <w:right w:val="none" w:sz="0" w:space="0" w:color="auto"/>
      </w:divBdr>
    </w:div>
    <w:div w:id="180946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chart" Target="charts/chart1.xml"/><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package" Target="embeddings/Microsoft_Excel_Worksheet1.xlsx"/><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package" Target="embeddings/Microsoft_Excel_Worksheet2.xlsx"/><Relationship Id="rId29" Type="http://schemas.openxmlformats.org/officeDocument/2006/relationships/package" Target="embeddings/Microsoft_Excel_Worksheet5.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package" Target="embeddings/Microsoft_Excel_Worksheet3.xlsx"/><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5.emf"/><Relationship Id="rId28" Type="http://schemas.openxmlformats.org/officeDocument/2006/relationships/image" Target="media/image7.emf"/><Relationship Id="rId10" Type="http://schemas.openxmlformats.org/officeDocument/2006/relationships/footer" Target="footer1.xml"/><Relationship Id="rId19" Type="http://schemas.openxmlformats.org/officeDocument/2006/relationships/image" Target="media/image4.emf"/><Relationship Id="rId31" Type="http://schemas.openxmlformats.org/officeDocument/2006/relationships/package" Target="embeddings/Microsoft_Excel_Worksheet6.xlsx"/><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Excel_Worksheet.xlsx"/><Relationship Id="rId22" Type="http://schemas.openxmlformats.org/officeDocument/2006/relationships/header" Target="header5.xml"/><Relationship Id="rId27" Type="http://schemas.openxmlformats.org/officeDocument/2006/relationships/package" Target="embeddings/Microsoft_Excel_Worksheet4.xlsx"/><Relationship Id="rId30" Type="http://schemas.openxmlformats.org/officeDocument/2006/relationships/image" Target="media/image8.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njorogelk\Documents\CMI%202019\Macroeconomic%20developments\Data%20and%20graphs%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COMESA REAL</a:t>
            </a:r>
            <a:r>
              <a:rPr lang="en-US" sz="1400" baseline="0"/>
              <a:t> GDP Growth</a:t>
            </a:r>
            <a:endParaRPr lang="en-US" sz="1400"/>
          </a:p>
        </c:rich>
      </c:tx>
      <c:overlay val="0"/>
    </c:title>
    <c:autoTitleDeleted val="0"/>
    <c:plotArea>
      <c:layout/>
      <c:lineChart>
        <c:grouping val="standard"/>
        <c:varyColors val="0"/>
        <c:ser>
          <c:idx val="0"/>
          <c:order val="0"/>
          <c:tx>
            <c:strRef>
              <c:f>RGDP!$M$5</c:f>
              <c:strCache>
                <c:ptCount val="1"/>
                <c:pt idx="0">
                  <c:v>COMESA</c:v>
                </c:pt>
              </c:strCache>
            </c:strRef>
          </c:tx>
          <c:spPr>
            <a:ln>
              <a:solidFill>
                <a:srgbClr val="7030A0"/>
              </a:solidFill>
            </a:ln>
          </c:spPr>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RGDP!$N$4:$T$4</c:f>
              <c:strCache>
                <c:ptCount val="7"/>
                <c:pt idx="0">
                  <c:v>2013</c:v>
                </c:pt>
                <c:pt idx="1">
                  <c:v>2014</c:v>
                </c:pt>
                <c:pt idx="2">
                  <c:v>2015</c:v>
                </c:pt>
                <c:pt idx="3">
                  <c:v>2016</c:v>
                </c:pt>
                <c:pt idx="4">
                  <c:v>2017</c:v>
                </c:pt>
                <c:pt idx="5">
                  <c:v>2018</c:v>
                </c:pt>
                <c:pt idx="6">
                  <c:v>2019(p)</c:v>
                </c:pt>
              </c:strCache>
            </c:strRef>
          </c:cat>
          <c:val>
            <c:numRef>
              <c:f>RGDP!$N$5:$T$5</c:f>
              <c:numCache>
                <c:formatCode>_(* #,##0.0_);_(* \(#,##0.0\);_(* "-"??_);_(@_)</c:formatCode>
                <c:ptCount val="7"/>
                <c:pt idx="0">
                  <c:v>4.7526315789473683</c:v>
                </c:pt>
                <c:pt idx="1">
                  <c:v>1.7578947368421052</c:v>
                </c:pt>
                <c:pt idx="2">
                  <c:v>3.4842105263157896</c:v>
                </c:pt>
                <c:pt idx="3">
                  <c:v>3.3131540512951303</c:v>
                </c:pt>
                <c:pt idx="4">
                  <c:v>7.4672365623542589</c:v>
                </c:pt>
                <c:pt idx="5">
                  <c:v>4.7454124529395951</c:v>
                </c:pt>
                <c:pt idx="6">
                  <c:v>3.5285016350742362</c:v>
                </c:pt>
              </c:numCache>
            </c:numRef>
          </c:val>
          <c:smooth val="0"/>
          <c:extLst>
            <c:ext xmlns:c16="http://schemas.microsoft.com/office/drawing/2014/chart" uri="{C3380CC4-5D6E-409C-BE32-E72D297353CC}">
              <c16:uniqueId val="{00000000-EC96-4282-8179-81EDF6DB6D3C}"/>
            </c:ext>
          </c:extLst>
        </c:ser>
        <c:dLbls>
          <c:showLegendKey val="0"/>
          <c:showVal val="0"/>
          <c:showCatName val="0"/>
          <c:showSerName val="0"/>
          <c:showPercent val="0"/>
          <c:showBubbleSize val="0"/>
        </c:dLbls>
        <c:smooth val="0"/>
        <c:axId val="1273977120"/>
        <c:axId val="1273978752"/>
      </c:lineChart>
      <c:catAx>
        <c:axId val="1273977120"/>
        <c:scaling>
          <c:orientation val="minMax"/>
        </c:scaling>
        <c:delete val="0"/>
        <c:axPos val="b"/>
        <c:numFmt formatCode="General" sourceLinked="0"/>
        <c:majorTickMark val="out"/>
        <c:minorTickMark val="none"/>
        <c:tickLblPos val="nextTo"/>
        <c:crossAx val="1273978752"/>
        <c:crosses val="autoZero"/>
        <c:auto val="1"/>
        <c:lblAlgn val="ctr"/>
        <c:lblOffset val="100"/>
        <c:noMultiLvlLbl val="0"/>
      </c:catAx>
      <c:valAx>
        <c:axId val="1273978752"/>
        <c:scaling>
          <c:orientation val="minMax"/>
        </c:scaling>
        <c:delete val="0"/>
        <c:axPos val="l"/>
        <c:majorGridlines/>
        <c:numFmt formatCode="_(* #,##0.0_);_(* \(#,##0.0\);_(* &quot;-&quot;??_);_(@_)" sourceLinked="1"/>
        <c:majorTickMark val="out"/>
        <c:minorTickMark val="none"/>
        <c:tickLblPos val="nextTo"/>
        <c:crossAx val="127397712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1850B-D8F2-4ADA-A515-15B7FB9B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27</Pages>
  <Words>8183</Words>
  <Characters>46646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Munshya Zoya M. Masocha</dc:creator>
  <cp:keywords/>
  <dc:description/>
  <cp:lastModifiedBy>Clement Kanyama</cp:lastModifiedBy>
  <cp:revision>4</cp:revision>
  <cp:lastPrinted>2019-10-26T16:29:00Z</cp:lastPrinted>
  <dcterms:created xsi:type="dcterms:W3CDTF">2019-10-26T16:54:00Z</dcterms:created>
  <dcterms:modified xsi:type="dcterms:W3CDTF">2019-10-26T17:36:00Z</dcterms:modified>
</cp:coreProperties>
</file>