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C095"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tabs>
          <w:tab w:val="left" w:pos="6663"/>
        </w:tabs>
        <w:rPr>
          <w:sz w:val="24"/>
          <w:szCs w:val="24"/>
        </w:rPr>
      </w:pPr>
      <w:r>
        <w:rPr>
          <w:sz w:val="24"/>
          <w:szCs w:val="24"/>
        </w:rPr>
        <w:t xml:space="preserve">  </w:t>
      </w:r>
    </w:p>
    <w:p w14:paraId="0F0DFDEE"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rPr>
          <w:sz w:val="24"/>
          <w:szCs w:val="24"/>
        </w:rPr>
      </w:pPr>
      <w:r>
        <w:rPr>
          <w:sz w:val="24"/>
          <w:szCs w:val="24"/>
        </w:rPr>
        <w:t xml:space="preserve">                           </w:t>
      </w:r>
    </w:p>
    <w:p w14:paraId="26D35939" w14:textId="77777777" w:rsidR="00F2356A" w:rsidRPr="00E27734"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rPr>
          <w:sz w:val="24"/>
          <w:szCs w:val="24"/>
        </w:rPr>
      </w:pPr>
      <w:r>
        <w:rPr>
          <w:noProof/>
          <w:sz w:val="24"/>
          <w:szCs w:val="24"/>
        </w:rPr>
        <w:drawing>
          <wp:inline distT="0" distB="0" distL="0" distR="0" wp14:anchorId="2D7D26E1" wp14:editId="35495B9B">
            <wp:extent cx="843591" cy="805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3591" cy="802256"/>
                    </a:xfrm>
                    <a:prstGeom prst="rect">
                      <a:avLst/>
                    </a:prstGeom>
                    <a:noFill/>
                    <a:ln w="9525">
                      <a:noFill/>
                      <a:miter lim="800000"/>
                      <a:headEnd/>
                      <a:tailEnd/>
                    </a:ln>
                  </pic:spPr>
                </pic:pic>
              </a:graphicData>
            </a:graphic>
          </wp:inline>
        </w:drawing>
      </w:r>
    </w:p>
    <w:p w14:paraId="1512974F" w14:textId="77777777" w:rsidR="00F2356A" w:rsidRPr="005B6F37"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tabs>
          <w:tab w:val="left" w:pos="6663"/>
        </w:tabs>
        <w:jc w:val="right"/>
        <w:rPr>
          <w:sz w:val="18"/>
          <w:szCs w:val="24"/>
        </w:rPr>
      </w:pPr>
    </w:p>
    <w:p w14:paraId="05435CA3" w14:textId="77777777" w:rsid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right"/>
        <w:rPr>
          <w:b w:val="0"/>
          <w:sz w:val="22"/>
          <w:szCs w:val="24"/>
        </w:rPr>
      </w:pPr>
    </w:p>
    <w:p w14:paraId="04458FC4" w14:textId="77777777" w:rsidR="004463B8" w:rsidRP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right"/>
        <w:rPr>
          <w:sz w:val="22"/>
          <w:szCs w:val="24"/>
        </w:rPr>
      </w:pPr>
      <w:proofErr w:type="spellStart"/>
      <w:r w:rsidRPr="004463B8">
        <w:rPr>
          <w:sz w:val="22"/>
          <w:szCs w:val="24"/>
        </w:rPr>
        <w:t>Distr</w:t>
      </w:r>
      <w:proofErr w:type="spellEnd"/>
    </w:p>
    <w:p w14:paraId="7BA90EAB" w14:textId="77777777" w:rsidR="004463B8" w:rsidRP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right"/>
        <w:rPr>
          <w:sz w:val="22"/>
          <w:szCs w:val="24"/>
        </w:rPr>
      </w:pPr>
      <w:r w:rsidRPr="004463B8">
        <w:rPr>
          <w:sz w:val="22"/>
          <w:szCs w:val="24"/>
        </w:rPr>
        <w:t>LIMITED</w:t>
      </w:r>
    </w:p>
    <w:p w14:paraId="1FA4A65E" w14:textId="77777777" w:rsidR="004463B8" w:rsidRP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right"/>
        <w:rPr>
          <w:sz w:val="22"/>
          <w:szCs w:val="24"/>
        </w:rPr>
      </w:pPr>
    </w:p>
    <w:p w14:paraId="0A8F1B86" w14:textId="77777777" w:rsidR="004463B8" w:rsidRP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right"/>
        <w:rPr>
          <w:sz w:val="22"/>
          <w:szCs w:val="24"/>
        </w:rPr>
      </w:pPr>
      <w:r w:rsidRPr="004463B8">
        <w:rPr>
          <w:sz w:val="22"/>
          <w:szCs w:val="24"/>
        </w:rPr>
        <w:t>CS/ADM/SC/XIX/5(C)</w:t>
      </w:r>
    </w:p>
    <w:p w14:paraId="2F1FA013" w14:textId="77777777" w:rsidR="00F2356A" w:rsidRPr="005B6F37"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right"/>
        <w:rPr>
          <w:b w:val="0"/>
          <w:sz w:val="22"/>
          <w:szCs w:val="24"/>
        </w:rPr>
      </w:pPr>
      <w:r w:rsidRPr="005B6F37">
        <w:rPr>
          <w:b w:val="0"/>
          <w:sz w:val="22"/>
          <w:szCs w:val="24"/>
        </w:rPr>
        <w:t xml:space="preserve">                                                                                          </w:t>
      </w:r>
    </w:p>
    <w:p w14:paraId="6B4CBBD0" w14:textId="77777777" w:rsidR="00F2356A" w:rsidRPr="005B6F37"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right"/>
        <w:rPr>
          <w:b w:val="0"/>
          <w:sz w:val="22"/>
          <w:szCs w:val="24"/>
        </w:rPr>
      </w:pPr>
      <w:r w:rsidRPr="005B6F37">
        <w:rPr>
          <w:sz w:val="22"/>
          <w:szCs w:val="24"/>
        </w:rPr>
        <w:t xml:space="preserve">                                                                                              </w:t>
      </w:r>
      <w:r w:rsidRPr="005B6F37">
        <w:rPr>
          <w:b w:val="0"/>
          <w:sz w:val="22"/>
          <w:szCs w:val="24"/>
        </w:rPr>
        <w:t>Original:</w:t>
      </w:r>
      <w:r w:rsidRPr="005B6F37">
        <w:rPr>
          <w:sz w:val="22"/>
          <w:szCs w:val="24"/>
        </w:rPr>
        <w:t xml:space="preserve"> ENGLISH</w:t>
      </w:r>
    </w:p>
    <w:p w14:paraId="79CDFC44" w14:textId="77777777" w:rsidR="00F2356A" w:rsidRPr="005B6F37"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6E53B782" w14:textId="77777777" w:rsidR="00F2356A" w:rsidRPr="005B6F37"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both"/>
        <w:rPr>
          <w:sz w:val="22"/>
          <w:szCs w:val="24"/>
        </w:rPr>
      </w:pPr>
      <w:r w:rsidRPr="005B6F37">
        <w:rPr>
          <w:sz w:val="22"/>
          <w:szCs w:val="24"/>
        </w:rPr>
        <w:t>COMMON MARKET FOR EASTERN</w:t>
      </w:r>
    </w:p>
    <w:p w14:paraId="1CB3EB58" w14:textId="77777777" w:rsidR="00F2356A" w:rsidRPr="005B6F37"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both"/>
        <w:rPr>
          <w:sz w:val="22"/>
          <w:szCs w:val="24"/>
        </w:rPr>
      </w:pPr>
      <w:r w:rsidRPr="005B6F37">
        <w:rPr>
          <w:sz w:val="22"/>
          <w:szCs w:val="24"/>
        </w:rPr>
        <w:t>AND SOUTHERN AFRICA</w:t>
      </w:r>
    </w:p>
    <w:p w14:paraId="3D583ED9" w14:textId="77777777" w:rsidR="00F2356A" w:rsidRPr="005B6F37"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7D6FE74A" w14:textId="77777777" w:rsidR="00F2356A" w:rsidRPr="004463B8"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4"/>
          <w:szCs w:val="24"/>
        </w:rPr>
      </w:pPr>
    </w:p>
    <w:p w14:paraId="490907A1" w14:textId="77F0DF57" w:rsidR="00F2356A" w:rsidRPr="004463B8" w:rsidRDefault="00AD19D9"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4"/>
          <w:szCs w:val="24"/>
        </w:rPr>
      </w:pPr>
      <w:r>
        <w:rPr>
          <w:b w:val="0"/>
          <w:sz w:val="24"/>
          <w:szCs w:val="24"/>
        </w:rPr>
        <w:t xml:space="preserve">Twenty </w:t>
      </w:r>
      <w:r w:rsidR="00E5464A">
        <w:rPr>
          <w:b w:val="0"/>
          <w:sz w:val="24"/>
          <w:szCs w:val="24"/>
        </w:rPr>
        <w:t>Second</w:t>
      </w:r>
      <w:r>
        <w:rPr>
          <w:b w:val="0"/>
          <w:sz w:val="24"/>
          <w:szCs w:val="24"/>
        </w:rPr>
        <w:t xml:space="preserve"> </w:t>
      </w:r>
      <w:r w:rsidR="004463B8" w:rsidRPr="004463B8">
        <w:rPr>
          <w:b w:val="0"/>
          <w:sz w:val="24"/>
          <w:szCs w:val="24"/>
        </w:rPr>
        <w:t>Meeting of the Sub-Committee on Audit</w:t>
      </w:r>
    </w:p>
    <w:p w14:paraId="7A768E2A" w14:textId="77777777" w:rsidR="004463B8" w:rsidRP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4"/>
          <w:szCs w:val="24"/>
        </w:rPr>
      </w:pPr>
      <w:r w:rsidRPr="004463B8">
        <w:rPr>
          <w:b w:val="0"/>
          <w:sz w:val="24"/>
          <w:szCs w:val="24"/>
        </w:rPr>
        <w:t>And Budgetary Matters</w:t>
      </w:r>
    </w:p>
    <w:p w14:paraId="3138E9EE" w14:textId="77777777" w:rsidR="004463B8" w:rsidRP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4"/>
          <w:szCs w:val="24"/>
        </w:rPr>
      </w:pPr>
    </w:p>
    <w:p w14:paraId="6F730EEC" w14:textId="6C06F651" w:rsidR="004463B8" w:rsidRPr="004463B8" w:rsidRDefault="00E5464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4"/>
          <w:szCs w:val="24"/>
        </w:rPr>
      </w:pPr>
      <w:r>
        <w:rPr>
          <w:b w:val="0"/>
          <w:sz w:val="24"/>
          <w:szCs w:val="24"/>
        </w:rPr>
        <w:t>30</w:t>
      </w:r>
      <w:r w:rsidRPr="00E5464A">
        <w:rPr>
          <w:b w:val="0"/>
          <w:sz w:val="24"/>
          <w:szCs w:val="24"/>
          <w:vertAlign w:val="superscript"/>
        </w:rPr>
        <w:t>th</w:t>
      </w:r>
      <w:r>
        <w:rPr>
          <w:b w:val="0"/>
          <w:sz w:val="24"/>
          <w:szCs w:val="24"/>
        </w:rPr>
        <w:t xml:space="preserve"> September – 5</w:t>
      </w:r>
      <w:r w:rsidRPr="00E5464A">
        <w:rPr>
          <w:b w:val="0"/>
          <w:sz w:val="24"/>
          <w:szCs w:val="24"/>
          <w:vertAlign w:val="superscript"/>
        </w:rPr>
        <w:t>th</w:t>
      </w:r>
      <w:r>
        <w:rPr>
          <w:b w:val="0"/>
          <w:sz w:val="24"/>
          <w:szCs w:val="24"/>
        </w:rPr>
        <w:t xml:space="preserve"> </w:t>
      </w:r>
      <w:r w:rsidRPr="004463B8">
        <w:rPr>
          <w:b w:val="0"/>
          <w:sz w:val="24"/>
          <w:szCs w:val="24"/>
        </w:rPr>
        <w:t>October</w:t>
      </w:r>
      <w:r w:rsidR="004463B8" w:rsidRPr="004463B8">
        <w:rPr>
          <w:b w:val="0"/>
          <w:sz w:val="24"/>
          <w:szCs w:val="24"/>
        </w:rPr>
        <w:t xml:space="preserve"> 201</w:t>
      </w:r>
      <w:r>
        <w:rPr>
          <w:b w:val="0"/>
          <w:sz w:val="24"/>
          <w:szCs w:val="24"/>
        </w:rPr>
        <w:t>9</w:t>
      </w:r>
    </w:p>
    <w:p w14:paraId="2C106E2B" w14:textId="77777777" w:rsidR="004463B8" w:rsidRP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4"/>
          <w:szCs w:val="24"/>
        </w:rPr>
      </w:pPr>
      <w:r w:rsidRPr="004463B8">
        <w:rPr>
          <w:b w:val="0"/>
          <w:sz w:val="24"/>
          <w:szCs w:val="24"/>
        </w:rPr>
        <w:t>Lusaka, Zambia</w:t>
      </w:r>
    </w:p>
    <w:p w14:paraId="0D5F39F9"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193FAA79"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3A7BB375"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36A05EA1"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415B1922"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5EE0149A"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55833D53"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26D469C7" w14:textId="77777777" w:rsid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3DEABBDA" w14:textId="77777777" w:rsidR="004463B8" w:rsidRPr="005B6F37"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b w:val="0"/>
          <w:sz w:val="22"/>
          <w:szCs w:val="24"/>
        </w:rPr>
      </w:pPr>
    </w:p>
    <w:p w14:paraId="71357BC0" w14:textId="4A37BAF2" w:rsidR="00F2356A" w:rsidRPr="005B6F37" w:rsidRDefault="005A1074"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rPr>
          <w:caps/>
          <w:sz w:val="32"/>
          <w:szCs w:val="24"/>
        </w:rPr>
      </w:pPr>
      <w:r>
        <w:rPr>
          <w:caps/>
          <w:sz w:val="32"/>
          <w:szCs w:val="24"/>
        </w:rPr>
        <w:t>20</w:t>
      </w:r>
      <w:r w:rsidR="00E5464A">
        <w:rPr>
          <w:caps/>
          <w:sz w:val="32"/>
          <w:szCs w:val="24"/>
        </w:rPr>
        <w:t>20</w:t>
      </w:r>
      <w:r w:rsidR="00F2356A" w:rsidRPr="005B6F37">
        <w:rPr>
          <w:caps/>
          <w:sz w:val="32"/>
          <w:szCs w:val="24"/>
        </w:rPr>
        <w:t xml:space="preserve"> COMESA</w:t>
      </w:r>
      <w:r w:rsidR="005D40FF">
        <w:rPr>
          <w:caps/>
          <w:sz w:val="32"/>
          <w:szCs w:val="24"/>
        </w:rPr>
        <w:t xml:space="preserve"> </w:t>
      </w:r>
      <w:r w:rsidR="00F2356A">
        <w:rPr>
          <w:caps/>
          <w:sz w:val="32"/>
          <w:szCs w:val="24"/>
        </w:rPr>
        <w:t>RIA DRAft budget</w:t>
      </w:r>
    </w:p>
    <w:p w14:paraId="2BD9619F"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rPr>
          <w:caps/>
          <w:sz w:val="22"/>
          <w:szCs w:val="24"/>
        </w:rPr>
      </w:pPr>
    </w:p>
    <w:p w14:paraId="4D82E7C1"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rPr>
          <w:caps/>
          <w:sz w:val="22"/>
          <w:szCs w:val="24"/>
        </w:rPr>
      </w:pPr>
    </w:p>
    <w:p w14:paraId="3201AC88"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rPr>
          <w:caps/>
          <w:sz w:val="22"/>
          <w:szCs w:val="24"/>
        </w:rPr>
      </w:pPr>
    </w:p>
    <w:p w14:paraId="0544B9F2"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caps/>
          <w:sz w:val="22"/>
          <w:szCs w:val="24"/>
        </w:rPr>
      </w:pPr>
    </w:p>
    <w:p w14:paraId="389E38E7" w14:textId="77777777" w:rsidR="00F2356A" w:rsidRPr="005B6F37"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rPr>
          <w:caps/>
          <w:sz w:val="22"/>
          <w:szCs w:val="24"/>
        </w:rPr>
      </w:pPr>
    </w:p>
    <w:p w14:paraId="28F9D467" w14:textId="77777777" w:rsidR="00F2356A" w:rsidRPr="003853FB"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left"/>
        <w:rPr>
          <w:sz w:val="22"/>
          <w:szCs w:val="22"/>
        </w:rPr>
      </w:pPr>
    </w:p>
    <w:p w14:paraId="13564F22"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both"/>
        <w:rPr>
          <w:b w:val="0"/>
          <w:sz w:val="20"/>
          <w:szCs w:val="22"/>
        </w:rPr>
      </w:pPr>
    </w:p>
    <w:p w14:paraId="71268B6A"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both"/>
        <w:rPr>
          <w:b w:val="0"/>
          <w:sz w:val="20"/>
          <w:szCs w:val="22"/>
        </w:rPr>
      </w:pPr>
    </w:p>
    <w:p w14:paraId="6EBF46F5"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both"/>
        <w:rPr>
          <w:b w:val="0"/>
          <w:sz w:val="20"/>
          <w:szCs w:val="22"/>
        </w:rPr>
      </w:pPr>
    </w:p>
    <w:p w14:paraId="3B12231C" w14:textId="77777777" w:rsidR="00F2356A" w:rsidRDefault="00F2356A"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both"/>
        <w:rPr>
          <w:b w:val="0"/>
          <w:sz w:val="20"/>
          <w:szCs w:val="22"/>
        </w:rPr>
      </w:pPr>
    </w:p>
    <w:p w14:paraId="41D9B79F" w14:textId="77777777" w:rsid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both"/>
        <w:rPr>
          <w:b w:val="0"/>
          <w:sz w:val="20"/>
          <w:szCs w:val="22"/>
        </w:rPr>
      </w:pPr>
    </w:p>
    <w:p w14:paraId="58662F6B" w14:textId="77777777" w:rsidR="004463B8" w:rsidRDefault="004463B8" w:rsidP="00D839C8">
      <w:pPr>
        <w:pStyle w:val="Title"/>
        <w:pBdr>
          <w:top w:val="thinThickThinSmallGap" w:sz="24" w:space="31" w:color="auto"/>
          <w:left w:val="thinThickThinSmallGap" w:sz="24" w:space="4" w:color="auto"/>
          <w:bottom w:val="thinThickThinSmallGap" w:sz="24" w:space="31" w:color="auto"/>
          <w:right w:val="thinThickThinSmallGap" w:sz="24" w:space="0" w:color="auto"/>
        </w:pBdr>
        <w:jc w:val="both"/>
        <w:rPr>
          <w:b w:val="0"/>
          <w:sz w:val="20"/>
          <w:szCs w:val="22"/>
        </w:rPr>
      </w:pPr>
    </w:p>
    <w:p w14:paraId="117DF902" w14:textId="77777777" w:rsidR="00F217DC" w:rsidRDefault="00F217DC">
      <w:pPr>
        <w:rPr>
          <w:rFonts w:asciiTheme="minorBidi" w:hAnsiTheme="minorBidi"/>
          <w:b/>
          <w:bCs/>
          <w:u w:val="single"/>
        </w:rPr>
      </w:pPr>
      <w:r>
        <w:rPr>
          <w:rFonts w:asciiTheme="minorBidi" w:hAnsiTheme="minorBidi"/>
          <w:b/>
          <w:bCs/>
          <w:u w:val="single"/>
        </w:rPr>
        <w:br w:type="page"/>
      </w:r>
    </w:p>
    <w:p w14:paraId="69D5B65D" w14:textId="1785ED54" w:rsidR="00B64E5F" w:rsidRDefault="005F0431" w:rsidP="004846C7">
      <w:pPr>
        <w:tabs>
          <w:tab w:val="left" w:pos="2520"/>
        </w:tabs>
        <w:ind w:left="-270" w:right="180"/>
        <w:rPr>
          <w:rFonts w:asciiTheme="minorBidi" w:hAnsiTheme="minorBidi"/>
          <w:b/>
          <w:bCs/>
          <w:u w:val="single"/>
        </w:rPr>
      </w:pPr>
      <w:bookmarkStart w:id="0" w:name="_MON_1630506253"/>
      <w:bookmarkEnd w:id="0"/>
      <w:r>
        <w:rPr>
          <w:rFonts w:asciiTheme="minorBidi" w:hAnsiTheme="minorBidi"/>
          <w:b/>
          <w:bCs/>
          <w:u w:val="single"/>
        </w:rPr>
        <w:lastRenderedPageBreak/>
        <w:pict w14:anchorId="2FDF2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5pt;height:578pt">
            <v:imagedata r:id="rId9" o:title=""/>
          </v:shape>
        </w:pict>
      </w:r>
    </w:p>
    <w:p w14:paraId="1C4F23B7" w14:textId="77777777" w:rsidR="00B64E5F" w:rsidRDefault="00B64E5F" w:rsidP="004463B8">
      <w:pPr>
        <w:ind w:left="-270"/>
        <w:rPr>
          <w:rFonts w:asciiTheme="minorBidi" w:hAnsiTheme="minorBidi"/>
          <w:b/>
          <w:bCs/>
          <w:u w:val="single"/>
        </w:rPr>
      </w:pPr>
    </w:p>
    <w:p w14:paraId="15FAA3D0" w14:textId="77777777" w:rsidR="005F0431" w:rsidRDefault="005F0431" w:rsidP="005F0431">
      <w:pPr>
        <w:ind w:left="-270"/>
        <w:rPr>
          <w:rFonts w:asciiTheme="minorBidi" w:hAnsiTheme="minorBidi"/>
          <w:b/>
          <w:bCs/>
          <w:u w:val="single"/>
        </w:rPr>
      </w:pPr>
      <w:r w:rsidRPr="00453EE3">
        <w:rPr>
          <w:rFonts w:asciiTheme="minorBidi" w:hAnsiTheme="minorBidi"/>
          <w:b/>
          <w:bCs/>
          <w:u w:val="single"/>
        </w:rPr>
        <w:t xml:space="preserve">Notes </w:t>
      </w:r>
      <w:r>
        <w:rPr>
          <w:rFonts w:asciiTheme="minorBidi" w:hAnsiTheme="minorBidi"/>
          <w:b/>
          <w:bCs/>
          <w:u w:val="single"/>
        </w:rPr>
        <w:t>t</w:t>
      </w:r>
      <w:r w:rsidRPr="00453EE3">
        <w:rPr>
          <w:rFonts w:asciiTheme="minorBidi" w:hAnsiTheme="minorBidi"/>
          <w:b/>
          <w:bCs/>
          <w:u w:val="single"/>
        </w:rPr>
        <w:t xml:space="preserve">o </w:t>
      </w:r>
      <w:r>
        <w:rPr>
          <w:rFonts w:asciiTheme="minorBidi" w:hAnsiTheme="minorBidi"/>
          <w:b/>
          <w:bCs/>
          <w:u w:val="single"/>
        </w:rPr>
        <w:t>t</w:t>
      </w:r>
      <w:r w:rsidRPr="00453EE3">
        <w:rPr>
          <w:rFonts w:asciiTheme="minorBidi" w:hAnsiTheme="minorBidi"/>
          <w:b/>
          <w:bCs/>
          <w:u w:val="single"/>
        </w:rPr>
        <w:t>he Budget</w:t>
      </w:r>
    </w:p>
    <w:p w14:paraId="4B6B2AF1" w14:textId="77777777" w:rsidR="005F0431" w:rsidRPr="00453EE3" w:rsidRDefault="005F0431" w:rsidP="005F0431">
      <w:pPr>
        <w:spacing w:after="0" w:line="240" w:lineRule="auto"/>
        <w:rPr>
          <w:rFonts w:asciiTheme="minorBidi" w:hAnsiTheme="minorBidi"/>
          <w:b/>
          <w:bCs/>
          <w:u w:val="single"/>
        </w:rPr>
      </w:pPr>
    </w:p>
    <w:p w14:paraId="695B4B38" w14:textId="77777777" w:rsidR="005F0431" w:rsidRPr="005D5655" w:rsidRDefault="005F0431" w:rsidP="005F0431">
      <w:pPr>
        <w:pStyle w:val="ListParagraph"/>
        <w:numPr>
          <w:ilvl w:val="0"/>
          <w:numId w:val="1"/>
        </w:numPr>
        <w:spacing w:after="0" w:line="240" w:lineRule="auto"/>
        <w:ind w:left="540" w:right="360" w:hanging="540"/>
        <w:jc w:val="both"/>
        <w:rPr>
          <w:rFonts w:asciiTheme="minorBidi" w:hAnsiTheme="minorBidi" w:cstheme="minorBidi"/>
          <w:b/>
          <w:bCs/>
        </w:rPr>
      </w:pPr>
      <w:r w:rsidRPr="005D5655">
        <w:rPr>
          <w:rFonts w:asciiTheme="minorBidi" w:hAnsiTheme="minorBidi" w:cstheme="minorBidi"/>
          <w:b/>
          <w:bCs/>
        </w:rPr>
        <w:t xml:space="preserve">Salary for Professionals </w:t>
      </w:r>
      <w:r w:rsidRPr="005D5655">
        <w:rPr>
          <w:rFonts w:asciiTheme="minorBidi" w:hAnsiTheme="minorBidi" w:cstheme="minorBidi"/>
        </w:rPr>
        <w:t>Based on the COMESA Professional cadre</w:t>
      </w:r>
      <w:r w:rsidRPr="005D5655">
        <w:rPr>
          <w:rFonts w:asciiTheme="minorBidi" w:hAnsiTheme="minorBidi" w:cstheme="minorBidi"/>
          <w:rtl/>
        </w:rPr>
        <w:t xml:space="preserve"> </w:t>
      </w:r>
      <w:r w:rsidRPr="005D5655">
        <w:rPr>
          <w:rFonts w:asciiTheme="minorBidi" w:hAnsiTheme="minorBidi" w:cstheme="minorBidi"/>
        </w:rPr>
        <w:t>scale. – Increase in Professional salaries budget due to the 20</w:t>
      </w:r>
      <w:r w:rsidRPr="005D5655">
        <w:rPr>
          <w:rFonts w:asciiTheme="minorBidi" w:hAnsiTheme="minorBidi" w:cstheme="minorBidi"/>
          <w:vertAlign w:val="superscript"/>
        </w:rPr>
        <w:t>th</w:t>
      </w:r>
      <w:r w:rsidRPr="005D5655">
        <w:rPr>
          <w:rFonts w:asciiTheme="minorBidi" w:hAnsiTheme="minorBidi" w:cstheme="minorBidi"/>
        </w:rPr>
        <w:t xml:space="preserve"> Board of Director decision “Upgra</w:t>
      </w:r>
      <w:r>
        <w:rPr>
          <w:rFonts w:asciiTheme="minorBidi" w:hAnsiTheme="minorBidi" w:cstheme="minorBidi"/>
        </w:rPr>
        <w:t>de</w:t>
      </w:r>
      <w:r w:rsidRPr="005D5655">
        <w:rPr>
          <w:rFonts w:asciiTheme="minorBidi" w:hAnsiTheme="minorBidi" w:cstheme="minorBidi"/>
        </w:rPr>
        <w:t xml:space="preserve"> the pos</w:t>
      </w:r>
      <w:r>
        <w:rPr>
          <w:rFonts w:asciiTheme="minorBidi" w:hAnsiTheme="minorBidi" w:cstheme="minorBidi"/>
        </w:rPr>
        <w:t>t</w:t>
      </w:r>
      <w:r w:rsidRPr="005D5655">
        <w:rPr>
          <w:rFonts w:asciiTheme="minorBidi" w:hAnsiTheme="minorBidi" w:cstheme="minorBidi"/>
        </w:rPr>
        <w:t xml:space="preserve"> of Research Analyst </w:t>
      </w:r>
      <w:bookmarkStart w:id="1" w:name="_GoBack"/>
      <w:bookmarkEnd w:id="1"/>
      <w:r w:rsidRPr="005D5655">
        <w:rPr>
          <w:rFonts w:asciiTheme="minorBidi" w:hAnsiTheme="minorBidi" w:cstheme="minorBidi"/>
        </w:rPr>
        <w:t>at from the current IC to a professional category</w:t>
      </w:r>
      <w:r>
        <w:rPr>
          <w:rFonts w:asciiTheme="minorBidi" w:hAnsiTheme="minorBidi" w:cstheme="minorBidi"/>
        </w:rPr>
        <w:t>.</w:t>
      </w:r>
    </w:p>
    <w:p w14:paraId="6E61A438" w14:textId="77777777" w:rsidR="005F0431" w:rsidRPr="005D5655" w:rsidRDefault="005F0431" w:rsidP="005F0431">
      <w:pPr>
        <w:pStyle w:val="ListParagraph"/>
        <w:spacing w:after="0" w:line="240" w:lineRule="auto"/>
        <w:ind w:left="540" w:right="360"/>
        <w:jc w:val="both"/>
        <w:rPr>
          <w:rFonts w:asciiTheme="minorBidi" w:hAnsiTheme="minorBidi" w:cstheme="minorBidi"/>
          <w:b/>
          <w:bCs/>
        </w:rPr>
      </w:pPr>
    </w:p>
    <w:p w14:paraId="32E5E25E" w14:textId="77777777" w:rsidR="005F0431" w:rsidRDefault="005F0431" w:rsidP="005F0431">
      <w:pPr>
        <w:pStyle w:val="ListParagraph"/>
        <w:numPr>
          <w:ilvl w:val="0"/>
          <w:numId w:val="1"/>
        </w:numPr>
        <w:spacing w:after="0" w:line="240" w:lineRule="auto"/>
        <w:ind w:left="540" w:hanging="540"/>
        <w:jc w:val="both"/>
        <w:rPr>
          <w:rFonts w:asciiTheme="minorBidi" w:hAnsiTheme="minorBidi" w:cstheme="minorBidi"/>
        </w:rPr>
      </w:pPr>
      <w:r w:rsidRPr="00453EE3">
        <w:rPr>
          <w:rFonts w:asciiTheme="minorBidi" w:hAnsiTheme="minorBidi" w:cstheme="minorBidi"/>
          <w:b/>
          <w:bCs/>
        </w:rPr>
        <w:t>Salary for RIA staff</w:t>
      </w:r>
      <w:r w:rsidRPr="00453EE3">
        <w:rPr>
          <w:rFonts w:asciiTheme="minorBidi" w:hAnsiTheme="minorBidi" w:cstheme="minorBidi"/>
        </w:rPr>
        <w:t xml:space="preserve"> Based on the COMESA IC </w:t>
      </w:r>
      <w:r>
        <w:rPr>
          <w:rFonts w:asciiTheme="minorBidi" w:hAnsiTheme="minorBidi" w:cstheme="minorBidi"/>
        </w:rPr>
        <w:t>c</w:t>
      </w:r>
      <w:r w:rsidRPr="00453EE3">
        <w:rPr>
          <w:rFonts w:asciiTheme="minorBidi" w:hAnsiTheme="minorBidi" w:cstheme="minorBidi"/>
        </w:rPr>
        <w:t>adre</w:t>
      </w:r>
      <w:r w:rsidRPr="00453EE3">
        <w:rPr>
          <w:rFonts w:asciiTheme="minorBidi" w:hAnsiTheme="minorBidi" w:cstheme="minorBidi"/>
          <w:rtl/>
        </w:rPr>
        <w:t xml:space="preserve"> </w:t>
      </w:r>
      <w:r>
        <w:rPr>
          <w:rFonts w:asciiTheme="minorBidi" w:hAnsiTheme="minorBidi" w:cstheme="minorBidi"/>
        </w:rPr>
        <w:t>scale.</w:t>
      </w:r>
    </w:p>
    <w:p w14:paraId="382A0AE3" w14:textId="77777777" w:rsidR="005F0431" w:rsidRPr="00453EE3" w:rsidRDefault="005F0431" w:rsidP="005F0431">
      <w:pPr>
        <w:pStyle w:val="ListParagraph"/>
        <w:spacing w:after="0" w:line="240" w:lineRule="auto"/>
        <w:ind w:left="540"/>
        <w:jc w:val="both"/>
        <w:rPr>
          <w:rFonts w:asciiTheme="minorBidi" w:hAnsiTheme="minorBidi" w:cstheme="minorBidi"/>
        </w:rPr>
      </w:pPr>
    </w:p>
    <w:p w14:paraId="3FF07F08" w14:textId="77777777" w:rsidR="005F0431" w:rsidRDefault="005F0431" w:rsidP="005F0431">
      <w:pPr>
        <w:pStyle w:val="ListParagraph"/>
        <w:numPr>
          <w:ilvl w:val="0"/>
          <w:numId w:val="1"/>
        </w:numPr>
        <w:spacing w:after="0" w:line="240" w:lineRule="auto"/>
        <w:ind w:left="540" w:hanging="540"/>
        <w:jc w:val="both"/>
        <w:rPr>
          <w:rFonts w:asciiTheme="minorBidi" w:hAnsiTheme="minorBidi" w:cstheme="minorBidi"/>
        </w:rPr>
      </w:pPr>
      <w:r w:rsidRPr="00453EE3">
        <w:rPr>
          <w:rFonts w:asciiTheme="minorBidi" w:hAnsiTheme="minorBidi" w:cstheme="minorBidi"/>
          <w:b/>
          <w:bCs/>
        </w:rPr>
        <w:t xml:space="preserve">Housing </w:t>
      </w:r>
      <w:r>
        <w:rPr>
          <w:rFonts w:asciiTheme="minorBidi" w:hAnsiTheme="minorBidi" w:cstheme="minorBidi"/>
          <w:b/>
          <w:bCs/>
        </w:rPr>
        <w:t>A</w:t>
      </w:r>
      <w:r w:rsidRPr="00453EE3">
        <w:rPr>
          <w:rFonts w:asciiTheme="minorBidi" w:hAnsiTheme="minorBidi" w:cstheme="minorBidi"/>
          <w:b/>
          <w:bCs/>
        </w:rPr>
        <w:t>llowance</w:t>
      </w:r>
      <w:r w:rsidRPr="00453EE3">
        <w:rPr>
          <w:rFonts w:asciiTheme="minorBidi" w:hAnsiTheme="minorBidi" w:cstheme="minorBidi"/>
        </w:rPr>
        <w:t xml:space="preserve"> Based on the COMESA IC </w:t>
      </w:r>
      <w:r>
        <w:rPr>
          <w:rFonts w:asciiTheme="minorBidi" w:hAnsiTheme="minorBidi" w:cstheme="minorBidi"/>
        </w:rPr>
        <w:t>c</w:t>
      </w:r>
      <w:r w:rsidRPr="00453EE3">
        <w:rPr>
          <w:rFonts w:asciiTheme="minorBidi" w:hAnsiTheme="minorBidi" w:cstheme="minorBidi"/>
        </w:rPr>
        <w:t>adre</w:t>
      </w:r>
      <w:r w:rsidRPr="00453EE3">
        <w:rPr>
          <w:rFonts w:asciiTheme="minorBidi" w:hAnsiTheme="minorBidi" w:cstheme="minorBidi"/>
          <w:rtl/>
        </w:rPr>
        <w:t xml:space="preserve"> </w:t>
      </w:r>
      <w:r>
        <w:rPr>
          <w:rFonts w:asciiTheme="minorBidi" w:hAnsiTheme="minorBidi" w:cstheme="minorBidi"/>
        </w:rPr>
        <w:t>scale.</w:t>
      </w:r>
    </w:p>
    <w:p w14:paraId="08462436" w14:textId="77777777" w:rsidR="005F0431" w:rsidRPr="00453EE3" w:rsidRDefault="005F0431" w:rsidP="005F0431">
      <w:pPr>
        <w:pStyle w:val="ListParagraph"/>
        <w:spacing w:after="0" w:line="240" w:lineRule="auto"/>
        <w:ind w:left="540"/>
        <w:jc w:val="both"/>
        <w:rPr>
          <w:rFonts w:asciiTheme="minorBidi" w:hAnsiTheme="minorBidi" w:cstheme="minorBidi"/>
        </w:rPr>
      </w:pPr>
    </w:p>
    <w:p w14:paraId="05E7D7FB" w14:textId="77777777" w:rsidR="005F0431" w:rsidRDefault="005F0431" w:rsidP="005F0431">
      <w:pPr>
        <w:pStyle w:val="ListParagraph"/>
        <w:numPr>
          <w:ilvl w:val="0"/>
          <w:numId w:val="1"/>
        </w:numPr>
        <w:spacing w:after="0" w:line="240" w:lineRule="auto"/>
        <w:ind w:left="540" w:hanging="540"/>
        <w:jc w:val="both"/>
        <w:rPr>
          <w:rFonts w:asciiTheme="minorBidi" w:hAnsiTheme="minorBidi" w:cstheme="minorBidi"/>
        </w:rPr>
      </w:pPr>
      <w:r w:rsidRPr="00453EE3">
        <w:rPr>
          <w:rFonts w:asciiTheme="minorBidi" w:hAnsiTheme="minorBidi" w:cstheme="minorBidi"/>
          <w:b/>
          <w:bCs/>
        </w:rPr>
        <w:t xml:space="preserve">Dependents </w:t>
      </w:r>
      <w:r>
        <w:rPr>
          <w:rFonts w:asciiTheme="minorBidi" w:hAnsiTheme="minorBidi" w:cstheme="minorBidi"/>
          <w:b/>
          <w:bCs/>
        </w:rPr>
        <w:t>A</w:t>
      </w:r>
      <w:r w:rsidRPr="00453EE3">
        <w:rPr>
          <w:rFonts w:asciiTheme="minorBidi" w:hAnsiTheme="minorBidi" w:cstheme="minorBidi"/>
          <w:b/>
          <w:bCs/>
        </w:rPr>
        <w:t>llowance</w:t>
      </w:r>
      <w:r w:rsidRPr="00453EE3">
        <w:rPr>
          <w:rFonts w:asciiTheme="minorBidi" w:hAnsiTheme="minorBidi" w:cstheme="minorBidi"/>
        </w:rPr>
        <w:t xml:space="preserve"> Based on the COMESA IC </w:t>
      </w:r>
      <w:r>
        <w:rPr>
          <w:rFonts w:asciiTheme="minorBidi" w:hAnsiTheme="minorBidi" w:cstheme="minorBidi"/>
        </w:rPr>
        <w:t>c</w:t>
      </w:r>
      <w:r w:rsidRPr="00453EE3">
        <w:rPr>
          <w:rFonts w:asciiTheme="minorBidi" w:hAnsiTheme="minorBidi" w:cstheme="minorBidi"/>
        </w:rPr>
        <w:t>adre</w:t>
      </w:r>
      <w:r w:rsidRPr="00453EE3">
        <w:rPr>
          <w:rFonts w:asciiTheme="minorBidi" w:hAnsiTheme="minorBidi" w:cstheme="minorBidi"/>
          <w:rtl/>
        </w:rPr>
        <w:t xml:space="preserve"> </w:t>
      </w:r>
      <w:r>
        <w:rPr>
          <w:rFonts w:asciiTheme="minorBidi" w:hAnsiTheme="minorBidi" w:cstheme="minorBidi"/>
        </w:rPr>
        <w:t>scale.</w:t>
      </w:r>
    </w:p>
    <w:p w14:paraId="2A5559AE" w14:textId="77777777" w:rsidR="005F0431" w:rsidRPr="00453EE3" w:rsidRDefault="005F0431" w:rsidP="005F0431">
      <w:pPr>
        <w:pStyle w:val="ListParagraph"/>
        <w:spacing w:after="0" w:line="240" w:lineRule="auto"/>
        <w:ind w:left="540"/>
        <w:jc w:val="both"/>
        <w:rPr>
          <w:rFonts w:asciiTheme="minorBidi" w:hAnsiTheme="minorBidi" w:cstheme="minorBidi"/>
        </w:rPr>
      </w:pPr>
    </w:p>
    <w:p w14:paraId="275E231B" w14:textId="77777777" w:rsidR="005F0431" w:rsidRDefault="005F0431" w:rsidP="005F0431">
      <w:pPr>
        <w:pStyle w:val="ListParagraph"/>
        <w:numPr>
          <w:ilvl w:val="0"/>
          <w:numId w:val="1"/>
        </w:numPr>
        <w:spacing w:after="0" w:line="240" w:lineRule="auto"/>
        <w:ind w:left="540" w:hanging="540"/>
        <w:jc w:val="both"/>
        <w:rPr>
          <w:rFonts w:asciiTheme="minorBidi" w:hAnsiTheme="minorBidi" w:cstheme="minorBidi"/>
        </w:rPr>
      </w:pPr>
      <w:r w:rsidRPr="00453EE3">
        <w:rPr>
          <w:rFonts w:asciiTheme="minorBidi" w:hAnsiTheme="minorBidi" w:cstheme="minorBidi"/>
          <w:b/>
          <w:bCs/>
        </w:rPr>
        <w:t>Gratuity</w:t>
      </w:r>
      <w:r>
        <w:rPr>
          <w:rFonts w:asciiTheme="minorBidi" w:hAnsiTheme="minorBidi" w:cstheme="minorBidi"/>
        </w:rPr>
        <w:t xml:space="preserve"> </w:t>
      </w:r>
      <w:r w:rsidRPr="00453EE3">
        <w:rPr>
          <w:rFonts w:asciiTheme="minorBidi" w:hAnsiTheme="minorBidi" w:cstheme="minorBidi"/>
        </w:rPr>
        <w:t xml:space="preserve">15% of </w:t>
      </w:r>
      <w:r>
        <w:rPr>
          <w:rFonts w:asciiTheme="minorBidi" w:hAnsiTheme="minorBidi" w:cstheme="minorBidi"/>
        </w:rPr>
        <w:t>RIA staff’s monthly salary.</w:t>
      </w:r>
    </w:p>
    <w:p w14:paraId="617593CE" w14:textId="77777777" w:rsidR="005F0431" w:rsidRPr="00453EE3" w:rsidRDefault="005F0431" w:rsidP="005F0431">
      <w:pPr>
        <w:pStyle w:val="ListParagraph"/>
        <w:spacing w:after="0" w:line="240" w:lineRule="auto"/>
        <w:ind w:left="540"/>
        <w:jc w:val="both"/>
        <w:rPr>
          <w:rFonts w:asciiTheme="minorBidi" w:hAnsiTheme="minorBidi" w:cstheme="minorBidi"/>
        </w:rPr>
      </w:pPr>
    </w:p>
    <w:p w14:paraId="76B42D3C" w14:textId="77777777" w:rsidR="005F0431" w:rsidRDefault="005F0431" w:rsidP="005F0431">
      <w:pPr>
        <w:pStyle w:val="ListParagraph"/>
        <w:numPr>
          <w:ilvl w:val="0"/>
          <w:numId w:val="1"/>
        </w:numPr>
        <w:spacing w:after="0" w:line="240" w:lineRule="auto"/>
        <w:ind w:left="540" w:hanging="540"/>
        <w:jc w:val="both"/>
        <w:rPr>
          <w:rFonts w:asciiTheme="minorBidi" w:hAnsiTheme="minorBidi" w:cstheme="minorBidi"/>
        </w:rPr>
      </w:pPr>
      <w:r w:rsidRPr="00453EE3">
        <w:rPr>
          <w:rFonts w:asciiTheme="minorBidi" w:hAnsiTheme="minorBidi" w:cstheme="minorBidi"/>
          <w:b/>
          <w:bCs/>
        </w:rPr>
        <w:t>Medical Allowance</w:t>
      </w:r>
      <w:r w:rsidRPr="00453EE3">
        <w:rPr>
          <w:rFonts w:asciiTheme="minorBidi" w:hAnsiTheme="minorBidi" w:cstheme="minorBidi"/>
        </w:rPr>
        <w:t xml:space="preserve"> RIA staff </w:t>
      </w:r>
      <w:r>
        <w:rPr>
          <w:rFonts w:asciiTheme="minorBidi" w:hAnsiTheme="minorBidi" w:cstheme="minorBidi"/>
        </w:rPr>
        <w:t xml:space="preserve">are </w:t>
      </w:r>
      <w:r w:rsidRPr="00453EE3">
        <w:rPr>
          <w:rFonts w:asciiTheme="minorBidi" w:hAnsiTheme="minorBidi" w:cstheme="minorBidi"/>
        </w:rPr>
        <w:t xml:space="preserve">entitled </w:t>
      </w:r>
      <w:r>
        <w:rPr>
          <w:rFonts w:asciiTheme="minorBidi" w:hAnsiTheme="minorBidi" w:cstheme="minorBidi"/>
        </w:rPr>
        <w:t>to a</w:t>
      </w:r>
      <w:r w:rsidRPr="00453EE3">
        <w:rPr>
          <w:rFonts w:asciiTheme="minorBidi" w:hAnsiTheme="minorBidi" w:cstheme="minorBidi"/>
        </w:rPr>
        <w:t xml:space="preserve"> medical allowance </w:t>
      </w:r>
      <w:r>
        <w:rPr>
          <w:rFonts w:asciiTheme="minorBidi" w:hAnsiTheme="minorBidi" w:cstheme="minorBidi"/>
        </w:rPr>
        <w:t>of up to USD 3,750 per year.</w:t>
      </w:r>
    </w:p>
    <w:p w14:paraId="79384A1C" w14:textId="77777777" w:rsidR="005F0431" w:rsidRPr="00453EE3" w:rsidRDefault="005F0431" w:rsidP="005F0431">
      <w:pPr>
        <w:pStyle w:val="ListParagraph"/>
        <w:spacing w:after="0" w:line="240" w:lineRule="auto"/>
        <w:ind w:left="540"/>
        <w:jc w:val="both"/>
        <w:rPr>
          <w:rFonts w:asciiTheme="minorBidi" w:hAnsiTheme="minorBidi" w:cstheme="minorBidi"/>
        </w:rPr>
      </w:pPr>
    </w:p>
    <w:p w14:paraId="7F8002FD" w14:textId="77777777" w:rsidR="005F0431" w:rsidRDefault="005F0431" w:rsidP="005F0431">
      <w:pPr>
        <w:pStyle w:val="ListParagraph"/>
        <w:numPr>
          <w:ilvl w:val="0"/>
          <w:numId w:val="1"/>
        </w:numPr>
        <w:spacing w:after="0" w:line="240" w:lineRule="auto"/>
        <w:ind w:left="540" w:hanging="540"/>
        <w:jc w:val="both"/>
        <w:rPr>
          <w:rFonts w:asciiTheme="minorBidi" w:hAnsiTheme="minorBidi" w:cstheme="minorBidi"/>
        </w:rPr>
      </w:pPr>
      <w:r w:rsidRPr="00453EE3">
        <w:rPr>
          <w:rFonts w:asciiTheme="minorBidi" w:hAnsiTheme="minorBidi" w:cstheme="minorBidi"/>
          <w:b/>
          <w:bCs/>
        </w:rPr>
        <w:t xml:space="preserve">Education </w:t>
      </w:r>
      <w:r>
        <w:rPr>
          <w:rFonts w:asciiTheme="minorBidi" w:hAnsiTheme="minorBidi" w:cstheme="minorBidi"/>
          <w:b/>
          <w:bCs/>
        </w:rPr>
        <w:t>A</w:t>
      </w:r>
      <w:r w:rsidRPr="00453EE3">
        <w:rPr>
          <w:rFonts w:asciiTheme="minorBidi" w:hAnsiTheme="minorBidi" w:cstheme="minorBidi"/>
          <w:b/>
          <w:bCs/>
        </w:rPr>
        <w:t>llowance</w:t>
      </w:r>
      <w:r w:rsidRPr="00453EE3">
        <w:rPr>
          <w:rFonts w:asciiTheme="minorBidi" w:hAnsiTheme="minorBidi" w:cstheme="minorBidi"/>
        </w:rPr>
        <w:t xml:space="preserve"> RIA staff </w:t>
      </w:r>
      <w:r>
        <w:rPr>
          <w:rFonts w:asciiTheme="minorBidi" w:hAnsiTheme="minorBidi" w:cstheme="minorBidi"/>
        </w:rPr>
        <w:t>are</w:t>
      </w:r>
      <w:r w:rsidRPr="00453EE3">
        <w:rPr>
          <w:rFonts w:asciiTheme="minorBidi" w:hAnsiTheme="minorBidi" w:cstheme="minorBidi"/>
        </w:rPr>
        <w:t xml:space="preserve"> entitled </w:t>
      </w:r>
      <w:r>
        <w:rPr>
          <w:rFonts w:asciiTheme="minorBidi" w:hAnsiTheme="minorBidi" w:cstheme="minorBidi"/>
        </w:rPr>
        <w:t>to an</w:t>
      </w:r>
      <w:r w:rsidRPr="00453EE3">
        <w:rPr>
          <w:rFonts w:asciiTheme="minorBidi" w:hAnsiTheme="minorBidi" w:cstheme="minorBidi"/>
        </w:rPr>
        <w:t xml:space="preserve"> education allowance </w:t>
      </w:r>
      <w:r>
        <w:rPr>
          <w:rFonts w:asciiTheme="minorBidi" w:hAnsiTheme="minorBidi" w:cstheme="minorBidi"/>
        </w:rPr>
        <w:t>of up to USD 2,888 per child.</w:t>
      </w:r>
    </w:p>
    <w:p w14:paraId="6CFF969F" w14:textId="77777777" w:rsidR="005F0431" w:rsidRPr="00F217DC" w:rsidRDefault="005F0431" w:rsidP="005F0431">
      <w:pPr>
        <w:spacing w:after="0" w:line="240" w:lineRule="auto"/>
        <w:jc w:val="both"/>
        <w:rPr>
          <w:rFonts w:asciiTheme="minorBidi" w:hAnsiTheme="minorBidi"/>
        </w:rPr>
      </w:pPr>
    </w:p>
    <w:p w14:paraId="24425590" w14:textId="77777777" w:rsidR="005F0431" w:rsidRPr="00F217DC" w:rsidRDefault="005F0431" w:rsidP="005F0431">
      <w:pPr>
        <w:pStyle w:val="ListParagraph"/>
        <w:numPr>
          <w:ilvl w:val="0"/>
          <w:numId w:val="3"/>
        </w:numPr>
        <w:spacing w:after="0" w:line="240" w:lineRule="auto"/>
        <w:ind w:hanging="540"/>
        <w:jc w:val="both"/>
        <w:rPr>
          <w:rFonts w:asciiTheme="minorBidi" w:hAnsiTheme="minorBidi" w:cstheme="minorBidi"/>
          <w:b/>
          <w:bCs/>
        </w:rPr>
      </w:pPr>
      <w:r>
        <w:rPr>
          <w:rFonts w:asciiTheme="minorBidi" w:hAnsiTheme="minorBidi" w:cstheme="minorBidi"/>
          <w:b/>
          <w:bCs/>
        </w:rPr>
        <w:t xml:space="preserve">Hospitality </w:t>
      </w:r>
      <w:r>
        <w:rPr>
          <w:rFonts w:asciiTheme="minorBidi" w:hAnsiTheme="minorBidi" w:cstheme="minorBidi"/>
        </w:rPr>
        <w:t xml:space="preserve">To accommodate guests and invite relevant key individuals (officials, private sector, etc.) </w:t>
      </w:r>
    </w:p>
    <w:p w14:paraId="1FD93C46" w14:textId="77777777" w:rsidR="005F0431" w:rsidRPr="00F217DC" w:rsidRDefault="005F0431" w:rsidP="005F0431">
      <w:pPr>
        <w:spacing w:after="0" w:line="240" w:lineRule="auto"/>
        <w:jc w:val="both"/>
        <w:rPr>
          <w:rFonts w:asciiTheme="minorBidi" w:hAnsiTheme="minorBidi"/>
          <w:b/>
          <w:bCs/>
        </w:rPr>
      </w:pPr>
    </w:p>
    <w:p w14:paraId="6BE9FD6D" w14:textId="77777777" w:rsidR="005F0431" w:rsidRPr="00A8547F" w:rsidRDefault="005F0431" w:rsidP="005F0431">
      <w:pPr>
        <w:pStyle w:val="ListParagraph"/>
        <w:numPr>
          <w:ilvl w:val="0"/>
          <w:numId w:val="3"/>
        </w:numPr>
        <w:spacing w:after="0" w:line="240" w:lineRule="auto"/>
        <w:ind w:right="360" w:hanging="540"/>
        <w:jc w:val="both"/>
        <w:rPr>
          <w:rFonts w:asciiTheme="minorBidi" w:hAnsiTheme="minorBidi"/>
          <w:b/>
          <w:bCs/>
        </w:rPr>
      </w:pPr>
      <w:r>
        <w:rPr>
          <w:rFonts w:asciiTheme="minorBidi" w:hAnsiTheme="minorBidi" w:cstheme="minorBidi"/>
          <w:b/>
          <w:bCs/>
        </w:rPr>
        <w:t>Technical Meeting: The budget line will cater for an annual stakeholders meeting which will include all National Investment Agencies of the Member States.</w:t>
      </w:r>
    </w:p>
    <w:p w14:paraId="0D484C58" w14:textId="77777777" w:rsidR="005F0431" w:rsidRPr="005F0431" w:rsidRDefault="005F0431" w:rsidP="005F0431">
      <w:pPr>
        <w:spacing w:after="0" w:line="240" w:lineRule="auto"/>
        <w:ind w:left="540" w:right="270"/>
        <w:jc w:val="both"/>
        <w:rPr>
          <w:rFonts w:asciiTheme="minorBidi" w:hAnsiTheme="minorBidi"/>
        </w:rPr>
      </w:pPr>
      <w:r w:rsidRPr="005F0431">
        <w:rPr>
          <w:rFonts w:asciiTheme="minorBidi" w:hAnsiTheme="minorBidi"/>
        </w:rPr>
        <w:t>During COMESA RIA’s 21</w:t>
      </w:r>
      <w:r w:rsidRPr="005F0431">
        <w:rPr>
          <w:rFonts w:asciiTheme="minorBidi" w:hAnsiTheme="minorBidi"/>
          <w:vertAlign w:val="superscript"/>
        </w:rPr>
        <w:t>st</w:t>
      </w:r>
      <w:r w:rsidRPr="005F0431">
        <w:rPr>
          <w:rFonts w:asciiTheme="minorBidi" w:hAnsiTheme="minorBidi"/>
        </w:rPr>
        <w:t xml:space="preserve"> Board of Directors meeting, decided that COMESA RIA organises a meeting for all CEOs and Heads of COMESA National Investment Promotion Agencies (NIPAs) aiming at networking, sharing successful experiences and practices as well as enhancing intra-regional collaboration as has been identified as a key outcome of COMESA RIA’s Strategic Medium-Term Plan (SMTP). In addition to that, the seminar aims at discussing ideas and suggestions on how to enhance communication between COMESA RIA and Member NIPAs, more specifically feedback on the outcome of COMESA RIA services to them and collaborate in packaging investment opportunities. Furthermore, the board recommended that RIA and NIPAs shall engage and facilitate programs and initiatives related to regional integration such as promoting regional projects. </w:t>
      </w:r>
    </w:p>
    <w:p w14:paraId="29A57D6C" w14:textId="77777777" w:rsidR="005F0431" w:rsidRDefault="005F0431" w:rsidP="005F0431">
      <w:pPr>
        <w:pStyle w:val="ListParagraph"/>
        <w:spacing w:after="0" w:line="240" w:lineRule="auto"/>
        <w:ind w:left="540"/>
        <w:jc w:val="both"/>
        <w:rPr>
          <w:rFonts w:asciiTheme="minorBidi" w:hAnsiTheme="minorBidi" w:cstheme="minorBidi"/>
        </w:rPr>
      </w:pPr>
    </w:p>
    <w:p w14:paraId="4CC96D94" w14:textId="77777777" w:rsidR="005F0431" w:rsidRPr="00B22F54" w:rsidRDefault="005F0431" w:rsidP="005F0431">
      <w:pPr>
        <w:pStyle w:val="Default"/>
        <w:numPr>
          <w:ilvl w:val="0"/>
          <w:numId w:val="3"/>
        </w:numPr>
        <w:ind w:left="360"/>
      </w:pPr>
      <w:r>
        <w:rPr>
          <w:rFonts w:asciiTheme="minorBidi" w:hAnsiTheme="minorBidi" w:cstheme="minorBidi"/>
          <w:b/>
          <w:bCs/>
        </w:rPr>
        <w:t xml:space="preserve">   </w:t>
      </w:r>
      <w:r w:rsidRPr="00B22F54">
        <w:rPr>
          <w:rFonts w:asciiTheme="minorBidi" w:hAnsiTheme="minorBidi" w:cstheme="minorBidi"/>
          <w:b/>
          <w:bCs/>
        </w:rPr>
        <w:t>Meetings and Workshops</w:t>
      </w:r>
      <w:r>
        <w:rPr>
          <w:rFonts w:asciiTheme="minorBidi" w:hAnsiTheme="minorBidi" w:cstheme="minorBidi"/>
          <w:b/>
          <w:bCs/>
        </w:rPr>
        <w:t xml:space="preserve"> </w:t>
      </w:r>
      <w:r>
        <w:rPr>
          <w:sz w:val="22"/>
          <w:szCs w:val="22"/>
        </w:rPr>
        <w:t xml:space="preserve">To support capacity building and promotional activities </w:t>
      </w:r>
    </w:p>
    <w:p w14:paraId="7BE35359" w14:textId="77777777" w:rsidR="005F0431" w:rsidRPr="00A8547F" w:rsidRDefault="005F0431" w:rsidP="005F0431">
      <w:pPr>
        <w:spacing w:after="0" w:line="240" w:lineRule="auto"/>
        <w:jc w:val="both"/>
        <w:rPr>
          <w:rFonts w:asciiTheme="minorBidi" w:hAnsiTheme="minorBidi"/>
          <w:b/>
          <w:bCs/>
        </w:rPr>
      </w:pPr>
    </w:p>
    <w:p w14:paraId="5B0181CE" w14:textId="77777777" w:rsidR="005F0431" w:rsidRDefault="005F0431" w:rsidP="005F0431">
      <w:pPr>
        <w:pStyle w:val="ListParagraph"/>
        <w:numPr>
          <w:ilvl w:val="0"/>
          <w:numId w:val="4"/>
        </w:numPr>
        <w:spacing w:after="0" w:line="240" w:lineRule="auto"/>
        <w:ind w:left="360" w:right="270"/>
        <w:jc w:val="both"/>
        <w:rPr>
          <w:rFonts w:asciiTheme="minorBidi" w:hAnsiTheme="minorBidi" w:cstheme="minorBidi"/>
        </w:rPr>
      </w:pPr>
      <w:r>
        <w:rPr>
          <w:rFonts w:asciiTheme="minorBidi" w:hAnsiTheme="minorBidi" w:cstheme="minorBidi"/>
          <w:b/>
          <w:bCs/>
        </w:rPr>
        <w:t xml:space="preserve">   Board Expenses </w:t>
      </w:r>
      <w:r>
        <w:rPr>
          <w:rFonts w:asciiTheme="minorBidi" w:hAnsiTheme="minorBidi" w:cstheme="minorBidi"/>
        </w:rPr>
        <w:t>To review RIA’s operations, proposed budget and workplan, and provide strategic direction.</w:t>
      </w:r>
    </w:p>
    <w:p w14:paraId="63DD9B11" w14:textId="77777777" w:rsidR="005F0431" w:rsidRPr="00D830B8" w:rsidRDefault="005F0431" w:rsidP="005F0431">
      <w:pPr>
        <w:spacing w:after="0" w:line="240" w:lineRule="auto"/>
        <w:jc w:val="both"/>
        <w:rPr>
          <w:rFonts w:asciiTheme="minorBidi" w:hAnsiTheme="minorBidi"/>
        </w:rPr>
      </w:pPr>
    </w:p>
    <w:p w14:paraId="4792D635" w14:textId="77777777" w:rsidR="005F0431" w:rsidRDefault="005F0431" w:rsidP="005F0431">
      <w:pPr>
        <w:pStyle w:val="ListParagraph"/>
        <w:numPr>
          <w:ilvl w:val="0"/>
          <w:numId w:val="4"/>
        </w:numPr>
        <w:spacing w:after="0" w:line="240" w:lineRule="auto"/>
        <w:ind w:right="180" w:hanging="540"/>
        <w:jc w:val="both"/>
        <w:rPr>
          <w:rFonts w:asciiTheme="minorBidi" w:hAnsiTheme="minorBidi" w:cstheme="minorBidi"/>
        </w:rPr>
      </w:pPr>
      <w:r w:rsidRPr="00453EE3">
        <w:rPr>
          <w:rFonts w:asciiTheme="minorBidi" w:hAnsiTheme="minorBidi" w:cstheme="minorBidi"/>
          <w:b/>
          <w:bCs/>
        </w:rPr>
        <w:t>Travel Expenses</w:t>
      </w:r>
      <w:r w:rsidRPr="00453EE3">
        <w:rPr>
          <w:rFonts w:asciiTheme="minorBidi" w:hAnsiTheme="minorBidi" w:cstheme="minorBidi"/>
        </w:rPr>
        <w:t xml:space="preserve"> </w:t>
      </w:r>
      <w:r>
        <w:rPr>
          <w:rFonts w:asciiTheme="minorBidi" w:hAnsiTheme="minorBidi" w:cstheme="minorBidi"/>
        </w:rPr>
        <w:t xml:space="preserve">To </w:t>
      </w:r>
      <w:r w:rsidRPr="00453EE3">
        <w:rPr>
          <w:rFonts w:asciiTheme="minorBidi" w:hAnsiTheme="minorBidi" w:cstheme="minorBidi"/>
        </w:rPr>
        <w:t>cover</w:t>
      </w:r>
      <w:r>
        <w:rPr>
          <w:rFonts w:asciiTheme="minorBidi" w:hAnsiTheme="minorBidi" w:cstheme="minorBidi"/>
        </w:rPr>
        <w:t xml:space="preserve"> RIA staff mission expenses required to successfully implement RIA’s work plan. The missions are divided into promotional missions, capacity building missions, and resource mobilisation missions.</w:t>
      </w:r>
    </w:p>
    <w:p w14:paraId="673092D5" w14:textId="77777777" w:rsidR="005F0431" w:rsidRPr="004846C7" w:rsidRDefault="005F0431" w:rsidP="005F0431">
      <w:pPr>
        <w:spacing w:after="0" w:line="240" w:lineRule="auto"/>
        <w:jc w:val="both"/>
        <w:rPr>
          <w:rFonts w:asciiTheme="minorBidi" w:hAnsiTheme="minorBidi"/>
        </w:rPr>
      </w:pPr>
    </w:p>
    <w:p w14:paraId="4D7DDE94" w14:textId="77777777" w:rsidR="005F0431" w:rsidRDefault="005F0431" w:rsidP="005F0431">
      <w:pPr>
        <w:pStyle w:val="ListParagraph"/>
        <w:numPr>
          <w:ilvl w:val="0"/>
          <w:numId w:val="4"/>
        </w:numPr>
        <w:spacing w:after="0" w:line="240" w:lineRule="auto"/>
        <w:ind w:right="180" w:hanging="540"/>
        <w:jc w:val="both"/>
        <w:rPr>
          <w:rFonts w:ascii="Arial" w:hAnsi="Arial"/>
          <w:bCs/>
          <w:lang w:bidi="ar-EG"/>
        </w:rPr>
      </w:pPr>
      <w:r w:rsidRPr="00512FB1">
        <w:rPr>
          <w:rFonts w:asciiTheme="minorBidi" w:hAnsiTheme="minorBidi" w:cstheme="minorBidi"/>
          <w:b/>
          <w:bCs/>
        </w:rPr>
        <w:t>Production of Publications</w:t>
      </w:r>
      <w:r w:rsidRPr="00512FB1">
        <w:rPr>
          <w:rFonts w:cstheme="minorBidi"/>
          <w:b/>
          <w:bCs/>
        </w:rPr>
        <w:t xml:space="preserve"> </w:t>
      </w:r>
      <w:r w:rsidRPr="004A5A23">
        <w:rPr>
          <w:rFonts w:ascii="Arial" w:hAnsi="Arial"/>
          <w:bCs/>
          <w:lang w:bidi="ar-EG"/>
        </w:rPr>
        <w:t>COMESA RIA produces various promotional publications annually, each publication has a specific targeted audience as well as specific objective. Some of these publications aim at promoting a single Member State’s business and investment environment, while others promote the COMESA region collectively as an attractive investment destination. In addition to that, COMESA RIA produces publications aim at introducing RIA’s mission, vision, services, and achievements to all regional and international FDI stakeholders.</w:t>
      </w:r>
      <w:r>
        <w:rPr>
          <w:rFonts w:ascii="Arial" w:hAnsi="Arial"/>
          <w:bCs/>
          <w:lang w:bidi="ar-EG"/>
        </w:rPr>
        <w:t xml:space="preserve"> </w:t>
      </w:r>
    </w:p>
    <w:p w14:paraId="70D0AE80" w14:textId="77777777" w:rsidR="005F0431" w:rsidRDefault="005F0431" w:rsidP="005F0431">
      <w:pPr>
        <w:pStyle w:val="ListParagraph"/>
        <w:spacing w:after="0" w:line="240" w:lineRule="auto"/>
        <w:ind w:left="540"/>
        <w:jc w:val="both"/>
        <w:rPr>
          <w:rFonts w:ascii="Arial" w:hAnsi="Arial"/>
          <w:bCs/>
          <w:lang w:bidi="ar-EG"/>
        </w:rPr>
      </w:pPr>
    </w:p>
    <w:p w14:paraId="10C3636F" w14:textId="77777777" w:rsidR="005F0431" w:rsidRPr="004846C7" w:rsidRDefault="005F0431" w:rsidP="005F0431">
      <w:pPr>
        <w:pStyle w:val="ListParagraph"/>
        <w:numPr>
          <w:ilvl w:val="0"/>
          <w:numId w:val="4"/>
        </w:numPr>
        <w:spacing w:after="0" w:line="240" w:lineRule="auto"/>
        <w:ind w:hanging="540"/>
        <w:jc w:val="both"/>
        <w:rPr>
          <w:rFonts w:asciiTheme="minorBidi" w:hAnsiTheme="minorBidi" w:cstheme="minorBidi"/>
          <w:b/>
          <w:bCs/>
          <w:vanish/>
        </w:rPr>
      </w:pPr>
    </w:p>
    <w:p w14:paraId="32CA4169" w14:textId="77777777" w:rsidR="005F0431" w:rsidRPr="004846C7" w:rsidRDefault="005F0431" w:rsidP="005F0431">
      <w:pPr>
        <w:pStyle w:val="ListParagraph"/>
        <w:numPr>
          <w:ilvl w:val="0"/>
          <w:numId w:val="4"/>
        </w:numPr>
        <w:spacing w:after="0" w:line="240" w:lineRule="auto"/>
        <w:ind w:hanging="540"/>
        <w:jc w:val="both"/>
        <w:rPr>
          <w:rFonts w:asciiTheme="minorBidi" w:hAnsiTheme="minorBidi" w:cstheme="minorBidi"/>
          <w:b/>
          <w:bCs/>
          <w:vanish/>
        </w:rPr>
      </w:pPr>
    </w:p>
    <w:p w14:paraId="143C39CE" w14:textId="77777777" w:rsidR="005F0431" w:rsidRDefault="005F0431" w:rsidP="005F0431">
      <w:pPr>
        <w:pStyle w:val="ListParagraph"/>
        <w:numPr>
          <w:ilvl w:val="0"/>
          <w:numId w:val="4"/>
        </w:numPr>
        <w:spacing w:after="0" w:line="240" w:lineRule="auto"/>
        <w:ind w:hanging="540"/>
        <w:jc w:val="both"/>
        <w:rPr>
          <w:rFonts w:asciiTheme="minorBidi" w:hAnsiTheme="minorBidi" w:cstheme="minorBidi"/>
        </w:rPr>
      </w:pPr>
      <w:r w:rsidRPr="00453EE3">
        <w:rPr>
          <w:rFonts w:asciiTheme="minorBidi" w:hAnsiTheme="minorBidi" w:cstheme="minorBidi"/>
          <w:b/>
          <w:bCs/>
        </w:rPr>
        <w:t xml:space="preserve">Audit </w:t>
      </w:r>
      <w:r>
        <w:rPr>
          <w:rFonts w:asciiTheme="minorBidi" w:hAnsiTheme="minorBidi" w:cstheme="minorBidi"/>
          <w:b/>
          <w:bCs/>
        </w:rPr>
        <w:t>F</w:t>
      </w:r>
      <w:r w:rsidRPr="00453EE3">
        <w:rPr>
          <w:rFonts w:asciiTheme="minorBidi" w:hAnsiTheme="minorBidi" w:cstheme="minorBidi"/>
          <w:b/>
          <w:bCs/>
        </w:rPr>
        <w:t>ees</w:t>
      </w:r>
      <w:r w:rsidRPr="00453EE3">
        <w:rPr>
          <w:rFonts w:asciiTheme="minorBidi" w:hAnsiTheme="minorBidi" w:cstheme="minorBidi"/>
        </w:rPr>
        <w:t xml:space="preserve"> B</w:t>
      </w:r>
      <w:r>
        <w:rPr>
          <w:rFonts w:asciiTheme="minorBidi" w:hAnsiTheme="minorBidi" w:cstheme="minorBidi"/>
        </w:rPr>
        <w:t>ased on actual fees paid in</w:t>
      </w:r>
      <w:r w:rsidRPr="00453EE3">
        <w:rPr>
          <w:rFonts w:asciiTheme="minorBidi" w:hAnsiTheme="minorBidi" w:cstheme="minorBidi"/>
        </w:rPr>
        <w:t xml:space="preserve"> 201</w:t>
      </w:r>
      <w:r>
        <w:rPr>
          <w:rFonts w:asciiTheme="minorBidi" w:hAnsiTheme="minorBidi" w:cstheme="minorBidi"/>
        </w:rPr>
        <w:t>8.</w:t>
      </w:r>
    </w:p>
    <w:p w14:paraId="65825373" w14:textId="77777777" w:rsidR="005F0431" w:rsidRPr="00180D46" w:rsidRDefault="005F0431" w:rsidP="005F0431">
      <w:pPr>
        <w:spacing w:after="0" w:line="240" w:lineRule="auto"/>
        <w:jc w:val="both"/>
        <w:rPr>
          <w:rFonts w:asciiTheme="minorBidi" w:hAnsiTheme="minorBidi"/>
        </w:rPr>
      </w:pPr>
    </w:p>
    <w:p w14:paraId="53C844C8" w14:textId="77777777" w:rsidR="005F0431" w:rsidRPr="00180D46" w:rsidRDefault="005F0431" w:rsidP="005F0431">
      <w:pPr>
        <w:pStyle w:val="ListParagraph"/>
        <w:numPr>
          <w:ilvl w:val="0"/>
          <w:numId w:val="4"/>
        </w:numPr>
        <w:spacing w:after="0" w:line="240" w:lineRule="auto"/>
        <w:ind w:right="180" w:hanging="540"/>
        <w:jc w:val="both"/>
        <w:rPr>
          <w:rFonts w:asciiTheme="minorBidi" w:hAnsiTheme="minorBidi" w:cstheme="minorBidi"/>
          <w:b/>
          <w:bCs/>
        </w:rPr>
      </w:pPr>
      <w:r w:rsidRPr="00180D46">
        <w:rPr>
          <w:rFonts w:asciiTheme="minorBidi" w:hAnsiTheme="minorBidi" w:cstheme="minorBidi"/>
          <w:b/>
          <w:bCs/>
        </w:rPr>
        <w:t>Subscriptions</w:t>
      </w:r>
      <w:r>
        <w:rPr>
          <w:rFonts w:asciiTheme="minorBidi" w:hAnsiTheme="minorBidi" w:cstheme="minorBidi"/>
          <w:b/>
          <w:bCs/>
        </w:rPr>
        <w:t xml:space="preserve"> </w:t>
      </w:r>
      <w:r w:rsidRPr="00180D46">
        <w:rPr>
          <w:rFonts w:asciiTheme="minorBidi" w:hAnsiTheme="minorBidi" w:cstheme="minorBidi"/>
        </w:rPr>
        <w:t>As per council decision RIA should continue subscribing with WAIPA for the benefit of COMESA member states</w:t>
      </w:r>
      <w:r>
        <w:rPr>
          <w:rFonts w:asciiTheme="minorBidi" w:hAnsiTheme="minorBidi" w:cstheme="minorBidi"/>
          <w:b/>
          <w:bCs/>
        </w:rPr>
        <w:t xml:space="preserve"> </w:t>
      </w:r>
    </w:p>
    <w:p w14:paraId="45039CF9" w14:textId="77777777" w:rsidR="005F0431" w:rsidRPr="00453EE3" w:rsidRDefault="005F0431" w:rsidP="005F0431">
      <w:pPr>
        <w:pStyle w:val="ListParagraph"/>
        <w:spacing w:after="0" w:line="240" w:lineRule="auto"/>
        <w:ind w:left="540"/>
        <w:jc w:val="both"/>
        <w:rPr>
          <w:rFonts w:asciiTheme="minorBidi" w:hAnsiTheme="minorBidi" w:cstheme="minorBidi"/>
        </w:rPr>
      </w:pPr>
    </w:p>
    <w:p w14:paraId="36A9E103" w14:textId="77777777" w:rsidR="005F0431" w:rsidRPr="004A5A23" w:rsidRDefault="005F0431" w:rsidP="005F0431">
      <w:pPr>
        <w:pStyle w:val="ListParagraph"/>
        <w:numPr>
          <w:ilvl w:val="0"/>
          <w:numId w:val="4"/>
        </w:numPr>
        <w:spacing w:after="0" w:line="240" w:lineRule="auto"/>
        <w:ind w:right="270" w:hanging="540"/>
        <w:jc w:val="both"/>
        <w:rPr>
          <w:rFonts w:asciiTheme="minorBidi" w:hAnsiTheme="minorBidi" w:cstheme="minorBidi"/>
          <w:b/>
          <w:bCs/>
        </w:rPr>
      </w:pPr>
      <w:r w:rsidRPr="00453EE3">
        <w:rPr>
          <w:rFonts w:asciiTheme="minorBidi" w:hAnsiTheme="minorBidi" w:cstheme="minorBidi"/>
          <w:b/>
          <w:bCs/>
        </w:rPr>
        <w:t xml:space="preserve">Maintenance </w:t>
      </w:r>
      <w:r>
        <w:rPr>
          <w:rFonts w:asciiTheme="minorBidi" w:hAnsiTheme="minorBidi" w:cstheme="minorBidi"/>
          <w:b/>
          <w:bCs/>
        </w:rPr>
        <w:t>of O</w:t>
      </w:r>
      <w:r w:rsidRPr="00453EE3">
        <w:rPr>
          <w:rFonts w:asciiTheme="minorBidi" w:hAnsiTheme="minorBidi" w:cstheme="minorBidi"/>
          <w:b/>
          <w:bCs/>
        </w:rPr>
        <w:t xml:space="preserve">ffice </w:t>
      </w:r>
      <w:r>
        <w:rPr>
          <w:rFonts w:asciiTheme="minorBidi" w:hAnsiTheme="minorBidi" w:cstheme="minorBidi"/>
          <w:b/>
          <w:bCs/>
        </w:rPr>
        <w:t>E</w:t>
      </w:r>
      <w:r w:rsidRPr="00453EE3">
        <w:rPr>
          <w:rFonts w:asciiTheme="minorBidi" w:hAnsiTheme="minorBidi" w:cstheme="minorBidi"/>
          <w:b/>
          <w:bCs/>
        </w:rPr>
        <w:t xml:space="preserve">quipment </w:t>
      </w:r>
      <w:r>
        <w:rPr>
          <w:rFonts w:asciiTheme="minorBidi" w:hAnsiTheme="minorBidi" w:cstheme="minorBidi"/>
        </w:rPr>
        <w:t>To cover the annual maintenance</w:t>
      </w:r>
      <w:r w:rsidRPr="00453EE3">
        <w:rPr>
          <w:rFonts w:asciiTheme="minorBidi" w:hAnsiTheme="minorBidi" w:cstheme="minorBidi"/>
          <w:color w:val="FF0000"/>
        </w:rPr>
        <w:t xml:space="preserve"> </w:t>
      </w:r>
      <w:r w:rsidRPr="00453EE3">
        <w:rPr>
          <w:rFonts w:asciiTheme="minorBidi" w:hAnsiTheme="minorBidi" w:cstheme="minorBidi"/>
        </w:rPr>
        <w:t xml:space="preserve">contract </w:t>
      </w:r>
      <w:r>
        <w:rPr>
          <w:rFonts w:asciiTheme="minorBidi" w:hAnsiTheme="minorBidi" w:cstheme="minorBidi"/>
        </w:rPr>
        <w:t>for printers,</w:t>
      </w:r>
      <w:r w:rsidRPr="00453EE3">
        <w:rPr>
          <w:rFonts w:asciiTheme="minorBidi" w:hAnsiTheme="minorBidi" w:cstheme="minorBidi"/>
        </w:rPr>
        <w:t xml:space="preserve"> photocopy</w:t>
      </w:r>
      <w:r>
        <w:rPr>
          <w:rFonts w:asciiTheme="minorBidi" w:hAnsiTheme="minorBidi" w:cstheme="minorBidi"/>
        </w:rPr>
        <w:t xml:space="preserve"> machine,</w:t>
      </w:r>
      <w:r w:rsidRPr="00453EE3">
        <w:rPr>
          <w:rFonts w:asciiTheme="minorBidi" w:hAnsiTheme="minorBidi" w:cstheme="minorBidi"/>
        </w:rPr>
        <w:t xml:space="preserve"> fax</w:t>
      </w:r>
      <w:r>
        <w:rPr>
          <w:rFonts w:asciiTheme="minorBidi" w:hAnsiTheme="minorBidi" w:cstheme="minorBidi"/>
        </w:rPr>
        <w:t>, and telephone sets.</w:t>
      </w:r>
    </w:p>
    <w:p w14:paraId="2E2A00CA" w14:textId="77777777" w:rsidR="005F0431" w:rsidRPr="00453EE3" w:rsidRDefault="005F0431" w:rsidP="005F0431">
      <w:pPr>
        <w:pStyle w:val="ListParagraph"/>
        <w:spacing w:after="0" w:line="240" w:lineRule="auto"/>
        <w:ind w:left="540"/>
        <w:jc w:val="both"/>
        <w:rPr>
          <w:rFonts w:asciiTheme="minorBidi" w:hAnsiTheme="minorBidi" w:cstheme="minorBidi"/>
          <w:b/>
          <w:bCs/>
        </w:rPr>
      </w:pPr>
    </w:p>
    <w:p w14:paraId="1C6D10EA" w14:textId="77777777" w:rsidR="005F0431" w:rsidRPr="00D830B8" w:rsidRDefault="005F0431" w:rsidP="005F0431">
      <w:pPr>
        <w:pStyle w:val="ListParagraph"/>
        <w:numPr>
          <w:ilvl w:val="0"/>
          <w:numId w:val="4"/>
        </w:numPr>
        <w:spacing w:after="0" w:line="240" w:lineRule="auto"/>
        <w:ind w:hanging="540"/>
        <w:jc w:val="both"/>
        <w:rPr>
          <w:rFonts w:asciiTheme="minorBidi" w:hAnsiTheme="minorBidi" w:cstheme="minorBidi"/>
          <w:strike/>
        </w:rPr>
      </w:pPr>
      <w:r w:rsidRPr="00453EE3">
        <w:rPr>
          <w:rFonts w:asciiTheme="minorBidi" w:hAnsiTheme="minorBidi" w:cstheme="minorBidi"/>
          <w:b/>
          <w:bCs/>
        </w:rPr>
        <w:t>Telephone, Email &amp; Fax</w:t>
      </w:r>
      <w:r w:rsidRPr="00453EE3">
        <w:rPr>
          <w:rFonts w:asciiTheme="minorBidi" w:hAnsiTheme="minorBidi" w:cstheme="minorBidi"/>
        </w:rPr>
        <w:t xml:space="preserve"> </w:t>
      </w:r>
      <w:r>
        <w:rPr>
          <w:rFonts w:asciiTheme="minorBidi" w:hAnsiTheme="minorBidi" w:cstheme="minorBidi"/>
        </w:rPr>
        <w:t>To cover</w:t>
      </w:r>
      <w:r w:rsidRPr="00453EE3">
        <w:rPr>
          <w:rFonts w:asciiTheme="minorBidi" w:hAnsiTheme="minorBidi" w:cstheme="minorBidi"/>
        </w:rPr>
        <w:t xml:space="preserve"> international phone bills, internet subscriptions, </w:t>
      </w:r>
      <w:r>
        <w:rPr>
          <w:rFonts w:asciiTheme="minorBidi" w:hAnsiTheme="minorBidi" w:cstheme="minorBidi"/>
        </w:rPr>
        <w:t>c</w:t>
      </w:r>
      <w:r w:rsidRPr="00453EE3">
        <w:rPr>
          <w:rFonts w:asciiTheme="minorBidi" w:hAnsiTheme="minorBidi" w:cstheme="minorBidi"/>
        </w:rPr>
        <w:t>ourier</w:t>
      </w:r>
      <w:r>
        <w:rPr>
          <w:rFonts w:asciiTheme="minorBidi" w:hAnsiTheme="minorBidi" w:cstheme="minorBidi"/>
        </w:rPr>
        <w:t>,</w:t>
      </w:r>
      <w:r w:rsidRPr="00453EE3">
        <w:rPr>
          <w:rFonts w:asciiTheme="minorBidi" w:hAnsiTheme="minorBidi" w:cstheme="minorBidi"/>
        </w:rPr>
        <w:t xml:space="preserve"> </w:t>
      </w:r>
      <w:r>
        <w:rPr>
          <w:rFonts w:asciiTheme="minorBidi" w:hAnsiTheme="minorBidi" w:cstheme="minorBidi"/>
        </w:rPr>
        <w:t>and</w:t>
      </w:r>
      <w:r w:rsidRPr="00453EE3">
        <w:rPr>
          <w:rFonts w:asciiTheme="minorBidi" w:hAnsiTheme="minorBidi" w:cstheme="minorBidi"/>
        </w:rPr>
        <w:t xml:space="preserve"> posting</w:t>
      </w:r>
      <w:r>
        <w:rPr>
          <w:rFonts w:asciiTheme="minorBidi" w:hAnsiTheme="minorBidi" w:cstheme="minorBidi"/>
        </w:rPr>
        <w:t>.</w:t>
      </w:r>
    </w:p>
    <w:p w14:paraId="1F2E9815" w14:textId="77777777" w:rsidR="005F0431" w:rsidRPr="00453EE3" w:rsidRDefault="005F0431" w:rsidP="005F0431">
      <w:pPr>
        <w:pStyle w:val="ListParagraph"/>
        <w:spacing w:after="0" w:line="240" w:lineRule="auto"/>
        <w:ind w:left="540"/>
        <w:jc w:val="both"/>
        <w:rPr>
          <w:rFonts w:asciiTheme="minorBidi" w:hAnsiTheme="minorBidi" w:cstheme="minorBidi"/>
          <w:strike/>
        </w:rPr>
      </w:pPr>
    </w:p>
    <w:p w14:paraId="598D2483" w14:textId="77777777" w:rsidR="005F0431" w:rsidRDefault="005F0431" w:rsidP="005F0431">
      <w:pPr>
        <w:pStyle w:val="ListParagraph"/>
        <w:numPr>
          <w:ilvl w:val="0"/>
          <w:numId w:val="4"/>
        </w:numPr>
        <w:spacing w:after="0" w:line="240" w:lineRule="auto"/>
        <w:ind w:right="270" w:hanging="540"/>
        <w:jc w:val="both"/>
        <w:rPr>
          <w:rFonts w:asciiTheme="minorBidi" w:hAnsiTheme="minorBidi" w:cstheme="minorBidi"/>
        </w:rPr>
      </w:pPr>
      <w:r w:rsidRPr="00453EE3">
        <w:rPr>
          <w:rFonts w:asciiTheme="minorBidi" w:hAnsiTheme="minorBidi" w:cstheme="minorBidi"/>
          <w:b/>
          <w:bCs/>
        </w:rPr>
        <w:t xml:space="preserve">Insurance </w:t>
      </w:r>
      <w:r>
        <w:rPr>
          <w:rFonts w:asciiTheme="minorBidi" w:hAnsiTheme="minorBidi" w:cstheme="minorBidi"/>
          <w:b/>
          <w:bCs/>
        </w:rPr>
        <w:t>for o</w:t>
      </w:r>
      <w:r w:rsidRPr="00453EE3">
        <w:rPr>
          <w:rFonts w:asciiTheme="minorBidi" w:hAnsiTheme="minorBidi" w:cstheme="minorBidi"/>
          <w:b/>
          <w:bCs/>
        </w:rPr>
        <w:t xml:space="preserve">ther </w:t>
      </w:r>
      <w:r>
        <w:rPr>
          <w:rFonts w:asciiTheme="minorBidi" w:hAnsiTheme="minorBidi" w:cstheme="minorBidi"/>
          <w:b/>
          <w:bCs/>
        </w:rPr>
        <w:t>a</w:t>
      </w:r>
      <w:r w:rsidRPr="00453EE3">
        <w:rPr>
          <w:rFonts w:asciiTheme="minorBidi" w:hAnsiTheme="minorBidi" w:cstheme="minorBidi"/>
          <w:b/>
          <w:bCs/>
        </w:rPr>
        <w:t>ssets</w:t>
      </w:r>
      <w:r w:rsidRPr="00453EE3">
        <w:rPr>
          <w:rFonts w:asciiTheme="minorBidi" w:hAnsiTheme="minorBidi" w:cstheme="minorBidi"/>
        </w:rPr>
        <w:t xml:space="preserve"> </w:t>
      </w:r>
      <w:r>
        <w:rPr>
          <w:rFonts w:asciiTheme="minorBidi" w:hAnsiTheme="minorBidi" w:cstheme="minorBidi"/>
        </w:rPr>
        <w:t>for o</w:t>
      </w:r>
      <w:r w:rsidRPr="00453EE3">
        <w:rPr>
          <w:rFonts w:asciiTheme="minorBidi" w:hAnsiTheme="minorBidi" w:cstheme="minorBidi"/>
        </w:rPr>
        <w:t>ffice eq</w:t>
      </w:r>
      <w:r>
        <w:rPr>
          <w:rFonts w:asciiTheme="minorBidi" w:hAnsiTheme="minorBidi" w:cstheme="minorBidi"/>
        </w:rPr>
        <w:t>uipment and furniture insurance inside and outside of RIA’s premises.</w:t>
      </w:r>
    </w:p>
    <w:p w14:paraId="16BE88FD" w14:textId="77777777" w:rsidR="005F0431" w:rsidRPr="00D830B8" w:rsidRDefault="005F0431" w:rsidP="005F0431">
      <w:pPr>
        <w:spacing w:after="0" w:line="240" w:lineRule="auto"/>
        <w:jc w:val="both"/>
        <w:rPr>
          <w:rFonts w:asciiTheme="minorBidi" w:hAnsiTheme="minorBidi"/>
        </w:rPr>
      </w:pPr>
    </w:p>
    <w:p w14:paraId="269A0BC2" w14:textId="77777777" w:rsidR="005F0431" w:rsidRPr="004A5A23" w:rsidRDefault="005F0431" w:rsidP="005F0431">
      <w:pPr>
        <w:pStyle w:val="ListParagraph"/>
        <w:numPr>
          <w:ilvl w:val="0"/>
          <w:numId w:val="4"/>
        </w:numPr>
        <w:spacing w:after="0" w:line="240" w:lineRule="auto"/>
        <w:ind w:hanging="540"/>
        <w:jc w:val="both"/>
        <w:rPr>
          <w:rFonts w:asciiTheme="minorBidi" w:hAnsiTheme="minorBidi" w:cstheme="minorBidi"/>
          <w:b/>
          <w:bCs/>
          <w:vanish/>
        </w:rPr>
      </w:pPr>
    </w:p>
    <w:p w14:paraId="7EC1CDA4" w14:textId="77777777" w:rsidR="005F0431" w:rsidRPr="00180D46" w:rsidRDefault="005F0431" w:rsidP="005F0431">
      <w:pPr>
        <w:pStyle w:val="ListParagraph"/>
        <w:numPr>
          <w:ilvl w:val="0"/>
          <w:numId w:val="4"/>
        </w:numPr>
        <w:spacing w:after="0" w:line="240" w:lineRule="auto"/>
        <w:ind w:right="270" w:hanging="540"/>
        <w:jc w:val="both"/>
        <w:rPr>
          <w:rFonts w:asciiTheme="minorBidi" w:hAnsiTheme="minorBidi"/>
        </w:rPr>
      </w:pPr>
      <w:r w:rsidRPr="00180D46">
        <w:rPr>
          <w:rFonts w:asciiTheme="minorBidi" w:hAnsiTheme="minorBidi" w:cstheme="minorBidi"/>
          <w:b/>
          <w:bCs/>
        </w:rPr>
        <w:t>Consultancy</w:t>
      </w:r>
      <w:r w:rsidRPr="00180D46">
        <w:rPr>
          <w:rFonts w:asciiTheme="minorBidi" w:hAnsiTheme="minorBidi" w:cstheme="minorBidi"/>
        </w:rPr>
        <w:t xml:space="preserve"> To cover consultancy fees required to support RIA in development and implementation of the work plan of RIA</w:t>
      </w:r>
      <w:r w:rsidRPr="00180D46">
        <w:rPr>
          <w:rFonts w:asciiTheme="minorBidi" w:hAnsiTheme="minorBidi" w:cstheme="minorBidi"/>
          <w:b/>
          <w:bCs/>
        </w:rPr>
        <w:t xml:space="preserve"> </w:t>
      </w:r>
    </w:p>
    <w:p w14:paraId="6BFB074F" w14:textId="77777777" w:rsidR="005F0431" w:rsidRPr="00180D46" w:rsidRDefault="005F0431" w:rsidP="005F0431">
      <w:pPr>
        <w:pStyle w:val="ListParagraph"/>
        <w:spacing w:after="0" w:line="240" w:lineRule="auto"/>
        <w:ind w:left="540" w:right="270"/>
        <w:jc w:val="both"/>
        <w:rPr>
          <w:rFonts w:asciiTheme="minorBidi" w:hAnsiTheme="minorBidi"/>
        </w:rPr>
      </w:pPr>
    </w:p>
    <w:p w14:paraId="18544FEC" w14:textId="77777777" w:rsidR="005F0431" w:rsidRPr="00180D46" w:rsidRDefault="005F0431" w:rsidP="005F0431">
      <w:pPr>
        <w:pStyle w:val="ListParagraph"/>
        <w:numPr>
          <w:ilvl w:val="0"/>
          <w:numId w:val="5"/>
        </w:numPr>
        <w:spacing w:after="0" w:line="240" w:lineRule="auto"/>
        <w:ind w:left="360" w:right="270"/>
        <w:jc w:val="both"/>
        <w:rPr>
          <w:rFonts w:asciiTheme="minorBidi" w:hAnsiTheme="minorBidi"/>
        </w:rPr>
      </w:pPr>
      <w:r>
        <w:rPr>
          <w:rFonts w:asciiTheme="minorBidi" w:hAnsiTheme="minorBidi"/>
          <w:b/>
          <w:bCs/>
        </w:rPr>
        <w:t xml:space="preserve">   </w:t>
      </w:r>
      <w:r w:rsidRPr="00180D46">
        <w:rPr>
          <w:rFonts w:asciiTheme="minorBidi" w:hAnsiTheme="minorBidi"/>
          <w:b/>
          <w:bCs/>
        </w:rPr>
        <w:t>Moto Vehicle</w:t>
      </w:r>
      <w:r>
        <w:rPr>
          <w:rFonts w:asciiTheme="minorBidi" w:hAnsiTheme="minorBidi"/>
        </w:rPr>
        <w:t xml:space="preserve"> To cover all motor vehicle expenses, Insurance, Petro, Maintenance and spare parts</w:t>
      </w:r>
    </w:p>
    <w:p w14:paraId="758ACBB3" w14:textId="77777777" w:rsidR="005F0431" w:rsidRPr="00180D46" w:rsidRDefault="005F0431" w:rsidP="005F0431">
      <w:pPr>
        <w:spacing w:after="0" w:line="240" w:lineRule="auto"/>
        <w:jc w:val="both"/>
        <w:rPr>
          <w:rFonts w:asciiTheme="minorBidi" w:hAnsiTheme="minorBidi"/>
        </w:rPr>
      </w:pPr>
    </w:p>
    <w:p w14:paraId="68B5905B" w14:textId="77777777" w:rsidR="005F0431" w:rsidRPr="00180D46" w:rsidRDefault="005F0431" w:rsidP="005F0431">
      <w:pPr>
        <w:pStyle w:val="ListParagraph"/>
        <w:numPr>
          <w:ilvl w:val="0"/>
          <w:numId w:val="5"/>
        </w:numPr>
        <w:spacing w:after="0" w:line="240" w:lineRule="auto"/>
        <w:ind w:hanging="540"/>
        <w:jc w:val="both"/>
        <w:rPr>
          <w:rFonts w:asciiTheme="minorBidi" w:hAnsiTheme="minorBidi" w:cstheme="minorBidi"/>
          <w:b/>
          <w:bCs/>
          <w:vanish/>
        </w:rPr>
      </w:pPr>
    </w:p>
    <w:p w14:paraId="186FD67E" w14:textId="77777777" w:rsidR="005F0431" w:rsidRDefault="005F0431" w:rsidP="005F0431">
      <w:pPr>
        <w:pStyle w:val="ListParagraph"/>
        <w:numPr>
          <w:ilvl w:val="0"/>
          <w:numId w:val="5"/>
        </w:numPr>
        <w:spacing w:after="0" w:line="240" w:lineRule="auto"/>
        <w:ind w:hanging="540"/>
        <w:jc w:val="both"/>
        <w:rPr>
          <w:rFonts w:asciiTheme="minorBidi" w:hAnsiTheme="minorBidi" w:cstheme="minorBidi"/>
        </w:rPr>
      </w:pPr>
      <w:r w:rsidRPr="00453EE3">
        <w:rPr>
          <w:rFonts w:asciiTheme="minorBidi" w:hAnsiTheme="minorBidi" w:cstheme="minorBidi"/>
          <w:b/>
          <w:bCs/>
        </w:rPr>
        <w:t xml:space="preserve">Driver Allowance </w:t>
      </w:r>
      <w:r w:rsidRPr="00602389">
        <w:rPr>
          <w:rFonts w:asciiTheme="minorBidi" w:hAnsiTheme="minorBidi" w:cstheme="minorBidi"/>
        </w:rPr>
        <w:t xml:space="preserve">To cover </w:t>
      </w:r>
      <w:r>
        <w:rPr>
          <w:rFonts w:asciiTheme="minorBidi" w:hAnsiTheme="minorBidi" w:cstheme="minorBidi"/>
        </w:rPr>
        <w:t xml:space="preserve">the </w:t>
      </w:r>
      <w:r w:rsidRPr="00453EE3">
        <w:rPr>
          <w:rFonts w:asciiTheme="minorBidi" w:hAnsiTheme="minorBidi" w:cstheme="minorBidi"/>
        </w:rPr>
        <w:t>driver and</w:t>
      </w:r>
      <w:r w:rsidRPr="00453EE3">
        <w:rPr>
          <w:rFonts w:asciiTheme="minorBidi" w:hAnsiTheme="minorBidi" w:cstheme="minorBidi"/>
          <w:color w:val="FF0000"/>
        </w:rPr>
        <w:t xml:space="preserve"> </w:t>
      </w:r>
      <w:r>
        <w:rPr>
          <w:rFonts w:asciiTheme="minorBidi" w:hAnsiTheme="minorBidi" w:cstheme="minorBidi"/>
        </w:rPr>
        <w:t>messenger allowance.</w:t>
      </w:r>
    </w:p>
    <w:p w14:paraId="56616882" w14:textId="7B459429" w:rsidR="00E5464A" w:rsidRPr="002745EC" w:rsidRDefault="00E5464A" w:rsidP="002745EC">
      <w:pPr>
        <w:spacing w:after="0" w:line="240" w:lineRule="auto"/>
        <w:jc w:val="both"/>
        <w:rPr>
          <w:rFonts w:asciiTheme="minorBidi" w:hAnsiTheme="minorBidi"/>
        </w:rPr>
      </w:pPr>
    </w:p>
    <w:sectPr w:rsidR="00E5464A" w:rsidRPr="002745EC" w:rsidSect="005F0431">
      <w:pgSz w:w="11909" w:h="16834" w:code="9"/>
      <w:pgMar w:top="1170" w:right="299"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5EEB9" w14:textId="77777777" w:rsidR="0068768B" w:rsidRDefault="0068768B" w:rsidP="00EF77B9">
      <w:pPr>
        <w:spacing w:after="0" w:line="240" w:lineRule="auto"/>
      </w:pPr>
      <w:r>
        <w:separator/>
      </w:r>
    </w:p>
  </w:endnote>
  <w:endnote w:type="continuationSeparator" w:id="0">
    <w:p w14:paraId="3778E3F4" w14:textId="77777777" w:rsidR="0068768B" w:rsidRDefault="0068768B" w:rsidP="00EF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1D383" w14:textId="77777777" w:rsidR="0068768B" w:rsidRDefault="0068768B" w:rsidP="00EF77B9">
      <w:pPr>
        <w:spacing w:after="0" w:line="240" w:lineRule="auto"/>
      </w:pPr>
      <w:r>
        <w:separator/>
      </w:r>
    </w:p>
  </w:footnote>
  <w:footnote w:type="continuationSeparator" w:id="0">
    <w:p w14:paraId="007DE5B7" w14:textId="77777777" w:rsidR="0068768B" w:rsidRDefault="0068768B" w:rsidP="00EF7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3A23"/>
    <w:multiLevelType w:val="hybridMultilevel"/>
    <w:tmpl w:val="301C10CA"/>
    <w:lvl w:ilvl="0" w:tplc="04090003">
      <w:start w:val="1"/>
      <w:numFmt w:val="bullet"/>
      <w:lvlText w:val="o"/>
      <w:lvlJc w:val="left"/>
      <w:pPr>
        <w:ind w:left="1440" w:hanging="360"/>
      </w:pPr>
      <w:rPr>
        <w:rFonts w:ascii="Courier New" w:hAnsi="Courier New" w:cs="Courier New" w:hint="default"/>
      </w:rPr>
    </w:lvl>
    <w:lvl w:ilvl="1" w:tplc="6AA245FC">
      <w:numFmt w:val="bullet"/>
      <w:lvlText w:val="-"/>
      <w:lvlJc w:val="left"/>
      <w:pPr>
        <w:ind w:left="2160" w:hanging="360"/>
      </w:pPr>
      <w:rPr>
        <w:rFonts w:ascii="Arial" w:eastAsia="Times New Roman" w:hAnsi="Arial" w:cs="Arial" w:hint="default"/>
      </w:rPr>
    </w:lvl>
    <w:lvl w:ilvl="2" w:tplc="BC246B2C">
      <w:start w:val="1"/>
      <w:numFmt w:val="upperLetter"/>
      <w:lvlText w:val="%3)"/>
      <w:lvlJc w:val="left"/>
      <w:pPr>
        <w:ind w:left="342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E94388"/>
    <w:multiLevelType w:val="hybridMultilevel"/>
    <w:tmpl w:val="01A8EDC4"/>
    <w:lvl w:ilvl="0" w:tplc="05F4A930">
      <w:start w:val="11"/>
      <w:numFmt w:val="decimal"/>
      <w:lvlText w:val="%1-"/>
      <w:lvlJc w:val="left"/>
      <w:pPr>
        <w:ind w:left="540" w:hanging="360"/>
      </w:pPr>
      <w:rPr>
        <w:rFonts w:hint="default"/>
        <w:b/>
        <w:bCs/>
        <w:strike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74A64"/>
    <w:multiLevelType w:val="hybridMultilevel"/>
    <w:tmpl w:val="641AC8EA"/>
    <w:lvl w:ilvl="0" w:tplc="00A4E396">
      <w:start w:val="14"/>
      <w:numFmt w:val="decimal"/>
      <w:lvlText w:val="%1-"/>
      <w:lvlJc w:val="left"/>
      <w:pPr>
        <w:ind w:left="540" w:hanging="36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316C8"/>
    <w:multiLevelType w:val="hybridMultilevel"/>
    <w:tmpl w:val="2BBC5AC2"/>
    <w:lvl w:ilvl="0" w:tplc="5EBA82AC">
      <w:start w:val="1"/>
      <w:numFmt w:val="decimal"/>
      <w:lvlText w:val="%1-"/>
      <w:lvlJc w:val="left"/>
      <w:pPr>
        <w:ind w:left="4950" w:hanging="36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42BC2"/>
    <w:multiLevelType w:val="hybridMultilevel"/>
    <w:tmpl w:val="FCEA6B4C"/>
    <w:lvl w:ilvl="0" w:tplc="EF367006">
      <w:start w:val="27"/>
      <w:numFmt w:val="decimal"/>
      <w:lvlText w:val="%1-"/>
      <w:lvlJc w:val="left"/>
      <w:pPr>
        <w:ind w:left="540" w:hanging="36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B9"/>
    <w:rsid w:val="00047B87"/>
    <w:rsid w:val="00087CB5"/>
    <w:rsid w:val="000A26D1"/>
    <w:rsid w:val="001064CE"/>
    <w:rsid w:val="001077AB"/>
    <w:rsid w:val="00116CEE"/>
    <w:rsid w:val="00121817"/>
    <w:rsid w:val="00125976"/>
    <w:rsid w:val="001409F8"/>
    <w:rsid w:val="00140F86"/>
    <w:rsid w:val="00157ED3"/>
    <w:rsid w:val="00161148"/>
    <w:rsid w:val="00180D46"/>
    <w:rsid w:val="001818CB"/>
    <w:rsid w:val="00183F81"/>
    <w:rsid w:val="00185D7C"/>
    <w:rsid w:val="001A2958"/>
    <w:rsid w:val="0021337B"/>
    <w:rsid w:val="002645FC"/>
    <w:rsid w:val="002648FE"/>
    <w:rsid w:val="002745EC"/>
    <w:rsid w:val="00277D06"/>
    <w:rsid w:val="0029669B"/>
    <w:rsid w:val="002A29FC"/>
    <w:rsid w:val="002A72DB"/>
    <w:rsid w:val="002C1149"/>
    <w:rsid w:val="002F0B84"/>
    <w:rsid w:val="002F5FE8"/>
    <w:rsid w:val="003167E5"/>
    <w:rsid w:val="00334A07"/>
    <w:rsid w:val="00335D3A"/>
    <w:rsid w:val="003728DA"/>
    <w:rsid w:val="0038337F"/>
    <w:rsid w:val="0039107C"/>
    <w:rsid w:val="003E72B9"/>
    <w:rsid w:val="00401D9A"/>
    <w:rsid w:val="00405944"/>
    <w:rsid w:val="00421841"/>
    <w:rsid w:val="00424E92"/>
    <w:rsid w:val="004265F3"/>
    <w:rsid w:val="004402D6"/>
    <w:rsid w:val="004463B8"/>
    <w:rsid w:val="00453EE3"/>
    <w:rsid w:val="00455199"/>
    <w:rsid w:val="004827C1"/>
    <w:rsid w:val="004846C7"/>
    <w:rsid w:val="00487CA6"/>
    <w:rsid w:val="00497316"/>
    <w:rsid w:val="004A5A23"/>
    <w:rsid w:val="004C7660"/>
    <w:rsid w:val="00512FB1"/>
    <w:rsid w:val="00520067"/>
    <w:rsid w:val="00523D4D"/>
    <w:rsid w:val="00535C5C"/>
    <w:rsid w:val="005550C9"/>
    <w:rsid w:val="00586595"/>
    <w:rsid w:val="005A1074"/>
    <w:rsid w:val="005A71D0"/>
    <w:rsid w:val="005B69CA"/>
    <w:rsid w:val="005D40FF"/>
    <w:rsid w:val="005D5655"/>
    <w:rsid w:val="005E1848"/>
    <w:rsid w:val="005E446E"/>
    <w:rsid w:val="005F0431"/>
    <w:rsid w:val="00602389"/>
    <w:rsid w:val="00652206"/>
    <w:rsid w:val="006768B8"/>
    <w:rsid w:val="0068768B"/>
    <w:rsid w:val="006F21FE"/>
    <w:rsid w:val="006F2550"/>
    <w:rsid w:val="006F5162"/>
    <w:rsid w:val="00716DFC"/>
    <w:rsid w:val="00734A9C"/>
    <w:rsid w:val="00737EE1"/>
    <w:rsid w:val="00764A42"/>
    <w:rsid w:val="0079693A"/>
    <w:rsid w:val="007A1A41"/>
    <w:rsid w:val="007A7FA8"/>
    <w:rsid w:val="007B4289"/>
    <w:rsid w:val="007E6729"/>
    <w:rsid w:val="008176B2"/>
    <w:rsid w:val="00824BF7"/>
    <w:rsid w:val="008A5AC0"/>
    <w:rsid w:val="008D298A"/>
    <w:rsid w:val="00941D51"/>
    <w:rsid w:val="00982400"/>
    <w:rsid w:val="009A664D"/>
    <w:rsid w:val="009B4E22"/>
    <w:rsid w:val="009B5621"/>
    <w:rsid w:val="009D7439"/>
    <w:rsid w:val="009E07D8"/>
    <w:rsid w:val="009F2BC1"/>
    <w:rsid w:val="00A76DDE"/>
    <w:rsid w:val="00A80262"/>
    <w:rsid w:val="00A84A9C"/>
    <w:rsid w:val="00A8547F"/>
    <w:rsid w:val="00A862EA"/>
    <w:rsid w:val="00AD19D9"/>
    <w:rsid w:val="00AD3197"/>
    <w:rsid w:val="00AF78AD"/>
    <w:rsid w:val="00B22F54"/>
    <w:rsid w:val="00B37082"/>
    <w:rsid w:val="00B55E29"/>
    <w:rsid w:val="00B6394E"/>
    <w:rsid w:val="00B64E5F"/>
    <w:rsid w:val="00B66A34"/>
    <w:rsid w:val="00BE6114"/>
    <w:rsid w:val="00C00173"/>
    <w:rsid w:val="00C362F2"/>
    <w:rsid w:val="00CA18E5"/>
    <w:rsid w:val="00CA6F32"/>
    <w:rsid w:val="00D060B7"/>
    <w:rsid w:val="00D45009"/>
    <w:rsid w:val="00D524F6"/>
    <w:rsid w:val="00D52CAC"/>
    <w:rsid w:val="00D67B55"/>
    <w:rsid w:val="00D813E1"/>
    <w:rsid w:val="00D830B8"/>
    <w:rsid w:val="00D839C8"/>
    <w:rsid w:val="00DD3531"/>
    <w:rsid w:val="00E03417"/>
    <w:rsid w:val="00E11149"/>
    <w:rsid w:val="00E11854"/>
    <w:rsid w:val="00E17297"/>
    <w:rsid w:val="00E34BFF"/>
    <w:rsid w:val="00E3637C"/>
    <w:rsid w:val="00E53EE3"/>
    <w:rsid w:val="00E5464A"/>
    <w:rsid w:val="00E753A3"/>
    <w:rsid w:val="00E86D55"/>
    <w:rsid w:val="00ED24B4"/>
    <w:rsid w:val="00ED34A4"/>
    <w:rsid w:val="00EE1F11"/>
    <w:rsid w:val="00EF77B9"/>
    <w:rsid w:val="00F017B0"/>
    <w:rsid w:val="00F03BA2"/>
    <w:rsid w:val="00F11DD0"/>
    <w:rsid w:val="00F1738E"/>
    <w:rsid w:val="00F217DC"/>
    <w:rsid w:val="00F2356A"/>
    <w:rsid w:val="00F44142"/>
    <w:rsid w:val="00FE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4FC0"/>
  <w15:docId w15:val="{A5CB39E5-842E-4C33-A80F-8F3AC1B8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7B9"/>
  </w:style>
  <w:style w:type="paragraph" w:styleId="Footer">
    <w:name w:val="footer"/>
    <w:basedOn w:val="Normal"/>
    <w:link w:val="FooterChar"/>
    <w:uiPriority w:val="99"/>
    <w:unhideWhenUsed/>
    <w:rsid w:val="00EF7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7B9"/>
  </w:style>
  <w:style w:type="paragraph" w:styleId="ListParagraph">
    <w:name w:val="List Paragraph"/>
    <w:aliases w:val="List Bulet,List Paragraph (numbered (a)),COMESA Text 2,Standard 12 pt,List Bullet Mary,References,Bullets,Numbered List Paragraph,ReferencesCxSpLast,List Paragraph nowy,Liste 1,En tête 1,AB List 1,Bullet Points,List Paragraph1,ProcessA,Ha"/>
    <w:basedOn w:val="Normal"/>
    <w:link w:val="ListParagraphChar"/>
    <w:uiPriority w:val="34"/>
    <w:qFormat/>
    <w:rsid w:val="00453EE3"/>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440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2D6"/>
    <w:rPr>
      <w:rFonts w:ascii="Segoe UI" w:hAnsi="Segoe UI" w:cs="Segoe UI"/>
      <w:sz w:val="18"/>
      <w:szCs w:val="18"/>
    </w:rPr>
  </w:style>
  <w:style w:type="paragraph" w:styleId="Title">
    <w:name w:val="Title"/>
    <w:basedOn w:val="Normal"/>
    <w:link w:val="TitleChar"/>
    <w:qFormat/>
    <w:rsid w:val="00F2356A"/>
    <w:pPr>
      <w:spacing w:after="0" w:line="240" w:lineRule="auto"/>
      <w:jc w:val="center"/>
    </w:pPr>
    <w:rPr>
      <w:rFonts w:ascii="Arial" w:eastAsia="Times New Roman" w:hAnsi="Arial" w:cs="Arial"/>
      <w:b/>
      <w:bCs/>
      <w:sz w:val="28"/>
      <w:szCs w:val="28"/>
      <w:lang w:val="en-US"/>
    </w:rPr>
  </w:style>
  <w:style w:type="character" w:customStyle="1" w:styleId="TitleChar">
    <w:name w:val="Title Char"/>
    <w:basedOn w:val="DefaultParagraphFont"/>
    <w:link w:val="Title"/>
    <w:rsid w:val="00F2356A"/>
    <w:rPr>
      <w:rFonts w:ascii="Arial" w:eastAsia="Times New Roman" w:hAnsi="Arial" w:cs="Arial"/>
      <w:b/>
      <w:bCs/>
      <w:sz w:val="28"/>
      <w:szCs w:val="28"/>
    </w:rPr>
  </w:style>
  <w:style w:type="character" w:customStyle="1" w:styleId="ListParagraphChar">
    <w:name w:val="List Paragraph Char"/>
    <w:aliases w:val="List Bulet Char,List Paragraph (numbered (a)) Char,COMESA Text 2 Char,Standard 12 pt Char,List Bullet Mary Char,References Char,Bullets Char,Numbered List Paragraph Char,ReferencesCxSpLast Char,List Paragraph nowy Char,Liste 1 Char"/>
    <w:link w:val="ListParagraph"/>
    <w:uiPriority w:val="34"/>
    <w:locked/>
    <w:rsid w:val="00E86D55"/>
    <w:rPr>
      <w:rFonts w:ascii="Calibri" w:eastAsia="Calibri" w:hAnsi="Calibri" w:cs="Arial"/>
      <w:lang w:val="en-GB"/>
    </w:rPr>
  </w:style>
  <w:style w:type="paragraph" w:customStyle="1" w:styleId="Default">
    <w:name w:val="Default"/>
    <w:rsid w:val="00B22F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7963">
      <w:bodyDiv w:val="1"/>
      <w:marLeft w:val="0"/>
      <w:marRight w:val="0"/>
      <w:marTop w:val="0"/>
      <w:marBottom w:val="0"/>
      <w:divBdr>
        <w:top w:val="none" w:sz="0" w:space="0" w:color="auto"/>
        <w:left w:val="none" w:sz="0" w:space="0" w:color="auto"/>
        <w:bottom w:val="none" w:sz="0" w:space="0" w:color="auto"/>
        <w:right w:val="none" w:sz="0" w:space="0" w:color="auto"/>
      </w:divBdr>
    </w:div>
    <w:div w:id="245842658">
      <w:bodyDiv w:val="1"/>
      <w:marLeft w:val="0"/>
      <w:marRight w:val="0"/>
      <w:marTop w:val="0"/>
      <w:marBottom w:val="0"/>
      <w:divBdr>
        <w:top w:val="none" w:sz="0" w:space="0" w:color="auto"/>
        <w:left w:val="none" w:sz="0" w:space="0" w:color="auto"/>
        <w:bottom w:val="none" w:sz="0" w:space="0" w:color="auto"/>
        <w:right w:val="none" w:sz="0" w:space="0" w:color="auto"/>
      </w:divBdr>
    </w:div>
    <w:div w:id="493766497">
      <w:bodyDiv w:val="1"/>
      <w:marLeft w:val="0"/>
      <w:marRight w:val="0"/>
      <w:marTop w:val="0"/>
      <w:marBottom w:val="0"/>
      <w:divBdr>
        <w:top w:val="none" w:sz="0" w:space="0" w:color="auto"/>
        <w:left w:val="none" w:sz="0" w:space="0" w:color="auto"/>
        <w:bottom w:val="none" w:sz="0" w:space="0" w:color="auto"/>
        <w:right w:val="none" w:sz="0" w:space="0" w:color="auto"/>
      </w:divBdr>
    </w:div>
    <w:div w:id="632449435">
      <w:bodyDiv w:val="1"/>
      <w:marLeft w:val="0"/>
      <w:marRight w:val="0"/>
      <w:marTop w:val="0"/>
      <w:marBottom w:val="0"/>
      <w:divBdr>
        <w:top w:val="none" w:sz="0" w:space="0" w:color="auto"/>
        <w:left w:val="none" w:sz="0" w:space="0" w:color="auto"/>
        <w:bottom w:val="none" w:sz="0" w:space="0" w:color="auto"/>
        <w:right w:val="none" w:sz="0" w:space="0" w:color="auto"/>
      </w:divBdr>
    </w:div>
    <w:div w:id="876238318">
      <w:bodyDiv w:val="1"/>
      <w:marLeft w:val="0"/>
      <w:marRight w:val="0"/>
      <w:marTop w:val="0"/>
      <w:marBottom w:val="0"/>
      <w:divBdr>
        <w:top w:val="none" w:sz="0" w:space="0" w:color="auto"/>
        <w:left w:val="none" w:sz="0" w:space="0" w:color="auto"/>
        <w:bottom w:val="none" w:sz="0" w:space="0" w:color="auto"/>
        <w:right w:val="none" w:sz="0" w:space="0" w:color="auto"/>
      </w:divBdr>
    </w:div>
    <w:div w:id="965502722">
      <w:bodyDiv w:val="1"/>
      <w:marLeft w:val="0"/>
      <w:marRight w:val="0"/>
      <w:marTop w:val="0"/>
      <w:marBottom w:val="0"/>
      <w:divBdr>
        <w:top w:val="none" w:sz="0" w:space="0" w:color="auto"/>
        <w:left w:val="none" w:sz="0" w:space="0" w:color="auto"/>
        <w:bottom w:val="none" w:sz="0" w:space="0" w:color="auto"/>
        <w:right w:val="none" w:sz="0" w:space="0" w:color="auto"/>
      </w:divBdr>
    </w:div>
    <w:div w:id="1231430257">
      <w:bodyDiv w:val="1"/>
      <w:marLeft w:val="0"/>
      <w:marRight w:val="0"/>
      <w:marTop w:val="0"/>
      <w:marBottom w:val="0"/>
      <w:divBdr>
        <w:top w:val="none" w:sz="0" w:space="0" w:color="auto"/>
        <w:left w:val="none" w:sz="0" w:space="0" w:color="auto"/>
        <w:bottom w:val="none" w:sz="0" w:space="0" w:color="auto"/>
        <w:right w:val="none" w:sz="0" w:space="0" w:color="auto"/>
      </w:divBdr>
    </w:div>
    <w:div w:id="1572814965">
      <w:bodyDiv w:val="1"/>
      <w:marLeft w:val="0"/>
      <w:marRight w:val="0"/>
      <w:marTop w:val="0"/>
      <w:marBottom w:val="0"/>
      <w:divBdr>
        <w:top w:val="none" w:sz="0" w:space="0" w:color="auto"/>
        <w:left w:val="none" w:sz="0" w:space="0" w:color="auto"/>
        <w:bottom w:val="none" w:sz="0" w:space="0" w:color="auto"/>
        <w:right w:val="none" w:sz="0" w:space="0" w:color="auto"/>
      </w:divBdr>
    </w:div>
    <w:div w:id="19561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18B1-725A-40DE-A01F-C1838E1A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 Elkamhawy</dc:creator>
  <cp:lastModifiedBy>COMESA Regional Investment Agency</cp:lastModifiedBy>
  <cp:revision>6</cp:revision>
  <cp:lastPrinted>2019-09-20T15:49:00Z</cp:lastPrinted>
  <dcterms:created xsi:type="dcterms:W3CDTF">2019-09-12T11:00:00Z</dcterms:created>
  <dcterms:modified xsi:type="dcterms:W3CDTF">2019-09-22T08:12:00Z</dcterms:modified>
</cp:coreProperties>
</file>