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bookmarkStart w:id="0" w:name="_GoBack" w:colFirst="0" w:colLast="0"/>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88042E">
        <w:trPr>
          <w:trHeight w:val="70"/>
        </w:trPr>
        <w:tc>
          <w:tcPr>
            <w:tcW w:w="4536" w:type="dxa"/>
          </w:tcPr>
          <w:p w14:paraId="715F3A9B" w14:textId="49619021"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European Union</w:t>
            </w:r>
          </w:p>
        </w:tc>
        <w:tc>
          <w:tcPr>
            <w:tcW w:w="4536" w:type="dxa"/>
          </w:tcPr>
          <w:p w14:paraId="1BF3CA04" w14:textId="68AD9106" w:rsidR="0088042E" w:rsidRPr="0088042E" w:rsidRDefault="00690063" w:rsidP="00EA5707">
            <w:pPr>
              <w:rPr>
                <w:rFonts w:ascii="Arial" w:hAnsi="Arial" w:cs="Arial"/>
                <w:sz w:val="24"/>
                <w:szCs w:val="24"/>
                <w:lang w:val="en-GB"/>
              </w:rPr>
            </w:pPr>
            <w:r>
              <w:rPr>
                <w:rFonts w:ascii="Arial" w:hAnsi="Arial" w:cs="Arial"/>
                <w:sz w:val="24"/>
                <w:szCs w:val="24"/>
                <w:lang w:val="en-GB"/>
              </w:rPr>
              <w:t>COMESA Trade Facilitation Programme</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420F828F" w:rsidR="0088042E" w:rsidRPr="0088042E" w:rsidRDefault="00690063" w:rsidP="00EA5707">
            <w:pPr>
              <w:rPr>
                <w:rFonts w:ascii="Arial" w:hAnsi="Arial" w:cs="Arial"/>
                <w:sz w:val="24"/>
                <w:szCs w:val="24"/>
                <w:lang w:val="en-GB"/>
              </w:rPr>
            </w:pPr>
            <w:r>
              <w:rPr>
                <w:rFonts w:ascii="Arial" w:hAnsi="Arial" w:cs="Arial"/>
                <w:sz w:val="24"/>
                <w:szCs w:val="24"/>
                <w:lang w:val="en-GB"/>
              </w:rPr>
              <w:t>20 November 2018</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472F9A27" w:rsidR="0088042E" w:rsidRPr="0088042E" w:rsidRDefault="00690063" w:rsidP="00EA5707">
            <w:pPr>
              <w:rPr>
                <w:rFonts w:ascii="Arial" w:hAnsi="Arial" w:cs="Arial"/>
                <w:sz w:val="24"/>
                <w:szCs w:val="24"/>
                <w:lang w:val="en-GB"/>
              </w:rPr>
            </w:pPr>
            <w:r>
              <w:rPr>
                <w:rFonts w:ascii="Arial" w:hAnsi="Arial" w:cs="Arial"/>
                <w:color w:val="000000"/>
                <w:sz w:val="24"/>
                <w:szCs w:val="24"/>
                <w:lang w:val="en-GB"/>
              </w:rPr>
              <w:t xml:space="preserve">19 November </w:t>
            </w:r>
            <w:r w:rsidR="0088042E" w:rsidRPr="0088042E">
              <w:rPr>
                <w:rFonts w:ascii="Arial" w:hAnsi="Arial" w:cs="Arial"/>
                <w:color w:val="000000"/>
                <w:sz w:val="24"/>
                <w:szCs w:val="24"/>
                <w:lang w:val="en-GB"/>
              </w:rPr>
              <w:t>20</w:t>
            </w:r>
            <w:r>
              <w:rPr>
                <w:rFonts w:ascii="Arial" w:hAnsi="Arial" w:cs="Arial"/>
                <w:color w:val="000000"/>
                <w:sz w:val="24"/>
                <w:szCs w:val="24"/>
                <w:lang w:val="en-GB"/>
              </w:rPr>
              <w:t>22</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15C86E41"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4574F7">
              <w:rPr>
                <w:rFonts w:ascii="Arial" w:hAnsi="Arial" w:cs="Arial"/>
                <w:color w:val="000000"/>
                <w:sz w:val="24"/>
                <w:szCs w:val="24"/>
                <w:lang w:val="en-GB"/>
              </w:rPr>
              <w:t>53,105,800</w:t>
            </w:r>
            <w:proofErr w:type="gramStart"/>
            <w:r w:rsidR="000C423F">
              <w:rPr>
                <w:rFonts w:ascii="Arial" w:hAnsi="Arial" w:cs="Arial"/>
                <w:color w:val="000000"/>
                <w:sz w:val="24"/>
                <w:szCs w:val="24"/>
                <w:lang w:val="en-GB"/>
              </w:rPr>
              <w:t xml:space="preserve">  </w:t>
            </w:r>
            <w:r w:rsidR="000C423F" w:rsidRPr="0088042E">
              <w:rPr>
                <w:rFonts w:ascii="Arial" w:hAnsi="Arial" w:cs="Arial"/>
                <w:color w:val="000000"/>
                <w:sz w:val="24"/>
                <w:szCs w:val="24"/>
                <w:lang w:val="en-GB"/>
              </w:rPr>
              <w:t xml:space="preserve"> </w:t>
            </w:r>
            <w:r w:rsidR="000C423F">
              <w:rPr>
                <w:rFonts w:ascii="Arial" w:hAnsi="Arial" w:cs="Arial"/>
                <w:color w:val="000000"/>
                <w:sz w:val="24"/>
                <w:szCs w:val="24"/>
                <w:lang w:val="en-GB"/>
              </w:rPr>
              <w:t>(</w:t>
            </w:r>
            <w:proofErr w:type="gramEnd"/>
            <w:r w:rsidRPr="0088042E">
              <w:rPr>
                <w:rFonts w:ascii="Arial" w:hAnsi="Arial" w:cs="Arial"/>
                <w:color w:val="000000"/>
                <w:sz w:val="24"/>
                <w:szCs w:val="24"/>
                <w:lang w:val="en-GB"/>
              </w:rPr>
              <w:t xml:space="preserve">Euro </w:t>
            </w:r>
            <w:r w:rsidR="00690063">
              <w:rPr>
                <w:rFonts w:ascii="Arial" w:hAnsi="Arial" w:cs="Arial"/>
                <w:color w:val="000000"/>
                <w:sz w:val="24"/>
                <w:szCs w:val="24"/>
                <w:lang w:val="en-GB"/>
              </w:rPr>
              <w:t>48, 278,000</w:t>
            </w:r>
            <w:r w:rsidRPr="0088042E">
              <w:rPr>
                <w:rFonts w:ascii="Arial" w:hAnsi="Arial" w:cs="Arial"/>
                <w:color w:val="000000"/>
                <w:sz w:val="24"/>
                <w:szCs w:val="24"/>
                <w:lang w:val="en-GB"/>
              </w:rPr>
              <w:t>)</w:t>
            </w:r>
          </w:p>
        </w:tc>
      </w:tr>
      <w:tr w:rsidR="0088042E" w:rsidRPr="0088042E" w14:paraId="61C3A07E" w14:textId="77777777" w:rsidTr="0088042E">
        <w:trPr>
          <w:trHeight w:val="70"/>
        </w:trPr>
        <w:tc>
          <w:tcPr>
            <w:tcW w:w="4536" w:type="dxa"/>
            <w:vAlign w:val="center"/>
          </w:tcPr>
          <w:p w14:paraId="0E3D1E96" w14:textId="7FF5D59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before current year:</w:t>
            </w:r>
            <w:r w:rsidRPr="0088042E">
              <w:rPr>
                <w:rFonts w:ascii="Arial" w:hAnsi="Arial" w:cs="Arial"/>
                <w:color w:val="000000"/>
                <w:sz w:val="24"/>
                <w:szCs w:val="24"/>
                <w:lang w:val="en-GB"/>
              </w:rPr>
              <w:t xml:space="preserve"> (2019)</w:t>
            </w:r>
          </w:p>
        </w:tc>
        <w:tc>
          <w:tcPr>
            <w:tcW w:w="4536" w:type="dxa"/>
            <w:vAlign w:val="center"/>
          </w:tcPr>
          <w:p w14:paraId="59CB27D3" w14:textId="6760BF22"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4574F7">
              <w:rPr>
                <w:rFonts w:ascii="Arial" w:hAnsi="Arial" w:cs="Arial"/>
                <w:color w:val="000000"/>
                <w:sz w:val="24"/>
                <w:szCs w:val="24"/>
                <w:lang w:val="en-GB"/>
              </w:rPr>
              <w:t>12,728,293</w:t>
            </w:r>
            <w:proofErr w:type="gramStart"/>
            <w:r w:rsidR="000C423F" w:rsidRPr="0088042E">
              <w:rPr>
                <w:rFonts w:ascii="Arial" w:hAnsi="Arial" w:cs="Arial"/>
                <w:color w:val="000000"/>
                <w:sz w:val="24"/>
                <w:szCs w:val="24"/>
                <w:lang w:val="en-GB"/>
              </w:rPr>
              <w:t xml:space="preserve"> </w:t>
            </w:r>
            <w:r w:rsidR="000C423F">
              <w:rPr>
                <w:rFonts w:ascii="Arial" w:hAnsi="Arial" w:cs="Arial"/>
                <w:color w:val="000000"/>
                <w:sz w:val="24"/>
                <w:szCs w:val="24"/>
                <w:lang w:val="en-GB"/>
              </w:rPr>
              <w:t xml:space="preserve">  (</w:t>
            </w:r>
            <w:proofErr w:type="gramEnd"/>
            <w:r w:rsidRPr="0088042E">
              <w:rPr>
                <w:rFonts w:ascii="Arial" w:hAnsi="Arial" w:cs="Arial"/>
                <w:color w:val="000000"/>
                <w:sz w:val="24"/>
                <w:szCs w:val="24"/>
                <w:lang w:val="en-GB"/>
              </w:rPr>
              <w:t xml:space="preserve">Euro </w:t>
            </w:r>
            <w:r w:rsidR="00690063">
              <w:rPr>
                <w:rFonts w:ascii="Arial" w:hAnsi="Arial" w:cs="Arial"/>
                <w:color w:val="000000"/>
                <w:sz w:val="24"/>
                <w:szCs w:val="24"/>
                <w:lang w:val="en-GB"/>
              </w:rPr>
              <w:t>11,571,176</w:t>
            </w:r>
            <w:r w:rsidRPr="0088042E">
              <w:rPr>
                <w:rFonts w:ascii="Arial" w:hAnsi="Arial" w:cs="Arial"/>
                <w:color w:val="000000"/>
                <w:sz w:val="24"/>
                <w:szCs w:val="24"/>
                <w:lang w:val="en-GB"/>
              </w:rPr>
              <w:t>)</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5C1F04E1"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4574F7">
              <w:rPr>
                <w:rFonts w:ascii="Arial" w:hAnsi="Arial" w:cs="Arial"/>
                <w:color w:val="000000"/>
                <w:sz w:val="24"/>
                <w:szCs w:val="24"/>
                <w:lang w:val="en-GB"/>
              </w:rPr>
              <w:t>40,377,506</w:t>
            </w:r>
            <w:proofErr w:type="gramStart"/>
            <w:r w:rsidR="000C423F">
              <w:rPr>
                <w:rFonts w:ascii="Arial" w:hAnsi="Arial" w:cs="Arial"/>
                <w:color w:val="000000"/>
                <w:sz w:val="24"/>
                <w:szCs w:val="24"/>
                <w:lang w:val="en-GB"/>
              </w:rPr>
              <w:t xml:space="preserve">   </w:t>
            </w:r>
            <w:r w:rsidR="000C423F">
              <w:rPr>
                <w:color w:val="000000"/>
                <w:lang w:val="en-GB"/>
              </w:rPr>
              <w:t>(</w:t>
            </w:r>
            <w:proofErr w:type="gramEnd"/>
            <w:r w:rsidRPr="0088042E">
              <w:rPr>
                <w:rFonts w:ascii="Arial" w:hAnsi="Arial" w:cs="Arial"/>
                <w:color w:val="000000"/>
                <w:sz w:val="24"/>
                <w:szCs w:val="24"/>
                <w:lang w:val="en-GB"/>
              </w:rPr>
              <w:t xml:space="preserve">Euro </w:t>
            </w:r>
            <w:r w:rsidR="00690063">
              <w:rPr>
                <w:rFonts w:ascii="Arial" w:hAnsi="Arial" w:cs="Arial"/>
                <w:color w:val="000000"/>
                <w:sz w:val="24"/>
                <w:szCs w:val="24"/>
                <w:lang w:val="en-GB"/>
              </w:rPr>
              <w:t>36,706,824</w:t>
            </w:r>
            <w:r w:rsidRPr="0088042E">
              <w:rPr>
                <w:rFonts w:ascii="Arial" w:hAnsi="Arial" w:cs="Arial"/>
                <w:color w:val="000000"/>
                <w:sz w:val="24"/>
                <w:szCs w:val="24"/>
                <w:lang w:val="en-GB"/>
              </w:rPr>
              <w:t>)</w:t>
            </w:r>
          </w:p>
        </w:tc>
      </w:tr>
      <w:tr w:rsidR="0088042E" w:rsidRPr="0088042E" w14:paraId="542C5901" w14:textId="77777777" w:rsidTr="0088042E">
        <w:trPr>
          <w:trHeight w:val="70"/>
        </w:trPr>
        <w:tc>
          <w:tcPr>
            <w:tcW w:w="4536" w:type="dxa"/>
            <w:vAlign w:val="center"/>
          </w:tcPr>
          <w:p w14:paraId="5C6A47F4" w14:textId="1F8569B8"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p>
        </w:tc>
        <w:tc>
          <w:tcPr>
            <w:tcW w:w="4536" w:type="dxa"/>
            <w:vAlign w:val="center"/>
          </w:tcPr>
          <w:p w14:paraId="74574CDB" w14:textId="3D8190F4"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4574F7">
              <w:rPr>
                <w:rFonts w:ascii="Arial" w:hAnsi="Arial" w:cs="Arial"/>
                <w:color w:val="000000"/>
                <w:sz w:val="24"/>
                <w:szCs w:val="24"/>
                <w:lang w:val="en-GB"/>
              </w:rPr>
              <w:t>Nil</w:t>
            </w:r>
            <w:r w:rsidR="000C423F">
              <w:rPr>
                <w:rFonts w:ascii="Arial" w:hAnsi="Arial" w:cs="Arial"/>
                <w:color w:val="000000"/>
                <w:sz w:val="24"/>
                <w:szCs w:val="24"/>
                <w:lang w:val="en-GB"/>
              </w:rPr>
              <w:t xml:space="preserve"> </w:t>
            </w:r>
            <w:r w:rsidR="000C423F">
              <w:rPr>
                <w:color w:val="000000"/>
                <w:lang w:val="en-GB"/>
              </w:rPr>
              <w:t xml:space="preserve">   </w:t>
            </w:r>
            <w:proofErr w:type="gramStart"/>
            <w:r w:rsidR="000C423F">
              <w:rPr>
                <w:color w:val="000000"/>
                <w:lang w:val="en-GB"/>
              </w:rPr>
              <w:t xml:space="preserve">   </w:t>
            </w:r>
            <w:r w:rsidR="000C423F" w:rsidRPr="0088042E">
              <w:rPr>
                <w:rFonts w:ascii="Arial" w:hAnsi="Arial" w:cs="Arial"/>
                <w:color w:val="000000"/>
                <w:sz w:val="24"/>
                <w:szCs w:val="24"/>
                <w:lang w:val="en-GB"/>
              </w:rPr>
              <w:t>(</w:t>
            </w:r>
            <w:proofErr w:type="gramEnd"/>
            <w:r w:rsidRPr="0088042E">
              <w:rPr>
                <w:rFonts w:ascii="Arial" w:hAnsi="Arial" w:cs="Arial"/>
                <w:color w:val="000000"/>
                <w:sz w:val="24"/>
                <w:szCs w:val="24"/>
                <w:lang w:val="en-GB"/>
              </w:rPr>
              <w:t xml:space="preserve">Euro </w:t>
            </w:r>
            <w:r w:rsidR="00690063">
              <w:rPr>
                <w:rFonts w:ascii="Arial" w:hAnsi="Arial" w:cs="Arial"/>
                <w:color w:val="000000"/>
                <w:sz w:val="24"/>
                <w:szCs w:val="24"/>
                <w:lang w:val="en-GB"/>
              </w:rPr>
              <w:t>Nil</w:t>
            </w:r>
            <w:r w:rsidRPr="0088042E">
              <w:rPr>
                <w:rFonts w:ascii="Arial" w:hAnsi="Arial" w:cs="Arial"/>
                <w:color w:val="000000"/>
                <w:sz w:val="24"/>
                <w:szCs w:val="24"/>
                <w:lang w:val="en-GB"/>
              </w:rPr>
              <w:t>)</w:t>
            </w:r>
          </w:p>
        </w:tc>
      </w:tr>
      <w:tr w:rsidR="0088042E" w:rsidRPr="0088042E" w14:paraId="522A9FE2" w14:textId="77777777" w:rsidTr="0088042E">
        <w:trPr>
          <w:trHeight w:val="70"/>
        </w:trPr>
        <w:tc>
          <w:tcPr>
            <w:tcW w:w="4536" w:type="dxa"/>
            <w:vAlign w:val="center"/>
          </w:tcPr>
          <w:p w14:paraId="3F3E1030" w14:textId="5C357F53"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0D6939F7"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w:t>
            </w:r>
            <w:r w:rsidR="004574F7">
              <w:rPr>
                <w:rFonts w:ascii="Arial" w:hAnsi="Arial" w:cs="Arial"/>
                <w:color w:val="000000"/>
                <w:sz w:val="24"/>
                <w:szCs w:val="24"/>
                <w:lang w:val="en-GB"/>
              </w:rPr>
              <w:t>40,377,506</w:t>
            </w:r>
            <w:proofErr w:type="gramStart"/>
            <w:r w:rsidR="004574F7">
              <w:rPr>
                <w:rFonts w:ascii="Arial" w:hAnsi="Arial" w:cs="Arial"/>
                <w:color w:val="000000"/>
                <w:sz w:val="24"/>
                <w:szCs w:val="24"/>
                <w:lang w:val="en-GB"/>
              </w:rPr>
              <w:t xml:space="preserve">   </w:t>
            </w:r>
            <w:r w:rsidR="000C423F">
              <w:rPr>
                <w:color w:val="000000"/>
                <w:lang w:val="en-GB"/>
              </w:rPr>
              <w:t>(</w:t>
            </w:r>
            <w:proofErr w:type="gramEnd"/>
            <w:r w:rsidRPr="0088042E">
              <w:rPr>
                <w:rFonts w:ascii="Arial" w:hAnsi="Arial" w:cs="Arial"/>
                <w:color w:val="000000"/>
                <w:sz w:val="24"/>
                <w:szCs w:val="24"/>
                <w:lang w:val="en-GB"/>
              </w:rPr>
              <w:t xml:space="preserve">Euro </w:t>
            </w:r>
            <w:r w:rsidR="00690063">
              <w:rPr>
                <w:rFonts w:ascii="Arial" w:hAnsi="Arial" w:cs="Arial"/>
                <w:color w:val="000000"/>
                <w:sz w:val="24"/>
                <w:szCs w:val="24"/>
                <w:lang w:val="en-GB"/>
              </w:rPr>
              <w:t>36,706,824</w:t>
            </w:r>
            <w:r w:rsidRPr="0088042E">
              <w:rPr>
                <w:rFonts w:ascii="Arial" w:hAnsi="Arial" w:cs="Arial"/>
                <w:color w:val="000000"/>
                <w:sz w:val="24"/>
                <w:szCs w:val="24"/>
                <w:lang w:val="en-GB"/>
              </w:rPr>
              <w:t>)</w:t>
            </w:r>
          </w:p>
        </w:tc>
      </w:tr>
      <w:bookmarkEnd w:id="0"/>
    </w:tbl>
    <w:p w14:paraId="53F367F0" w14:textId="27317155" w:rsidR="00E20F23" w:rsidRDefault="00E20F23">
      <w:pPr>
        <w:rPr>
          <w:rFonts w:ascii="Arial" w:hAnsi="Arial" w:cs="Arial"/>
          <w:sz w:val="24"/>
          <w:szCs w:val="24"/>
        </w:rPr>
      </w:pPr>
    </w:p>
    <w:p w14:paraId="2ED59209" w14:textId="3BB087D8" w:rsidR="0088042E" w:rsidRDefault="0088042E" w:rsidP="0088042E">
      <w:pPr>
        <w:pStyle w:val="ListParagraph"/>
        <w:numPr>
          <w:ilvl w:val="0"/>
          <w:numId w:val="3"/>
        </w:numPr>
        <w:rPr>
          <w:rFonts w:ascii="Arial" w:hAnsi="Arial" w:cs="Arial"/>
          <w:b/>
          <w:bCs/>
          <w:sz w:val="24"/>
          <w:szCs w:val="24"/>
          <w:lang w:val="en-GB"/>
        </w:rPr>
      </w:pPr>
      <w:r w:rsidRPr="0088042E">
        <w:rPr>
          <w:rFonts w:ascii="Arial" w:hAnsi="Arial" w:cs="Arial"/>
          <w:b/>
          <w:bCs/>
          <w:sz w:val="24"/>
          <w:szCs w:val="24"/>
          <w:lang w:val="en-GB"/>
        </w:rPr>
        <w:t>Brief about the programme</w:t>
      </w:r>
    </w:p>
    <w:p w14:paraId="3C889468" w14:textId="77777777" w:rsidR="004574F7" w:rsidRDefault="004574F7" w:rsidP="004574F7">
      <w:pPr>
        <w:pStyle w:val="DefaultText"/>
        <w:tabs>
          <w:tab w:val="clear" w:pos="-709"/>
        </w:tabs>
        <w:spacing w:line="240" w:lineRule="auto"/>
        <w:rPr>
          <w:rFonts w:ascii="Arial" w:eastAsiaTheme="minorHAnsi" w:hAnsi="Arial" w:cs="Arial"/>
          <w:lang w:val="en-ZA" w:eastAsia="en-US"/>
        </w:rPr>
      </w:pPr>
      <w:r>
        <w:rPr>
          <w:rFonts w:ascii="Arial" w:eastAsiaTheme="minorHAnsi" w:hAnsi="Arial" w:cs="Arial"/>
          <w:lang w:val="en-ZA" w:eastAsia="en-US"/>
        </w:rPr>
        <w:t>COMESA is implementing the Trade Facilitation Programme funded by the European Commission. The actions under this programme specifically complement COMESA’s plan to be a single trade and investment area in which tariff, non-</w:t>
      </w:r>
      <w:proofErr w:type="spellStart"/>
      <w:r>
        <w:rPr>
          <w:rFonts w:ascii="Arial" w:eastAsiaTheme="minorHAnsi" w:hAnsi="Arial" w:cs="Arial"/>
          <w:lang w:val="en-ZA" w:eastAsia="en-US"/>
        </w:rPr>
        <w:t>tarriff</w:t>
      </w:r>
      <w:proofErr w:type="spellEnd"/>
      <w:r>
        <w:rPr>
          <w:rFonts w:ascii="Arial" w:eastAsiaTheme="minorHAnsi" w:hAnsi="Arial" w:cs="Arial"/>
          <w:lang w:val="en-ZA" w:eastAsia="en-US"/>
        </w:rPr>
        <w:t xml:space="preserve"> barriers and other impediments to the movement of goods, services, capital and people will be removed by 2025.</w:t>
      </w:r>
    </w:p>
    <w:p w14:paraId="4583C94E" w14:textId="2294AB9E" w:rsidR="00852CDB" w:rsidRPr="004574F7" w:rsidRDefault="004574F7" w:rsidP="004574F7">
      <w:pPr>
        <w:pStyle w:val="DefaultText"/>
        <w:tabs>
          <w:tab w:val="clear" w:pos="-709"/>
        </w:tabs>
        <w:spacing w:line="240" w:lineRule="auto"/>
        <w:rPr>
          <w:rFonts w:ascii="Arial" w:eastAsiaTheme="minorHAnsi" w:hAnsi="Arial" w:cs="Arial"/>
          <w:lang w:val="en-ZA" w:eastAsia="en-US"/>
        </w:rPr>
      </w:pPr>
      <w:r>
        <w:rPr>
          <w:rFonts w:ascii="Arial" w:eastAsiaTheme="minorHAnsi" w:hAnsi="Arial" w:cs="Arial"/>
          <w:lang w:val="en-ZA" w:eastAsia="en-US"/>
        </w:rPr>
        <w:t xml:space="preserve"> </w:t>
      </w:r>
    </w:p>
    <w:p w14:paraId="371B4FB2" w14:textId="77777777" w:rsidR="0074291F" w:rsidRDefault="0074291F" w:rsidP="0074291F">
      <w:pPr>
        <w:spacing w:after="0"/>
        <w:jc w:val="both"/>
        <w:rPr>
          <w:rFonts w:ascii="Arial" w:hAnsi="Arial" w:cs="Arial"/>
          <w:bCs/>
          <w:lang w:val="en-ZA"/>
        </w:rPr>
      </w:pPr>
      <w:r w:rsidRPr="00B6314D">
        <w:rPr>
          <w:rFonts w:ascii="Arial" w:hAnsi="Arial" w:cs="Arial"/>
          <w:b/>
          <w:bCs/>
          <w:lang w:val="en-ZA"/>
        </w:rPr>
        <w:t>General Objective</w:t>
      </w:r>
      <w:r>
        <w:rPr>
          <w:rFonts w:ascii="Arial" w:hAnsi="Arial" w:cs="Arial"/>
          <w:bCs/>
          <w:lang w:val="en-ZA"/>
        </w:rPr>
        <w:t>: To contribute to deepening regional integration, improving inclusive regional economic growth and enhancing competitiveness of the COMESA Region.</w:t>
      </w:r>
    </w:p>
    <w:p w14:paraId="2DCD426C" w14:textId="77777777" w:rsidR="0074291F" w:rsidRDefault="0074291F" w:rsidP="0074291F">
      <w:pPr>
        <w:spacing w:after="0"/>
        <w:jc w:val="both"/>
        <w:rPr>
          <w:rFonts w:ascii="Arial" w:hAnsi="Arial" w:cs="Arial"/>
          <w:b/>
          <w:bCs/>
          <w:lang w:val="en-ZA"/>
        </w:rPr>
      </w:pPr>
    </w:p>
    <w:p w14:paraId="3679EC25" w14:textId="77777777" w:rsidR="0074291F" w:rsidRPr="00254131" w:rsidRDefault="0074291F" w:rsidP="0074291F">
      <w:pPr>
        <w:spacing w:after="0"/>
        <w:jc w:val="both"/>
        <w:rPr>
          <w:rFonts w:ascii="Arial" w:hAnsi="Arial" w:cs="Arial"/>
          <w:bCs/>
          <w:sz w:val="24"/>
          <w:szCs w:val="24"/>
          <w:lang w:val="en-ZA"/>
        </w:rPr>
      </w:pPr>
      <w:r w:rsidRPr="00B6314D">
        <w:rPr>
          <w:rFonts w:ascii="Arial" w:hAnsi="Arial" w:cs="Arial"/>
          <w:b/>
          <w:bCs/>
          <w:lang w:val="en-ZA"/>
        </w:rPr>
        <w:t>Specific objective</w:t>
      </w:r>
      <w:r>
        <w:rPr>
          <w:rFonts w:ascii="Arial" w:hAnsi="Arial" w:cs="Arial"/>
          <w:bCs/>
          <w:lang w:val="en-ZA"/>
        </w:rPr>
        <w:t>: to increase intra-regional trade flows of goods, persons and services by reducing the costs/delays of imports/exports at specific border posts through the reduction of NTBs across the borders, the implementation of the COMESA Digital FTA, WTO TFA, the improvement of the CBM, and the liberalisation of the trade in services and movement of persons.</w:t>
      </w:r>
    </w:p>
    <w:p w14:paraId="09F11104" w14:textId="72E6A9CA" w:rsidR="00B62107" w:rsidRDefault="00B62107" w:rsidP="004574F7">
      <w:pPr>
        <w:pStyle w:val="DefaultText"/>
        <w:tabs>
          <w:tab w:val="clear" w:pos="-709"/>
        </w:tabs>
        <w:spacing w:line="240" w:lineRule="auto"/>
        <w:rPr>
          <w:rFonts w:ascii="Arial" w:hAnsi="Arial" w:cs="Arial"/>
          <w:bCs/>
        </w:rPr>
      </w:pPr>
    </w:p>
    <w:p w14:paraId="0F5D6C9F" w14:textId="7A718941" w:rsidR="00B62107" w:rsidRPr="007361AD" w:rsidRDefault="00B62107" w:rsidP="0074291F">
      <w:pPr>
        <w:pStyle w:val="DefaultText"/>
        <w:tabs>
          <w:tab w:val="clear" w:pos="-709"/>
        </w:tabs>
        <w:spacing w:line="240" w:lineRule="auto"/>
        <w:rPr>
          <w:rFonts w:ascii="Arial" w:hAnsi="Arial" w:cs="Arial"/>
          <w:bCs/>
        </w:rPr>
      </w:pPr>
      <w:r>
        <w:rPr>
          <w:rFonts w:ascii="Arial" w:hAnsi="Arial" w:cs="Arial"/>
          <w:bCs/>
        </w:rPr>
        <w:t>Implemented u</w:t>
      </w:r>
      <w:r w:rsidRPr="007361AD">
        <w:rPr>
          <w:rFonts w:ascii="Arial" w:hAnsi="Arial" w:cs="Arial"/>
          <w:bCs/>
        </w:rPr>
        <w:t>nder the Strategic Objective 8 that addresses regional and secretariat readiness</w:t>
      </w:r>
      <w:r>
        <w:rPr>
          <w:rFonts w:ascii="Arial" w:hAnsi="Arial" w:cs="Arial"/>
          <w:bCs/>
        </w:rPr>
        <w:t>, the programme has the following result areas/objectives;</w:t>
      </w:r>
    </w:p>
    <w:p w14:paraId="0E1CCF9B" w14:textId="77777777" w:rsidR="00B62107" w:rsidRPr="007361AD" w:rsidRDefault="00B62107" w:rsidP="00B62107">
      <w:pPr>
        <w:pStyle w:val="DefaultText"/>
        <w:tabs>
          <w:tab w:val="clear" w:pos="-709"/>
        </w:tabs>
        <w:spacing w:line="240" w:lineRule="auto"/>
        <w:ind w:left="720" w:hanging="720"/>
        <w:rPr>
          <w:rFonts w:ascii="Arial" w:hAnsi="Arial" w:cs="Arial"/>
          <w:bCs/>
        </w:rPr>
      </w:pPr>
    </w:p>
    <w:p w14:paraId="7D5DA1B2" w14:textId="77777777" w:rsidR="0074291F" w:rsidRPr="00B6314D" w:rsidRDefault="0074291F" w:rsidP="0074291F">
      <w:pPr>
        <w:spacing w:after="0"/>
        <w:jc w:val="both"/>
        <w:rPr>
          <w:rFonts w:ascii="Arial" w:hAnsi="Arial" w:cs="Arial"/>
          <w:b/>
          <w:bCs/>
          <w:sz w:val="24"/>
          <w:szCs w:val="24"/>
          <w:lang w:val="en-ZA"/>
        </w:rPr>
      </w:pPr>
      <w:r w:rsidRPr="00B6314D">
        <w:rPr>
          <w:rFonts w:ascii="Arial" w:hAnsi="Arial" w:cs="Arial"/>
          <w:b/>
          <w:bCs/>
          <w:sz w:val="24"/>
          <w:szCs w:val="24"/>
          <w:lang w:val="en-ZA"/>
        </w:rPr>
        <w:t>E</w:t>
      </w:r>
      <w:r w:rsidRPr="00B6314D">
        <w:rPr>
          <w:rFonts w:ascii="Arial" w:hAnsi="Arial" w:cs="Arial"/>
          <w:b/>
          <w:bCs/>
          <w:lang w:val="en-ZA"/>
        </w:rPr>
        <w:t>x</w:t>
      </w:r>
      <w:r w:rsidRPr="00B6314D">
        <w:rPr>
          <w:rFonts w:ascii="Arial" w:hAnsi="Arial" w:cs="Arial"/>
          <w:b/>
          <w:bCs/>
          <w:sz w:val="24"/>
          <w:szCs w:val="24"/>
          <w:lang w:val="en-ZA"/>
        </w:rPr>
        <w:t>pected results</w:t>
      </w:r>
    </w:p>
    <w:p w14:paraId="0C11314A" w14:textId="77777777" w:rsidR="0074291F" w:rsidRPr="00254131" w:rsidRDefault="0074291F" w:rsidP="0074291F">
      <w:pPr>
        <w:spacing w:after="0"/>
        <w:jc w:val="both"/>
        <w:rPr>
          <w:rFonts w:ascii="Arial" w:hAnsi="Arial" w:cs="Arial"/>
          <w:bCs/>
          <w:sz w:val="24"/>
          <w:szCs w:val="24"/>
          <w:lang w:val="en-ZA"/>
        </w:rPr>
      </w:pPr>
    </w:p>
    <w:p w14:paraId="0A9C8EAC" w14:textId="77777777" w:rsidR="0074291F" w:rsidRDefault="0074291F" w:rsidP="0074291F">
      <w:pPr>
        <w:spacing w:after="0"/>
        <w:jc w:val="both"/>
        <w:rPr>
          <w:rFonts w:ascii="Arial" w:hAnsi="Arial" w:cs="Arial"/>
          <w:bCs/>
          <w:lang w:val="en-ZA"/>
        </w:rPr>
      </w:pPr>
      <w:r w:rsidRPr="00254131">
        <w:rPr>
          <w:rFonts w:ascii="Arial" w:hAnsi="Arial" w:cs="Arial"/>
          <w:bCs/>
          <w:sz w:val="24"/>
          <w:szCs w:val="24"/>
          <w:lang w:val="en-ZA"/>
        </w:rPr>
        <w:t>Result 1: Improved monitoring and resolution of Non-Tariff Barriers (NTBs)</w:t>
      </w:r>
    </w:p>
    <w:p w14:paraId="331A0519" w14:textId="77777777" w:rsidR="0074291F" w:rsidRPr="00254131" w:rsidRDefault="0074291F" w:rsidP="0074291F">
      <w:pPr>
        <w:spacing w:after="0"/>
        <w:jc w:val="both"/>
        <w:rPr>
          <w:rFonts w:ascii="Arial" w:hAnsi="Arial" w:cs="Arial"/>
          <w:bCs/>
          <w:sz w:val="24"/>
          <w:szCs w:val="24"/>
          <w:lang w:val="en-ZA"/>
        </w:rPr>
      </w:pPr>
    </w:p>
    <w:p w14:paraId="084254CC" w14:textId="77777777" w:rsidR="0074291F" w:rsidRDefault="0074291F" w:rsidP="0074291F">
      <w:pPr>
        <w:spacing w:after="0"/>
        <w:jc w:val="both"/>
        <w:rPr>
          <w:rFonts w:ascii="Arial" w:hAnsi="Arial" w:cs="Arial"/>
          <w:bCs/>
          <w:lang w:val="en-ZA"/>
        </w:rPr>
      </w:pPr>
      <w:r w:rsidRPr="00254131">
        <w:rPr>
          <w:rFonts w:ascii="Arial" w:hAnsi="Arial" w:cs="Arial"/>
          <w:bCs/>
          <w:sz w:val="24"/>
          <w:szCs w:val="24"/>
          <w:lang w:val="en-ZA"/>
        </w:rPr>
        <w:t>Result 2: Enhanced implementation of the WTO Trade Facilitation Agreement</w:t>
      </w:r>
    </w:p>
    <w:p w14:paraId="73BBB8E0" w14:textId="77777777" w:rsidR="0074291F" w:rsidRPr="00254131" w:rsidRDefault="0074291F" w:rsidP="0074291F">
      <w:pPr>
        <w:spacing w:after="0"/>
        <w:jc w:val="both"/>
        <w:rPr>
          <w:rFonts w:ascii="Arial" w:hAnsi="Arial" w:cs="Arial"/>
          <w:bCs/>
          <w:sz w:val="24"/>
          <w:szCs w:val="24"/>
          <w:lang w:val="en-ZA"/>
        </w:rPr>
      </w:pPr>
    </w:p>
    <w:p w14:paraId="03B04E02" w14:textId="77777777" w:rsidR="0074291F" w:rsidRDefault="0074291F" w:rsidP="0074291F">
      <w:pPr>
        <w:spacing w:after="0"/>
        <w:jc w:val="both"/>
        <w:rPr>
          <w:rFonts w:ascii="Arial" w:hAnsi="Arial" w:cs="Arial"/>
          <w:bCs/>
          <w:lang w:val="en-ZA"/>
        </w:rPr>
      </w:pPr>
      <w:r w:rsidRPr="00254131">
        <w:rPr>
          <w:rFonts w:ascii="Arial" w:hAnsi="Arial" w:cs="Arial"/>
          <w:bCs/>
          <w:sz w:val="24"/>
          <w:szCs w:val="24"/>
          <w:lang w:val="en-ZA"/>
        </w:rPr>
        <w:t>Result 3: Strengthened Coordinated Border Management (CBM) and Trade and Transport facilitation</w:t>
      </w:r>
    </w:p>
    <w:p w14:paraId="1DAD541B" w14:textId="77777777" w:rsidR="0074291F" w:rsidRPr="00254131" w:rsidRDefault="0074291F" w:rsidP="0074291F">
      <w:pPr>
        <w:spacing w:after="0"/>
        <w:jc w:val="both"/>
        <w:rPr>
          <w:rFonts w:ascii="Arial" w:hAnsi="Arial" w:cs="Arial"/>
          <w:bCs/>
          <w:sz w:val="24"/>
          <w:szCs w:val="24"/>
          <w:lang w:val="en-ZA"/>
        </w:rPr>
      </w:pPr>
    </w:p>
    <w:p w14:paraId="1D805E30" w14:textId="77777777" w:rsidR="0074291F" w:rsidRDefault="0074291F" w:rsidP="0074291F">
      <w:pPr>
        <w:spacing w:after="0"/>
        <w:jc w:val="both"/>
        <w:rPr>
          <w:rFonts w:ascii="Arial" w:hAnsi="Arial" w:cs="Arial"/>
          <w:bCs/>
          <w:lang w:val="en-ZA"/>
        </w:rPr>
      </w:pPr>
      <w:r w:rsidRPr="00254131">
        <w:rPr>
          <w:rFonts w:ascii="Arial" w:hAnsi="Arial" w:cs="Arial"/>
          <w:bCs/>
          <w:sz w:val="24"/>
          <w:szCs w:val="24"/>
          <w:lang w:val="en-ZA"/>
        </w:rPr>
        <w:t>Result 4: Improved levels of implementation of harmonised, science based Sanitary and Phyto-sanitary (SPS) measures and Technical Standards</w:t>
      </w:r>
    </w:p>
    <w:p w14:paraId="60AA0AC3" w14:textId="77777777" w:rsidR="0074291F" w:rsidRPr="00254131" w:rsidRDefault="0074291F" w:rsidP="0074291F">
      <w:pPr>
        <w:spacing w:after="0"/>
        <w:jc w:val="both"/>
        <w:rPr>
          <w:rFonts w:ascii="Arial" w:hAnsi="Arial" w:cs="Arial"/>
          <w:bCs/>
          <w:sz w:val="24"/>
          <w:szCs w:val="24"/>
          <w:lang w:val="en-ZA"/>
        </w:rPr>
      </w:pPr>
    </w:p>
    <w:p w14:paraId="766BC4EF" w14:textId="77777777" w:rsidR="0074291F" w:rsidRPr="00254131" w:rsidRDefault="0074291F" w:rsidP="0074291F">
      <w:pPr>
        <w:spacing w:after="0"/>
        <w:jc w:val="both"/>
        <w:rPr>
          <w:rFonts w:ascii="Arial" w:hAnsi="Arial" w:cs="Arial"/>
          <w:bCs/>
          <w:sz w:val="24"/>
          <w:szCs w:val="24"/>
          <w:lang w:val="en-ZA"/>
        </w:rPr>
      </w:pPr>
      <w:r w:rsidRPr="00254131">
        <w:rPr>
          <w:rFonts w:ascii="Arial" w:hAnsi="Arial" w:cs="Arial"/>
          <w:bCs/>
          <w:sz w:val="24"/>
          <w:szCs w:val="24"/>
          <w:lang w:val="en-ZA"/>
        </w:rPr>
        <w:t>Result 5: Enhanced Trade in services, free movement of persons, trade negotiations and trade promotions are supported.</w:t>
      </w:r>
    </w:p>
    <w:p w14:paraId="6B2F1869" w14:textId="77777777" w:rsidR="00B62107" w:rsidRPr="007361AD" w:rsidRDefault="00B62107" w:rsidP="00B62107">
      <w:pPr>
        <w:pStyle w:val="ListParagraph"/>
        <w:jc w:val="both"/>
        <w:rPr>
          <w:rFonts w:ascii="Arial" w:hAnsi="Arial" w:cs="Arial"/>
          <w:bCs/>
          <w:sz w:val="24"/>
          <w:szCs w:val="24"/>
          <w:lang w:val="en-GB" w:eastAsia="fr-FR"/>
        </w:rPr>
      </w:pPr>
    </w:p>
    <w:p w14:paraId="4011F139" w14:textId="0D57CCB0" w:rsidR="0088042E" w:rsidRPr="004061ED" w:rsidRDefault="0088042E" w:rsidP="004061ED">
      <w:pPr>
        <w:pStyle w:val="ListParagraph"/>
        <w:numPr>
          <w:ilvl w:val="0"/>
          <w:numId w:val="3"/>
        </w:numPr>
        <w:rPr>
          <w:rFonts w:ascii="Arial" w:hAnsi="Arial" w:cs="Arial"/>
          <w:sz w:val="24"/>
          <w:szCs w:val="24"/>
          <w:lang w:val="en-GB"/>
        </w:rPr>
      </w:pPr>
      <w:r w:rsidRPr="004061ED">
        <w:rPr>
          <w:rFonts w:ascii="Arial" w:hAnsi="Arial" w:cs="Arial"/>
          <w:b/>
          <w:bCs/>
          <w:sz w:val="24"/>
          <w:szCs w:val="24"/>
          <w:lang w:val="en-GB"/>
        </w:rPr>
        <w:t>Overview of 2019 programme and expenditure implementation</w:t>
      </w:r>
    </w:p>
    <w:p w14:paraId="4CEF260C" w14:textId="77777777" w:rsidR="0074291F" w:rsidRPr="00254131" w:rsidRDefault="0074291F" w:rsidP="0074291F">
      <w:pPr>
        <w:spacing w:after="0"/>
        <w:jc w:val="both"/>
        <w:rPr>
          <w:rFonts w:ascii="Arial" w:hAnsi="Arial" w:cs="Arial"/>
          <w:bCs/>
          <w:sz w:val="24"/>
          <w:szCs w:val="24"/>
          <w:lang w:val="en-ZA"/>
        </w:rPr>
      </w:pPr>
    </w:p>
    <w:p w14:paraId="0D9388E2" w14:textId="77777777" w:rsidR="0074291F" w:rsidRDefault="0074291F" w:rsidP="0074291F">
      <w:pPr>
        <w:jc w:val="both"/>
        <w:rPr>
          <w:rFonts w:ascii="Arial" w:hAnsi="Arial" w:cs="Arial"/>
          <w:bCs/>
          <w:lang w:val="en-ZA"/>
        </w:rPr>
      </w:pPr>
    </w:p>
    <w:p w14:paraId="04144C30" w14:textId="77777777" w:rsidR="0074291F" w:rsidRPr="0074291F" w:rsidRDefault="0074291F" w:rsidP="0074291F">
      <w:pPr>
        <w:spacing w:after="0"/>
        <w:jc w:val="both"/>
        <w:rPr>
          <w:rFonts w:ascii="Arial" w:hAnsi="Arial" w:cs="Arial"/>
          <w:b/>
          <w:bCs/>
          <w:lang w:val="en-ZA"/>
        </w:rPr>
      </w:pPr>
      <w:r w:rsidRPr="0074291F">
        <w:rPr>
          <w:rFonts w:ascii="Arial" w:hAnsi="Arial" w:cs="Arial"/>
          <w:b/>
          <w:bCs/>
          <w:sz w:val="24"/>
          <w:szCs w:val="24"/>
          <w:lang w:val="en-ZA"/>
        </w:rPr>
        <w:t>Result 1: Improved monitoring and resolution of Non-Tariff Barriers (NTBs)</w:t>
      </w:r>
    </w:p>
    <w:p w14:paraId="1E65CE68" w14:textId="77777777" w:rsidR="0074291F" w:rsidRPr="00254131" w:rsidRDefault="0074291F" w:rsidP="0074291F">
      <w:pPr>
        <w:spacing w:after="0"/>
        <w:jc w:val="both"/>
        <w:rPr>
          <w:rFonts w:ascii="Arial" w:hAnsi="Arial" w:cs="Arial"/>
          <w:bCs/>
          <w:sz w:val="24"/>
          <w:szCs w:val="24"/>
        </w:rPr>
      </w:pPr>
    </w:p>
    <w:p w14:paraId="42AC2D92" w14:textId="77777777" w:rsidR="0074291F" w:rsidRPr="00254131" w:rsidRDefault="0074291F" w:rsidP="0074291F">
      <w:pPr>
        <w:pStyle w:val="ListParagraph"/>
        <w:numPr>
          <w:ilvl w:val="2"/>
          <w:numId w:val="17"/>
        </w:numPr>
        <w:spacing w:after="0" w:line="240" w:lineRule="auto"/>
        <w:jc w:val="both"/>
        <w:rPr>
          <w:rFonts w:ascii="Arial" w:hAnsi="Arial" w:cs="Arial"/>
          <w:bCs/>
          <w:sz w:val="24"/>
          <w:szCs w:val="24"/>
        </w:rPr>
      </w:pPr>
      <w:r w:rsidRPr="00254131">
        <w:rPr>
          <w:rFonts w:ascii="Arial" w:hAnsi="Arial" w:cs="Arial"/>
          <w:bCs/>
          <w:sz w:val="24"/>
          <w:szCs w:val="24"/>
        </w:rPr>
        <w:t>Undertook</w:t>
      </w:r>
      <w:r w:rsidRPr="00254131">
        <w:rPr>
          <w:rFonts w:ascii="Arial" w:hAnsi="Arial" w:cs="Arial"/>
          <w:bCs/>
          <w:sz w:val="24"/>
          <w:szCs w:val="24"/>
          <w:lang w:val="en-ZA"/>
        </w:rPr>
        <w:t xml:space="preserve"> </w:t>
      </w:r>
      <w:r w:rsidRPr="00254131">
        <w:rPr>
          <w:rFonts w:ascii="Arial" w:hAnsi="Arial" w:cs="Arial"/>
          <w:bCs/>
          <w:sz w:val="24"/>
          <w:szCs w:val="24"/>
        </w:rPr>
        <w:t>analytical</w:t>
      </w:r>
      <w:r w:rsidRPr="00254131">
        <w:rPr>
          <w:rFonts w:ascii="Arial" w:hAnsi="Arial" w:cs="Arial"/>
          <w:bCs/>
          <w:sz w:val="24"/>
          <w:szCs w:val="24"/>
          <w:lang w:val="en-ZA"/>
        </w:rPr>
        <w:t xml:space="preserve"> </w:t>
      </w:r>
      <w:r w:rsidRPr="00254131">
        <w:rPr>
          <w:rFonts w:ascii="Arial" w:hAnsi="Arial" w:cs="Arial"/>
          <w:bCs/>
          <w:sz w:val="24"/>
          <w:szCs w:val="24"/>
        </w:rPr>
        <w:t>works</w:t>
      </w:r>
      <w:r w:rsidRPr="00254131">
        <w:rPr>
          <w:rFonts w:ascii="Arial" w:hAnsi="Arial" w:cs="Arial"/>
          <w:bCs/>
          <w:sz w:val="24"/>
          <w:szCs w:val="24"/>
          <w:lang w:val="en-ZA"/>
        </w:rPr>
        <w:t xml:space="preserve"> </w:t>
      </w:r>
      <w:r w:rsidRPr="00254131">
        <w:rPr>
          <w:rFonts w:ascii="Arial" w:hAnsi="Arial" w:cs="Arial"/>
          <w:bCs/>
          <w:sz w:val="24"/>
          <w:szCs w:val="24"/>
        </w:rPr>
        <w:t>on</w:t>
      </w:r>
      <w:r w:rsidRPr="00254131">
        <w:rPr>
          <w:rFonts w:ascii="Arial" w:hAnsi="Arial" w:cs="Arial"/>
          <w:bCs/>
          <w:sz w:val="24"/>
          <w:szCs w:val="24"/>
          <w:lang w:val="en-ZA"/>
        </w:rPr>
        <w:t xml:space="preserve"> </w:t>
      </w:r>
      <w:r w:rsidRPr="00254131">
        <w:rPr>
          <w:rFonts w:ascii="Arial" w:hAnsi="Arial" w:cs="Arial"/>
          <w:bCs/>
          <w:sz w:val="24"/>
          <w:szCs w:val="24"/>
        </w:rPr>
        <w:t>reported</w:t>
      </w:r>
      <w:r w:rsidRPr="00254131">
        <w:rPr>
          <w:rFonts w:ascii="Arial" w:hAnsi="Arial" w:cs="Arial"/>
          <w:bCs/>
          <w:sz w:val="24"/>
          <w:szCs w:val="24"/>
          <w:lang w:val="en-ZA"/>
        </w:rPr>
        <w:t xml:space="preserve"> </w:t>
      </w:r>
      <w:proofErr w:type="spellStart"/>
      <w:r w:rsidRPr="00254131">
        <w:rPr>
          <w:rFonts w:ascii="Arial" w:hAnsi="Arial" w:cs="Arial"/>
          <w:bCs/>
          <w:sz w:val="24"/>
          <w:szCs w:val="24"/>
        </w:rPr>
        <w:t>NTBs</w:t>
      </w:r>
      <w:proofErr w:type="spellEnd"/>
      <w:r w:rsidRPr="00254131">
        <w:rPr>
          <w:rFonts w:ascii="Arial" w:hAnsi="Arial" w:cs="Arial"/>
          <w:bCs/>
          <w:sz w:val="24"/>
          <w:szCs w:val="24"/>
          <w:lang w:val="en-ZA"/>
        </w:rPr>
        <w:t xml:space="preserve"> </w:t>
      </w:r>
      <w:r w:rsidRPr="00254131">
        <w:rPr>
          <w:rFonts w:ascii="Arial" w:hAnsi="Arial" w:cs="Arial"/>
          <w:bCs/>
          <w:sz w:val="24"/>
          <w:szCs w:val="24"/>
        </w:rPr>
        <w:t>using</w:t>
      </w:r>
      <w:r w:rsidRPr="00254131">
        <w:rPr>
          <w:rFonts w:ascii="Arial" w:hAnsi="Arial" w:cs="Arial"/>
          <w:bCs/>
          <w:sz w:val="24"/>
          <w:szCs w:val="24"/>
          <w:lang w:val="en-ZA"/>
        </w:rPr>
        <w:t xml:space="preserve"> </w:t>
      </w:r>
      <w:r w:rsidRPr="00254131">
        <w:rPr>
          <w:rFonts w:ascii="Arial" w:hAnsi="Arial" w:cs="Arial"/>
          <w:bCs/>
          <w:sz w:val="24"/>
          <w:szCs w:val="24"/>
        </w:rPr>
        <w:t>the</w:t>
      </w:r>
      <w:r w:rsidRPr="00254131">
        <w:rPr>
          <w:rFonts w:ascii="Arial" w:hAnsi="Arial" w:cs="Arial"/>
          <w:bCs/>
          <w:sz w:val="24"/>
          <w:szCs w:val="24"/>
          <w:lang w:val="en-ZA"/>
        </w:rPr>
        <w:t xml:space="preserve"> </w:t>
      </w:r>
      <w:r w:rsidRPr="00254131">
        <w:rPr>
          <w:rFonts w:ascii="Arial" w:hAnsi="Arial" w:cs="Arial"/>
          <w:bCs/>
          <w:sz w:val="24"/>
          <w:szCs w:val="24"/>
        </w:rPr>
        <w:t>online</w:t>
      </w:r>
      <w:r w:rsidRPr="00254131">
        <w:rPr>
          <w:rFonts w:ascii="Arial" w:hAnsi="Arial" w:cs="Arial"/>
          <w:bCs/>
          <w:sz w:val="24"/>
          <w:szCs w:val="24"/>
          <w:lang w:val="en-ZA"/>
        </w:rPr>
        <w:t xml:space="preserve"> </w:t>
      </w:r>
      <w:r w:rsidRPr="00254131">
        <w:rPr>
          <w:rFonts w:ascii="Arial" w:hAnsi="Arial" w:cs="Arial"/>
          <w:bCs/>
          <w:sz w:val="24"/>
          <w:szCs w:val="24"/>
        </w:rPr>
        <w:t>NTB</w:t>
      </w:r>
      <w:r w:rsidRPr="00254131">
        <w:rPr>
          <w:rFonts w:ascii="Arial" w:hAnsi="Arial" w:cs="Arial"/>
          <w:bCs/>
          <w:sz w:val="24"/>
          <w:szCs w:val="24"/>
          <w:lang w:val="en-ZA"/>
        </w:rPr>
        <w:t xml:space="preserve"> </w:t>
      </w:r>
      <w:r w:rsidRPr="00254131">
        <w:rPr>
          <w:rFonts w:ascii="Arial" w:hAnsi="Arial" w:cs="Arial"/>
          <w:bCs/>
          <w:sz w:val="24"/>
          <w:szCs w:val="24"/>
        </w:rPr>
        <w:t>system</w:t>
      </w:r>
    </w:p>
    <w:p w14:paraId="625CFFF2" w14:textId="77777777" w:rsidR="0074291F" w:rsidRPr="00254131" w:rsidRDefault="0074291F" w:rsidP="0074291F">
      <w:pPr>
        <w:spacing w:after="0"/>
        <w:jc w:val="both"/>
        <w:rPr>
          <w:rFonts w:ascii="Arial" w:hAnsi="Arial" w:cs="Arial"/>
          <w:bCs/>
          <w:sz w:val="24"/>
          <w:szCs w:val="24"/>
        </w:rPr>
      </w:pPr>
    </w:p>
    <w:p w14:paraId="48F166D1" w14:textId="77777777" w:rsidR="0074291F" w:rsidRPr="0074291F" w:rsidRDefault="0074291F" w:rsidP="0074291F">
      <w:pPr>
        <w:spacing w:after="0"/>
        <w:jc w:val="both"/>
        <w:rPr>
          <w:rFonts w:ascii="Arial" w:hAnsi="Arial" w:cs="Arial"/>
          <w:b/>
          <w:bCs/>
          <w:lang w:val="en-ZA"/>
        </w:rPr>
      </w:pPr>
      <w:r w:rsidRPr="0074291F">
        <w:rPr>
          <w:rFonts w:ascii="Arial" w:hAnsi="Arial" w:cs="Arial"/>
          <w:b/>
          <w:bCs/>
          <w:sz w:val="24"/>
          <w:szCs w:val="24"/>
          <w:lang w:val="en-ZA"/>
        </w:rPr>
        <w:t>Result 2: Enhanced implementation of the WTO Trade Facilitation Agreement</w:t>
      </w:r>
    </w:p>
    <w:p w14:paraId="7AAE110E" w14:textId="77777777" w:rsidR="0074291F" w:rsidRPr="00254131" w:rsidRDefault="0074291F" w:rsidP="0074291F">
      <w:pPr>
        <w:spacing w:after="0"/>
        <w:jc w:val="both"/>
        <w:rPr>
          <w:rFonts w:ascii="Arial" w:hAnsi="Arial" w:cs="Arial"/>
          <w:sz w:val="24"/>
          <w:szCs w:val="24"/>
        </w:rPr>
      </w:pPr>
    </w:p>
    <w:p w14:paraId="02D14864" w14:textId="65547D3F" w:rsidR="0074291F" w:rsidRPr="00254131" w:rsidRDefault="0074291F" w:rsidP="0074291F">
      <w:pPr>
        <w:jc w:val="both"/>
        <w:rPr>
          <w:rFonts w:ascii="Arial" w:hAnsi="Arial" w:cs="Arial"/>
          <w:sz w:val="24"/>
          <w:szCs w:val="24"/>
        </w:rPr>
      </w:pPr>
      <w:r w:rsidRPr="00254131">
        <w:rPr>
          <w:rFonts w:ascii="Arial" w:hAnsi="Arial" w:cs="Arial"/>
          <w:sz w:val="24"/>
          <w:szCs w:val="24"/>
          <w:lang w:val="en-ZA"/>
        </w:rPr>
        <w:t>2.1.1.</w:t>
      </w:r>
      <w:r>
        <w:rPr>
          <w:rFonts w:ascii="Arial" w:hAnsi="Arial" w:cs="Arial"/>
          <w:sz w:val="24"/>
          <w:szCs w:val="24"/>
          <w:lang w:val="en-ZA"/>
        </w:rPr>
        <w:tab/>
      </w:r>
      <w:r w:rsidRPr="00254131">
        <w:rPr>
          <w:rFonts w:ascii="Arial" w:hAnsi="Arial" w:cs="Arial"/>
          <w:sz w:val="24"/>
          <w:szCs w:val="24"/>
        </w:rPr>
        <w:t>The</w:t>
      </w:r>
      <w:r w:rsidRPr="00254131">
        <w:rPr>
          <w:rFonts w:ascii="Arial" w:hAnsi="Arial" w:cs="Arial"/>
          <w:sz w:val="24"/>
          <w:szCs w:val="24"/>
          <w:lang w:val="en-ZA"/>
        </w:rPr>
        <w:t xml:space="preserve"> </w:t>
      </w:r>
      <w:r w:rsidRPr="00254131">
        <w:rPr>
          <w:rFonts w:ascii="Arial" w:hAnsi="Arial" w:cs="Arial"/>
          <w:sz w:val="24"/>
          <w:szCs w:val="24"/>
        </w:rPr>
        <w:t>2nd</w:t>
      </w:r>
      <w:r w:rsidRPr="00254131">
        <w:rPr>
          <w:rFonts w:ascii="Arial" w:hAnsi="Arial" w:cs="Arial"/>
          <w:sz w:val="24"/>
          <w:szCs w:val="24"/>
          <w:lang w:val="en-ZA"/>
        </w:rPr>
        <w:t xml:space="preserve"> </w:t>
      </w:r>
      <w:r w:rsidRPr="00254131">
        <w:rPr>
          <w:rFonts w:ascii="Arial" w:hAnsi="Arial" w:cs="Arial"/>
          <w:sz w:val="24"/>
          <w:szCs w:val="24"/>
        </w:rPr>
        <w:t>COMESA</w:t>
      </w:r>
      <w:r w:rsidRPr="00254131">
        <w:rPr>
          <w:rFonts w:ascii="Arial" w:hAnsi="Arial" w:cs="Arial"/>
          <w:sz w:val="24"/>
          <w:szCs w:val="24"/>
          <w:lang w:val="en-ZA"/>
        </w:rPr>
        <w:t xml:space="preserve"> </w:t>
      </w:r>
      <w:r w:rsidRPr="00254131">
        <w:rPr>
          <w:rFonts w:ascii="Arial" w:hAnsi="Arial" w:cs="Arial"/>
          <w:sz w:val="24"/>
          <w:szCs w:val="24"/>
        </w:rPr>
        <w:t>Digital</w:t>
      </w:r>
      <w:r w:rsidRPr="00254131">
        <w:rPr>
          <w:rFonts w:ascii="Arial" w:hAnsi="Arial" w:cs="Arial"/>
          <w:sz w:val="24"/>
          <w:szCs w:val="24"/>
          <w:lang w:val="en-ZA"/>
        </w:rPr>
        <w:t xml:space="preserve"> </w:t>
      </w:r>
      <w:r w:rsidRPr="00254131">
        <w:rPr>
          <w:rFonts w:ascii="Arial" w:hAnsi="Arial" w:cs="Arial"/>
          <w:sz w:val="24"/>
          <w:szCs w:val="24"/>
        </w:rPr>
        <w:t>FTA</w:t>
      </w:r>
      <w:r w:rsidRPr="00254131">
        <w:rPr>
          <w:rFonts w:ascii="Arial" w:hAnsi="Arial" w:cs="Arial"/>
          <w:sz w:val="24"/>
          <w:szCs w:val="24"/>
          <w:lang w:val="en-ZA"/>
        </w:rPr>
        <w:t xml:space="preserve"> </w:t>
      </w:r>
      <w:r w:rsidRPr="00254131">
        <w:rPr>
          <w:rFonts w:ascii="Arial" w:hAnsi="Arial" w:cs="Arial"/>
          <w:sz w:val="24"/>
          <w:szCs w:val="24"/>
        </w:rPr>
        <w:t>Workshop</w:t>
      </w:r>
      <w:r w:rsidRPr="00254131">
        <w:rPr>
          <w:rFonts w:ascii="Arial" w:hAnsi="Arial" w:cs="Arial"/>
          <w:sz w:val="24"/>
          <w:szCs w:val="24"/>
          <w:lang w:val="en-ZA"/>
        </w:rPr>
        <w:t xml:space="preserve"> </w:t>
      </w:r>
    </w:p>
    <w:p w14:paraId="748B7480" w14:textId="02969165" w:rsidR="0074291F" w:rsidRPr="0075740F" w:rsidRDefault="0074291F" w:rsidP="0075740F">
      <w:pPr>
        <w:spacing w:after="0"/>
        <w:jc w:val="both"/>
        <w:rPr>
          <w:rFonts w:ascii="Arial" w:hAnsi="Arial" w:cs="Arial"/>
          <w:sz w:val="24"/>
          <w:szCs w:val="24"/>
        </w:rPr>
      </w:pPr>
      <w:r w:rsidRPr="00254131">
        <w:rPr>
          <w:rFonts w:ascii="Arial" w:hAnsi="Arial" w:cs="Arial"/>
          <w:sz w:val="24"/>
          <w:szCs w:val="24"/>
          <w:lang w:val="en-ZA"/>
        </w:rPr>
        <w:t>2.1.5.</w:t>
      </w:r>
      <w:r w:rsidR="0075740F">
        <w:rPr>
          <w:rFonts w:ascii="Arial" w:hAnsi="Arial" w:cs="Arial"/>
          <w:sz w:val="24"/>
          <w:szCs w:val="24"/>
          <w:lang w:val="en-ZA"/>
        </w:rPr>
        <w:tab/>
      </w:r>
      <w:r w:rsidRPr="00254131">
        <w:rPr>
          <w:rFonts w:ascii="Arial" w:hAnsi="Arial" w:cs="Arial"/>
          <w:sz w:val="24"/>
          <w:szCs w:val="24"/>
        </w:rPr>
        <w:t>Drafted</w:t>
      </w:r>
      <w:r w:rsidRPr="00254131">
        <w:rPr>
          <w:rFonts w:ascii="Arial" w:hAnsi="Arial" w:cs="Arial"/>
          <w:sz w:val="24"/>
          <w:szCs w:val="24"/>
          <w:lang w:val="en-ZA"/>
        </w:rPr>
        <w:t xml:space="preserve"> </w:t>
      </w:r>
      <w:r w:rsidRPr="00254131">
        <w:rPr>
          <w:rFonts w:ascii="Arial" w:hAnsi="Arial" w:cs="Arial"/>
          <w:sz w:val="24"/>
          <w:szCs w:val="24"/>
        </w:rPr>
        <w:t>COMESA</w:t>
      </w:r>
      <w:r w:rsidRPr="00254131">
        <w:rPr>
          <w:rFonts w:ascii="Arial" w:hAnsi="Arial" w:cs="Arial"/>
          <w:sz w:val="24"/>
          <w:szCs w:val="24"/>
          <w:lang w:val="en-ZA"/>
        </w:rPr>
        <w:t xml:space="preserve"> </w:t>
      </w:r>
      <w:r w:rsidRPr="00254131">
        <w:rPr>
          <w:rFonts w:ascii="Arial" w:hAnsi="Arial" w:cs="Arial"/>
          <w:sz w:val="24"/>
          <w:szCs w:val="24"/>
        </w:rPr>
        <w:t>Guidelines</w:t>
      </w:r>
      <w:r w:rsidRPr="00254131">
        <w:rPr>
          <w:rFonts w:ascii="Arial" w:hAnsi="Arial" w:cs="Arial"/>
          <w:sz w:val="24"/>
          <w:szCs w:val="24"/>
          <w:lang w:val="en-ZA"/>
        </w:rPr>
        <w:t xml:space="preserve"> </w:t>
      </w:r>
      <w:r w:rsidRPr="00254131">
        <w:rPr>
          <w:rFonts w:ascii="Arial" w:hAnsi="Arial" w:cs="Arial"/>
          <w:sz w:val="24"/>
          <w:szCs w:val="24"/>
        </w:rPr>
        <w:t>for</w:t>
      </w:r>
      <w:r w:rsidRPr="00254131">
        <w:rPr>
          <w:rFonts w:ascii="Arial" w:hAnsi="Arial" w:cs="Arial"/>
          <w:sz w:val="24"/>
          <w:szCs w:val="24"/>
          <w:lang w:val="en-ZA"/>
        </w:rPr>
        <w:t xml:space="preserve"> </w:t>
      </w:r>
      <w:r w:rsidRPr="00254131">
        <w:rPr>
          <w:rFonts w:ascii="Arial" w:hAnsi="Arial" w:cs="Arial"/>
          <w:sz w:val="24"/>
          <w:szCs w:val="24"/>
        </w:rPr>
        <w:t>the</w:t>
      </w:r>
      <w:r w:rsidRPr="00254131">
        <w:rPr>
          <w:rFonts w:ascii="Arial" w:hAnsi="Arial" w:cs="Arial"/>
          <w:sz w:val="24"/>
          <w:szCs w:val="24"/>
          <w:lang w:val="en-ZA"/>
        </w:rPr>
        <w:t xml:space="preserve"> </w:t>
      </w:r>
      <w:r w:rsidRPr="00254131">
        <w:rPr>
          <w:rFonts w:ascii="Arial" w:hAnsi="Arial" w:cs="Arial"/>
          <w:sz w:val="24"/>
          <w:szCs w:val="24"/>
        </w:rPr>
        <w:t>implementation</w:t>
      </w:r>
      <w:r w:rsidRPr="00254131">
        <w:rPr>
          <w:rFonts w:ascii="Arial" w:hAnsi="Arial" w:cs="Arial"/>
          <w:sz w:val="24"/>
          <w:szCs w:val="24"/>
          <w:lang w:val="en-ZA"/>
        </w:rPr>
        <w:t xml:space="preserve"> </w:t>
      </w:r>
      <w:r w:rsidRPr="00254131">
        <w:rPr>
          <w:rFonts w:ascii="Arial" w:hAnsi="Arial" w:cs="Arial"/>
          <w:sz w:val="24"/>
          <w:szCs w:val="24"/>
        </w:rPr>
        <w:t>of</w:t>
      </w:r>
      <w:r w:rsidRPr="00254131">
        <w:rPr>
          <w:rFonts w:ascii="Arial" w:hAnsi="Arial" w:cs="Arial"/>
          <w:sz w:val="24"/>
          <w:szCs w:val="24"/>
          <w:lang w:val="en-ZA"/>
        </w:rPr>
        <w:t xml:space="preserve"> </w:t>
      </w:r>
      <w:proofErr w:type="spellStart"/>
      <w:r w:rsidRPr="00254131">
        <w:rPr>
          <w:rFonts w:ascii="Arial" w:hAnsi="Arial" w:cs="Arial"/>
          <w:sz w:val="24"/>
          <w:szCs w:val="24"/>
        </w:rPr>
        <w:t>AEOs</w:t>
      </w:r>
      <w:proofErr w:type="spellEnd"/>
      <w:r w:rsidRPr="00254131">
        <w:rPr>
          <w:rFonts w:ascii="Arial" w:hAnsi="Arial" w:cs="Arial"/>
          <w:sz w:val="24"/>
          <w:szCs w:val="24"/>
          <w:lang w:val="en-ZA"/>
        </w:rPr>
        <w:t xml:space="preserve"> </w:t>
      </w:r>
      <w:r w:rsidRPr="00254131">
        <w:rPr>
          <w:rFonts w:ascii="Arial" w:hAnsi="Arial" w:cs="Arial"/>
          <w:sz w:val="24"/>
          <w:szCs w:val="24"/>
        </w:rPr>
        <w:t>Program</w:t>
      </w:r>
    </w:p>
    <w:p w14:paraId="25014957" w14:textId="77777777" w:rsidR="0074291F" w:rsidRPr="00254131" w:rsidRDefault="0074291F" w:rsidP="0074291F">
      <w:pPr>
        <w:pStyle w:val="Default"/>
        <w:ind w:firstLine="720"/>
        <w:jc w:val="both"/>
      </w:pPr>
    </w:p>
    <w:p w14:paraId="5EE1C8A1" w14:textId="77777777" w:rsidR="0074291F" w:rsidRPr="0074291F" w:rsidRDefault="0074291F" w:rsidP="0074291F">
      <w:pPr>
        <w:spacing w:after="0"/>
        <w:jc w:val="both"/>
        <w:rPr>
          <w:rFonts w:ascii="Arial" w:hAnsi="Arial" w:cs="Arial"/>
          <w:b/>
          <w:bCs/>
          <w:lang w:val="en-ZA"/>
        </w:rPr>
      </w:pPr>
      <w:r w:rsidRPr="0074291F">
        <w:rPr>
          <w:rFonts w:ascii="Arial" w:hAnsi="Arial" w:cs="Arial"/>
          <w:b/>
          <w:bCs/>
          <w:sz w:val="24"/>
          <w:szCs w:val="24"/>
          <w:lang w:val="en-ZA"/>
        </w:rPr>
        <w:t>Result 3: Strengthened Coordinated Border Management (CBM) and Trade and Transport facilitation</w:t>
      </w:r>
    </w:p>
    <w:p w14:paraId="416BC7EE" w14:textId="77777777" w:rsidR="0074291F" w:rsidRPr="00254131" w:rsidRDefault="0074291F" w:rsidP="0074291F">
      <w:pPr>
        <w:pStyle w:val="Default"/>
        <w:jc w:val="both"/>
      </w:pPr>
    </w:p>
    <w:p w14:paraId="393EB6EF" w14:textId="77777777" w:rsidR="0074291F" w:rsidRPr="00254131" w:rsidRDefault="0074291F" w:rsidP="0074291F">
      <w:pPr>
        <w:jc w:val="both"/>
        <w:rPr>
          <w:rFonts w:ascii="Arial" w:hAnsi="Arial" w:cs="Arial"/>
          <w:sz w:val="24"/>
          <w:szCs w:val="24"/>
        </w:rPr>
      </w:pPr>
      <w:r w:rsidRPr="00254131">
        <w:rPr>
          <w:rFonts w:ascii="Arial" w:hAnsi="Arial" w:cs="Arial"/>
          <w:sz w:val="24"/>
          <w:szCs w:val="24"/>
          <w:lang w:val="en-ZA"/>
        </w:rPr>
        <w:t xml:space="preserve">3.3.1. </w:t>
      </w:r>
      <w:r w:rsidRPr="00254131">
        <w:rPr>
          <w:rFonts w:ascii="Arial" w:hAnsi="Arial" w:cs="Arial"/>
          <w:sz w:val="24"/>
          <w:szCs w:val="24"/>
        </w:rPr>
        <w:t>Finalized</w:t>
      </w:r>
      <w:r w:rsidRPr="00254131">
        <w:rPr>
          <w:rFonts w:ascii="Arial" w:hAnsi="Arial" w:cs="Arial"/>
          <w:sz w:val="24"/>
          <w:szCs w:val="24"/>
          <w:lang w:val="en-ZA"/>
        </w:rPr>
        <w:t xml:space="preserve"> </w:t>
      </w:r>
      <w:r w:rsidRPr="00254131">
        <w:rPr>
          <w:rFonts w:ascii="Arial" w:hAnsi="Arial" w:cs="Arial"/>
          <w:sz w:val="24"/>
          <w:szCs w:val="24"/>
        </w:rPr>
        <w:t>the</w:t>
      </w:r>
      <w:r w:rsidRPr="00254131">
        <w:rPr>
          <w:rFonts w:ascii="Arial" w:hAnsi="Arial" w:cs="Arial"/>
          <w:sz w:val="24"/>
          <w:szCs w:val="24"/>
          <w:lang w:val="en-ZA"/>
        </w:rPr>
        <w:t xml:space="preserve"> </w:t>
      </w:r>
      <w:r w:rsidRPr="00254131">
        <w:rPr>
          <w:rFonts w:ascii="Arial" w:hAnsi="Arial" w:cs="Arial"/>
          <w:sz w:val="24"/>
          <w:szCs w:val="24"/>
        </w:rPr>
        <w:t>development</w:t>
      </w:r>
      <w:r w:rsidRPr="00254131">
        <w:rPr>
          <w:rFonts w:ascii="Arial" w:hAnsi="Arial" w:cs="Arial"/>
          <w:sz w:val="24"/>
          <w:szCs w:val="24"/>
          <w:lang w:val="en-ZA"/>
        </w:rPr>
        <w:t xml:space="preserve"> </w:t>
      </w:r>
      <w:r w:rsidRPr="00254131">
        <w:rPr>
          <w:rFonts w:ascii="Arial" w:hAnsi="Arial" w:cs="Arial"/>
          <w:sz w:val="24"/>
          <w:szCs w:val="24"/>
        </w:rPr>
        <w:t>of</w:t>
      </w:r>
      <w:r w:rsidRPr="00254131">
        <w:rPr>
          <w:rFonts w:ascii="Arial" w:hAnsi="Arial" w:cs="Arial"/>
          <w:sz w:val="24"/>
          <w:szCs w:val="24"/>
          <w:lang w:val="en-ZA"/>
        </w:rPr>
        <w:t xml:space="preserve"> </w:t>
      </w:r>
      <w:r w:rsidRPr="00254131">
        <w:rPr>
          <w:rFonts w:ascii="Arial" w:hAnsi="Arial" w:cs="Arial"/>
          <w:sz w:val="24"/>
          <w:szCs w:val="24"/>
        </w:rPr>
        <w:t>COMESA</w:t>
      </w:r>
      <w:r w:rsidRPr="00254131">
        <w:rPr>
          <w:rFonts w:ascii="Arial" w:hAnsi="Arial" w:cs="Arial"/>
          <w:sz w:val="24"/>
          <w:szCs w:val="24"/>
          <w:lang w:val="en-ZA"/>
        </w:rPr>
        <w:t xml:space="preserve"> </w:t>
      </w:r>
      <w:r w:rsidRPr="00254131">
        <w:rPr>
          <w:rFonts w:ascii="Arial" w:hAnsi="Arial" w:cs="Arial"/>
          <w:sz w:val="24"/>
          <w:szCs w:val="24"/>
        </w:rPr>
        <w:t>e</w:t>
      </w:r>
      <w:r w:rsidRPr="00254131">
        <w:rPr>
          <w:rFonts w:ascii="Arial" w:hAnsi="Arial" w:cs="Arial"/>
          <w:sz w:val="24"/>
          <w:szCs w:val="24"/>
          <w:lang w:val="en-ZA"/>
        </w:rPr>
        <w:t>-</w:t>
      </w:r>
      <w:proofErr w:type="spellStart"/>
      <w:r w:rsidRPr="00254131">
        <w:rPr>
          <w:rFonts w:ascii="Arial" w:hAnsi="Arial" w:cs="Arial"/>
          <w:sz w:val="24"/>
          <w:szCs w:val="24"/>
        </w:rPr>
        <w:t>COsystem</w:t>
      </w:r>
      <w:proofErr w:type="spellEnd"/>
    </w:p>
    <w:p w14:paraId="35FCB914" w14:textId="00422DEE" w:rsidR="0074291F" w:rsidRDefault="0074291F" w:rsidP="0075740F">
      <w:pPr>
        <w:spacing w:after="0"/>
        <w:jc w:val="both"/>
        <w:rPr>
          <w:rFonts w:ascii="Arial" w:hAnsi="Arial" w:cs="Arial"/>
          <w:sz w:val="24"/>
          <w:szCs w:val="24"/>
        </w:rPr>
      </w:pPr>
      <w:r w:rsidRPr="00254131">
        <w:rPr>
          <w:rFonts w:ascii="Arial" w:hAnsi="Arial" w:cs="Arial"/>
          <w:sz w:val="24"/>
          <w:szCs w:val="24"/>
          <w:lang w:val="en-ZA"/>
        </w:rPr>
        <w:t xml:space="preserve">3.3.4. </w:t>
      </w:r>
      <w:r w:rsidRPr="00254131">
        <w:rPr>
          <w:rFonts w:ascii="Arial" w:hAnsi="Arial" w:cs="Arial"/>
          <w:sz w:val="24"/>
          <w:szCs w:val="24"/>
        </w:rPr>
        <w:t>Organized</w:t>
      </w:r>
      <w:r w:rsidRPr="00254131">
        <w:rPr>
          <w:rFonts w:ascii="Arial" w:hAnsi="Arial" w:cs="Arial"/>
          <w:sz w:val="24"/>
          <w:szCs w:val="24"/>
          <w:lang w:val="en-ZA"/>
        </w:rPr>
        <w:t xml:space="preserve"> </w:t>
      </w:r>
      <w:r w:rsidRPr="00254131">
        <w:rPr>
          <w:rFonts w:ascii="Arial" w:hAnsi="Arial" w:cs="Arial"/>
          <w:sz w:val="24"/>
          <w:szCs w:val="24"/>
        </w:rPr>
        <w:t>the</w:t>
      </w:r>
      <w:r w:rsidRPr="00254131">
        <w:rPr>
          <w:rFonts w:ascii="Arial" w:hAnsi="Arial" w:cs="Arial"/>
          <w:sz w:val="24"/>
          <w:szCs w:val="24"/>
          <w:lang w:val="en-ZA"/>
        </w:rPr>
        <w:t xml:space="preserve"> </w:t>
      </w:r>
      <w:r w:rsidRPr="00254131">
        <w:rPr>
          <w:rFonts w:ascii="Arial" w:hAnsi="Arial" w:cs="Arial"/>
          <w:sz w:val="24"/>
          <w:szCs w:val="24"/>
        </w:rPr>
        <w:t>2nd</w:t>
      </w:r>
      <w:r w:rsidRPr="00254131">
        <w:rPr>
          <w:rFonts w:ascii="Arial" w:hAnsi="Arial" w:cs="Arial"/>
          <w:sz w:val="24"/>
          <w:szCs w:val="24"/>
          <w:lang w:val="en-ZA"/>
        </w:rPr>
        <w:t xml:space="preserve"> </w:t>
      </w:r>
      <w:r w:rsidRPr="00254131">
        <w:rPr>
          <w:rFonts w:ascii="Arial" w:hAnsi="Arial" w:cs="Arial"/>
          <w:sz w:val="24"/>
          <w:szCs w:val="24"/>
        </w:rPr>
        <w:t>COMESA</w:t>
      </w:r>
      <w:r w:rsidRPr="00254131">
        <w:rPr>
          <w:rFonts w:ascii="Arial" w:hAnsi="Arial" w:cs="Arial"/>
          <w:sz w:val="24"/>
          <w:szCs w:val="24"/>
          <w:lang w:val="en-ZA"/>
        </w:rPr>
        <w:t xml:space="preserve"> </w:t>
      </w:r>
      <w:r w:rsidRPr="00254131">
        <w:rPr>
          <w:rFonts w:ascii="Arial" w:hAnsi="Arial" w:cs="Arial"/>
          <w:sz w:val="24"/>
          <w:szCs w:val="24"/>
        </w:rPr>
        <w:t>DFTA</w:t>
      </w:r>
      <w:r w:rsidRPr="00254131">
        <w:rPr>
          <w:rFonts w:ascii="Arial" w:hAnsi="Arial" w:cs="Arial"/>
          <w:sz w:val="24"/>
          <w:szCs w:val="24"/>
          <w:lang w:val="en-ZA"/>
        </w:rPr>
        <w:t xml:space="preserve"> </w:t>
      </w:r>
      <w:r w:rsidRPr="00254131">
        <w:rPr>
          <w:rFonts w:ascii="Arial" w:hAnsi="Arial" w:cs="Arial"/>
          <w:sz w:val="24"/>
          <w:szCs w:val="24"/>
        </w:rPr>
        <w:t>to</w:t>
      </w:r>
      <w:r w:rsidRPr="00254131">
        <w:rPr>
          <w:rFonts w:ascii="Arial" w:hAnsi="Arial" w:cs="Arial"/>
          <w:sz w:val="24"/>
          <w:szCs w:val="24"/>
          <w:lang w:val="en-ZA"/>
        </w:rPr>
        <w:t xml:space="preserve"> </w:t>
      </w:r>
      <w:r w:rsidRPr="00254131">
        <w:rPr>
          <w:rFonts w:ascii="Arial" w:hAnsi="Arial" w:cs="Arial"/>
          <w:sz w:val="24"/>
          <w:szCs w:val="24"/>
        </w:rPr>
        <w:t>discuss</w:t>
      </w:r>
      <w:r w:rsidRPr="00254131">
        <w:rPr>
          <w:rFonts w:ascii="Arial" w:hAnsi="Arial" w:cs="Arial"/>
          <w:sz w:val="24"/>
          <w:szCs w:val="24"/>
          <w:lang w:val="en-ZA"/>
        </w:rPr>
        <w:t xml:space="preserve"> </w:t>
      </w:r>
      <w:r w:rsidRPr="00254131">
        <w:rPr>
          <w:rFonts w:ascii="Arial" w:hAnsi="Arial" w:cs="Arial"/>
          <w:sz w:val="24"/>
          <w:szCs w:val="24"/>
        </w:rPr>
        <w:t>the</w:t>
      </w:r>
      <w:r w:rsidRPr="00254131">
        <w:rPr>
          <w:rFonts w:ascii="Arial" w:hAnsi="Arial" w:cs="Arial"/>
          <w:sz w:val="24"/>
          <w:szCs w:val="24"/>
          <w:lang w:val="en-ZA"/>
        </w:rPr>
        <w:t xml:space="preserve"> </w:t>
      </w:r>
      <w:r w:rsidRPr="00254131">
        <w:rPr>
          <w:rFonts w:ascii="Arial" w:hAnsi="Arial" w:cs="Arial"/>
          <w:sz w:val="24"/>
          <w:szCs w:val="24"/>
        </w:rPr>
        <w:t>Draft</w:t>
      </w:r>
      <w:r w:rsidRPr="00254131">
        <w:rPr>
          <w:rFonts w:ascii="Arial" w:hAnsi="Arial" w:cs="Arial"/>
          <w:sz w:val="24"/>
          <w:szCs w:val="24"/>
          <w:lang w:val="en-ZA"/>
        </w:rPr>
        <w:t xml:space="preserve"> </w:t>
      </w:r>
      <w:r w:rsidRPr="00254131">
        <w:rPr>
          <w:rFonts w:ascii="Arial" w:hAnsi="Arial" w:cs="Arial"/>
          <w:sz w:val="24"/>
          <w:szCs w:val="24"/>
        </w:rPr>
        <w:t>COMESA</w:t>
      </w:r>
      <w:r w:rsidRPr="00254131">
        <w:rPr>
          <w:rFonts w:ascii="Arial" w:hAnsi="Arial" w:cs="Arial"/>
          <w:sz w:val="24"/>
          <w:szCs w:val="24"/>
          <w:lang w:val="en-ZA"/>
        </w:rPr>
        <w:t xml:space="preserve"> </w:t>
      </w:r>
      <w:r w:rsidRPr="00254131">
        <w:rPr>
          <w:rFonts w:ascii="Arial" w:hAnsi="Arial" w:cs="Arial"/>
          <w:sz w:val="24"/>
          <w:szCs w:val="24"/>
        </w:rPr>
        <w:t>Regulations</w:t>
      </w:r>
      <w:r w:rsidRPr="00254131">
        <w:rPr>
          <w:rFonts w:ascii="Arial" w:hAnsi="Arial" w:cs="Arial"/>
          <w:sz w:val="24"/>
          <w:szCs w:val="24"/>
          <w:lang w:val="en-ZA"/>
        </w:rPr>
        <w:t xml:space="preserve"> </w:t>
      </w:r>
      <w:r w:rsidRPr="00254131">
        <w:rPr>
          <w:rFonts w:ascii="Arial" w:hAnsi="Arial" w:cs="Arial"/>
          <w:sz w:val="24"/>
          <w:szCs w:val="24"/>
        </w:rPr>
        <w:t>to</w:t>
      </w:r>
      <w:r w:rsidRPr="00254131">
        <w:rPr>
          <w:rFonts w:ascii="Arial" w:hAnsi="Arial" w:cs="Arial"/>
          <w:sz w:val="24"/>
          <w:szCs w:val="24"/>
          <w:lang w:val="en-ZA"/>
        </w:rPr>
        <w:t xml:space="preserve"> </w:t>
      </w:r>
      <w:r w:rsidRPr="00254131">
        <w:rPr>
          <w:rFonts w:ascii="Arial" w:hAnsi="Arial" w:cs="Arial"/>
          <w:sz w:val="24"/>
          <w:szCs w:val="24"/>
        </w:rPr>
        <w:t>implement</w:t>
      </w:r>
      <w:r w:rsidRPr="00254131">
        <w:rPr>
          <w:rFonts w:ascii="Arial" w:hAnsi="Arial" w:cs="Arial"/>
          <w:sz w:val="24"/>
          <w:szCs w:val="24"/>
          <w:lang w:val="en-ZA"/>
        </w:rPr>
        <w:t xml:space="preserve"> </w:t>
      </w:r>
      <w:r w:rsidRPr="00254131">
        <w:rPr>
          <w:rFonts w:ascii="Arial" w:hAnsi="Arial" w:cs="Arial"/>
          <w:sz w:val="24"/>
          <w:szCs w:val="24"/>
        </w:rPr>
        <w:t>thee</w:t>
      </w:r>
      <w:r w:rsidRPr="00254131">
        <w:rPr>
          <w:rFonts w:ascii="Arial" w:hAnsi="Arial" w:cs="Arial"/>
          <w:sz w:val="24"/>
          <w:szCs w:val="24"/>
          <w:lang w:val="en-ZA"/>
        </w:rPr>
        <w:t xml:space="preserve"> </w:t>
      </w:r>
      <w:proofErr w:type="spellStart"/>
      <w:r w:rsidRPr="00254131">
        <w:rPr>
          <w:rFonts w:ascii="Arial" w:hAnsi="Arial" w:cs="Arial"/>
          <w:sz w:val="24"/>
          <w:szCs w:val="24"/>
        </w:rPr>
        <w:t>C</w:t>
      </w:r>
      <w:r w:rsidR="0075740F" w:rsidRPr="00254131">
        <w:rPr>
          <w:rFonts w:ascii="Arial" w:hAnsi="Arial" w:cs="Arial"/>
          <w:sz w:val="24"/>
          <w:szCs w:val="24"/>
        </w:rPr>
        <w:t>o</w:t>
      </w:r>
      <w:r w:rsidRPr="00254131">
        <w:rPr>
          <w:rFonts w:ascii="Arial" w:hAnsi="Arial" w:cs="Arial"/>
          <w:sz w:val="24"/>
          <w:szCs w:val="24"/>
        </w:rPr>
        <w:t>system</w:t>
      </w:r>
      <w:proofErr w:type="spellEnd"/>
    </w:p>
    <w:p w14:paraId="1A542270" w14:textId="77777777" w:rsidR="0075740F" w:rsidRPr="00254131" w:rsidRDefault="0075740F" w:rsidP="0075740F">
      <w:pPr>
        <w:spacing w:after="0"/>
        <w:jc w:val="both"/>
        <w:rPr>
          <w:rFonts w:ascii="Arial" w:hAnsi="Arial" w:cs="Arial"/>
          <w:sz w:val="24"/>
          <w:szCs w:val="24"/>
        </w:rPr>
      </w:pPr>
    </w:p>
    <w:p w14:paraId="6024590F" w14:textId="6D798E0E" w:rsidR="0074291F" w:rsidRPr="0074291F" w:rsidRDefault="0074291F" w:rsidP="0074291F">
      <w:pPr>
        <w:spacing w:after="0"/>
        <w:jc w:val="both"/>
        <w:rPr>
          <w:rFonts w:ascii="Arial" w:hAnsi="Arial" w:cs="Arial"/>
          <w:b/>
          <w:bCs/>
          <w:sz w:val="24"/>
          <w:szCs w:val="24"/>
          <w:lang w:val="en-ZA"/>
        </w:rPr>
      </w:pPr>
      <w:r w:rsidRPr="0074291F">
        <w:rPr>
          <w:rFonts w:ascii="Arial" w:hAnsi="Arial" w:cs="Arial"/>
          <w:b/>
          <w:bCs/>
          <w:sz w:val="24"/>
          <w:szCs w:val="24"/>
          <w:lang w:val="en-ZA"/>
        </w:rPr>
        <w:t>Result 5: Enhanced Trade in services, free movement of persons, trade negotiations and trade promotions are supported.</w:t>
      </w:r>
    </w:p>
    <w:p w14:paraId="497A40FC" w14:textId="77777777" w:rsidR="0075740F" w:rsidRDefault="0075740F" w:rsidP="0075740F">
      <w:pPr>
        <w:spacing w:after="0"/>
        <w:jc w:val="both"/>
        <w:rPr>
          <w:rFonts w:ascii="Arial" w:hAnsi="Arial" w:cs="Arial"/>
          <w:sz w:val="24"/>
          <w:szCs w:val="24"/>
          <w:lang w:val="en-ZA"/>
        </w:rPr>
      </w:pPr>
    </w:p>
    <w:p w14:paraId="0EFECCC0" w14:textId="05E8A7CE" w:rsidR="0074291F" w:rsidRPr="00254131" w:rsidRDefault="0074291F" w:rsidP="0075740F">
      <w:pPr>
        <w:spacing w:after="0"/>
        <w:jc w:val="both"/>
        <w:rPr>
          <w:rFonts w:ascii="Arial" w:hAnsi="Arial" w:cs="Arial"/>
          <w:sz w:val="24"/>
          <w:szCs w:val="24"/>
        </w:rPr>
      </w:pPr>
      <w:r w:rsidRPr="00254131">
        <w:rPr>
          <w:rFonts w:ascii="Arial" w:hAnsi="Arial" w:cs="Arial"/>
          <w:sz w:val="24"/>
          <w:szCs w:val="24"/>
          <w:lang w:val="en-ZA"/>
        </w:rPr>
        <w:t xml:space="preserve">5.1. </w:t>
      </w:r>
      <w:r w:rsidRPr="00254131">
        <w:rPr>
          <w:rFonts w:ascii="Arial" w:hAnsi="Arial" w:cs="Arial"/>
          <w:sz w:val="24"/>
          <w:szCs w:val="24"/>
        </w:rPr>
        <w:t>Tripartite</w:t>
      </w:r>
      <w:r w:rsidRPr="00254131">
        <w:rPr>
          <w:rFonts w:ascii="Arial" w:hAnsi="Arial" w:cs="Arial"/>
          <w:sz w:val="24"/>
          <w:szCs w:val="24"/>
          <w:lang w:val="en-ZA"/>
        </w:rPr>
        <w:t xml:space="preserve"> </w:t>
      </w:r>
      <w:r w:rsidRPr="00254131">
        <w:rPr>
          <w:rFonts w:ascii="Arial" w:hAnsi="Arial" w:cs="Arial"/>
          <w:sz w:val="24"/>
          <w:szCs w:val="24"/>
        </w:rPr>
        <w:t>Negotiations</w:t>
      </w:r>
      <w:r w:rsidRPr="00254131">
        <w:rPr>
          <w:rFonts w:ascii="Arial" w:hAnsi="Arial" w:cs="Arial"/>
          <w:sz w:val="24"/>
          <w:szCs w:val="24"/>
          <w:lang w:val="en-ZA"/>
        </w:rPr>
        <w:t xml:space="preserve"> </w:t>
      </w:r>
      <w:r w:rsidRPr="00254131">
        <w:rPr>
          <w:rFonts w:ascii="Arial" w:hAnsi="Arial" w:cs="Arial"/>
          <w:sz w:val="24"/>
          <w:szCs w:val="24"/>
        </w:rPr>
        <w:t>on</w:t>
      </w:r>
      <w:r w:rsidRPr="00254131">
        <w:rPr>
          <w:rFonts w:ascii="Arial" w:hAnsi="Arial" w:cs="Arial"/>
          <w:sz w:val="24"/>
          <w:szCs w:val="24"/>
          <w:lang w:val="en-ZA"/>
        </w:rPr>
        <w:t xml:space="preserve"> </w:t>
      </w:r>
      <w:r w:rsidRPr="00254131">
        <w:rPr>
          <w:rFonts w:ascii="Arial" w:hAnsi="Arial" w:cs="Arial"/>
          <w:sz w:val="24"/>
          <w:szCs w:val="24"/>
        </w:rPr>
        <w:t>Trade</w:t>
      </w:r>
      <w:r w:rsidRPr="00254131">
        <w:rPr>
          <w:rFonts w:ascii="Arial" w:hAnsi="Arial" w:cs="Arial"/>
          <w:sz w:val="24"/>
          <w:szCs w:val="24"/>
          <w:lang w:val="en-ZA"/>
        </w:rPr>
        <w:t xml:space="preserve"> </w:t>
      </w:r>
      <w:r w:rsidRPr="00254131">
        <w:rPr>
          <w:rFonts w:ascii="Arial" w:hAnsi="Arial" w:cs="Arial"/>
          <w:sz w:val="24"/>
          <w:szCs w:val="24"/>
        </w:rPr>
        <w:t>in</w:t>
      </w:r>
      <w:r w:rsidRPr="00254131">
        <w:rPr>
          <w:rFonts w:ascii="Arial" w:hAnsi="Arial" w:cs="Arial"/>
          <w:sz w:val="24"/>
          <w:szCs w:val="24"/>
          <w:lang w:val="en-ZA"/>
        </w:rPr>
        <w:t xml:space="preserve"> </w:t>
      </w:r>
      <w:r w:rsidRPr="00254131">
        <w:rPr>
          <w:rFonts w:ascii="Arial" w:hAnsi="Arial" w:cs="Arial"/>
          <w:sz w:val="24"/>
          <w:szCs w:val="24"/>
        </w:rPr>
        <w:t>Services</w:t>
      </w:r>
      <w:r w:rsidRPr="00254131">
        <w:rPr>
          <w:rFonts w:ascii="Arial" w:hAnsi="Arial" w:cs="Arial"/>
          <w:sz w:val="24"/>
          <w:szCs w:val="24"/>
          <w:lang w:val="en-ZA"/>
        </w:rPr>
        <w:t xml:space="preserve"> </w:t>
      </w:r>
      <w:r w:rsidRPr="00254131">
        <w:rPr>
          <w:rFonts w:ascii="Arial" w:hAnsi="Arial" w:cs="Arial"/>
          <w:sz w:val="24"/>
          <w:szCs w:val="24"/>
        </w:rPr>
        <w:t>have</w:t>
      </w:r>
      <w:r w:rsidRPr="00254131">
        <w:rPr>
          <w:rFonts w:ascii="Arial" w:hAnsi="Arial" w:cs="Arial"/>
          <w:sz w:val="24"/>
          <w:szCs w:val="24"/>
          <w:lang w:val="en-ZA"/>
        </w:rPr>
        <w:t xml:space="preserve"> </w:t>
      </w:r>
      <w:r w:rsidRPr="00254131">
        <w:rPr>
          <w:rFonts w:ascii="Arial" w:hAnsi="Arial" w:cs="Arial"/>
          <w:sz w:val="24"/>
          <w:szCs w:val="24"/>
        </w:rPr>
        <w:t>commenced</w:t>
      </w:r>
    </w:p>
    <w:p w14:paraId="60018ABC" w14:textId="77777777" w:rsidR="0074291F" w:rsidRPr="00254131" w:rsidRDefault="0074291F" w:rsidP="0074291F">
      <w:pPr>
        <w:pStyle w:val="Default"/>
        <w:jc w:val="both"/>
        <w:rPr>
          <w:lang w:val="en-ZA"/>
        </w:rPr>
      </w:pPr>
    </w:p>
    <w:p w14:paraId="5BDC9958" w14:textId="42D8C920" w:rsidR="0074291F" w:rsidRPr="00254131" w:rsidRDefault="0074291F" w:rsidP="0075740F">
      <w:pPr>
        <w:pStyle w:val="Default"/>
        <w:ind w:left="567" w:hanging="567"/>
        <w:jc w:val="both"/>
      </w:pPr>
      <w:r w:rsidRPr="00254131">
        <w:rPr>
          <w:bCs/>
        </w:rPr>
        <w:t>5.3. Trade Negotiations:</w:t>
      </w:r>
    </w:p>
    <w:p w14:paraId="0788CE29" w14:textId="77777777" w:rsidR="0075740F" w:rsidRDefault="0075740F" w:rsidP="0074291F">
      <w:pPr>
        <w:pStyle w:val="Default"/>
        <w:jc w:val="both"/>
        <w:rPr>
          <w:bCs/>
        </w:rPr>
      </w:pPr>
    </w:p>
    <w:p w14:paraId="619730F8" w14:textId="2CF129D0" w:rsidR="0074291F" w:rsidRPr="0075740F" w:rsidRDefault="0075740F" w:rsidP="0075740F">
      <w:pPr>
        <w:pStyle w:val="Default"/>
        <w:jc w:val="both"/>
        <w:rPr>
          <w:lang w:val="en-ZA"/>
        </w:rPr>
      </w:pPr>
      <w:r>
        <w:rPr>
          <w:bCs/>
          <w:lang w:val="en-ZA"/>
        </w:rPr>
        <w:t>a</w:t>
      </w:r>
      <w:r w:rsidR="0074291F" w:rsidRPr="00254131">
        <w:rPr>
          <w:bCs/>
        </w:rPr>
        <w:t>)</w:t>
      </w:r>
      <w:r w:rsidR="0074291F" w:rsidRPr="00254131">
        <w:rPr>
          <w:bCs/>
          <w:lang w:val="en-ZA"/>
        </w:rPr>
        <w:t xml:space="preserve"> </w:t>
      </w:r>
      <w:r w:rsidR="0074291F" w:rsidRPr="00254131">
        <w:rPr>
          <w:bCs/>
        </w:rPr>
        <w:t>Tripartite</w:t>
      </w:r>
      <w:r w:rsidR="0074291F" w:rsidRPr="00254131">
        <w:rPr>
          <w:bCs/>
          <w:lang w:val="en-ZA"/>
        </w:rPr>
        <w:t xml:space="preserve"> </w:t>
      </w:r>
      <w:r w:rsidR="0074291F" w:rsidRPr="00254131">
        <w:rPr>
          <w:bCs/>
        </w:rPr>
        <w:t>negotiations</w:t>
      </w:r>
      <w:r>
        <w:rPr>
          <w:bCs/>
          <w:lang w:val="en-ZA"/>
        </w:rPr>
        <w:t xml:space="preserve"> commenced on Rules of Origin, Customs, NTBs; </w:t>
      </w:r>
      <w:r w:rsidR="0074291F" w:rsidRPr="00254131">
        <w:t>Bilateral</w:t>
      </w:r>
      <w:r w:rsidR="0074291F" w:rsidRPr="00254131">
        <w:rPr>
          <w:lang w:val="en-ZA"/>
        </w:rPr>
        <w:t xml:space="preserve"> </w:t>
      </w:r>
      <w:r w:rsidR="0074291F" w:rsidRPr="00254131">
        <w:t>tariff</w:t>
      </w:r>
      <w:r w:rsidR="0074291F" w:rsidRPr="00254131">
        <w:rPr>
          <w:lang w:val="en-ZA"/>
        </w:rPr>
        <w:t xml:space="preserve"> </w:t>
      </w:r>
      <w:r w:rsidR="0074291F" w:rsidRPr="00254131">
        <w:t>negotiations</w:t>
      </w:r>
      <w:r w:rsidR="0074291F" w:rsidRPr="00254131">
        <w:rPr>
          <w:lang w:val="en-ZA"/>
        </w:rPr>
        <w:t xml:space="preserve"> </w:t>
      </w:r>
      <w:r w:rsidR="0074291F" w:rsidRPr="00254131">
        <w:t>between</w:t>
      </w:r>
      <w:r w:rsidR="0074291F" w:rsidRPr="00254131">
        <w:rPr>
          <w:lang w:val="en-ZA"/>
        </w:rPr>
        <w:t xml:space="preserve"> </w:t>
      </w:r>
      <w:r w:rsidR="0074291F" w:rsidRPr="00254131">
        <w:t>SACU</w:t>
      </w:r>
      <w:r w:rsidR="0074291F" w:rsidRPr="00254131">
        <w:rPr>
          <w:lang w:val="en-ZA"/>
        </w:rPr>
        <w:t xml:space="preserve"> </w:t>
      </w:r>
      <w:r w:rsidR="0074291F" w:rsidRPr="00254131">
        <w:t>and</w:t>
      </w:r>
      <w:r w:rsidR="0074291F" w:rsidRPr="00254131">
        <w:rPr>
          <w:lang w:val="en-ZA"/>
        </w:rPr>
        <w:t xml:space="preserve"> </w:t>
      </w:r>
      <w:r w:rsidR="0074291F" w:rsidRPr="00254131">
        <w:t>EAC</w:t>
      </w:r>
      <w:r>
        <w:rPr>
          <w:lang w:val="en-ZA"/>
        </w:rPr>
        <w:t xml:space="preserve">; </w:t>
      </w:r>
      <w:r w:rsidR="0074291F" w:rsidRPr="00254131">
        <w:t>Draft</w:t>
      </w:r>
      <w:r w:rsidR="0074291F" w:rsidRPr="00254131">
        <w:rPr>
          <w:lang w:val="en-ZA"/>
        </w:rPr>
        <w:t xml:space="preserve"> </w:t>
      </w:r>
      <w:r w:rsidR="0074291F" w:rsidRPr="00254131">
        <w:t>Protocol</w:t>
      </w:r>
      <w:r w:rsidR="0074291F" w:rsidRPr="00254131">
        <w:rPr>
          <w:lang w:val="en-ZA"/>
        </w:rPr>
        <w:t xml:space="preserve"> </w:t>
      </w:r>
      <w:r w:rsidR="0074291F" w:rsidRPr="00254131">
        <w:t>on</w:t>
      </w:r>
      <w:r w:rsidR="0074291F" w:rsidRPr="00254131">
        <w:rPr>
          <w:lang w:val="en-ZA"/>
        </w:rPr>
        <w:t xml:space="preserve"> </w:t>
      </w:r>
      <w:r w:rsidR="0074291F" w:rsidRPr="00254131">
        <w:t>Tripartite</w:t>
      </w:r>
      <w:r w:rsidR="0074291F" w:rsidRPr="00254131">
        <w:rPr>
          <w:lang w:val="en-ZA"/>
        </w:rPr>
        <w:t xml:space="preserve"> </w:t>
      </w:r>
      <w:r w:rsidR="0074291F" w:rsidRPr="00254131">
        <w:t>Competition</w:t>
      </w:r>
      <w:r w:rsidR="0074291F" w:rsidRPr="00254131">
        <w:rPr>
          <w:lang w:val="en-ZA"/>
        </w:rPr>
        <w:t xml:space="preserve"> </w:t>
      </w:r>
      <w:r w:rsidR="0074291F" w:rsidRPr="00254131">
        <w:t>Policy</w:t>
      </w:r>
      <w:r>
        <w:rPr>
          <w:lang w:val="en-ZA"/>
        </w:rPr>
        <w:t xml:space="preserve">; </w:t>
      </w:r>
      <w:r w:rsidR="0074291F" w:rsidRPr="00254131">
        <w:t>Tripartite</w:t>
      </w:r>
      <w:r w:rsidR="0074291F" w:rsidRPr="00254131">
        <w:rPr>
          <w:lang w:val="en-ZA"/>
        </w:rPr>
        <w:t xml:space="preserve"> </w:t>
      </w:r>
      <w:r w:rsidR="0074291F" w:rsidRPr="00254131">
        <w:t>Capacity</w:t>
      </w:r>
      <w:r w:rsidR="0074291F" w:rsidRPr="00254131">
        <w:rPr>
          <w:lang w:val="en-ZA"/>
        </w:rPr>
        <w:t xml:space="preserve"> </w:t>
      </w:r>
      <w:r w:rsidR="0074291F" w:rsidRPr="00254131">
        <w:t>Building</w:t>
      </w:r>
      <w:r w:rsidR="0074291F" w:rsidRPr="00254131">
        <w:rPr>
          <w:lang w:val="en-ZA"/>
        </w:rPr>
        <w:t xml:space="preserve"> </w:t>
      </w:r>
      <w:r w:rsidR="0074291F" w:rsidRPr="00254131">
        <w:t>Strategy</w:t>
      </w:r>
      <w:r>
        <w:rPr>
          <w:lang w:val="en-ZA"/>
        </w:rPr>
        <w:t>;</w:t>
      </w:r>
      <w:r w:rsidR="0074291F" w:rsidRPr="00254131">
        <w:rPr>
          <w:lang w:val="en-ZA"/>
        </w:rPr>
        <w:t xml:space="preserve"> </w:t>
      </w:r>
      <w:r w:rsidR="0074291F" w:rsidRPr="00254131">
        <w:t>Tripartite</w:t>
      </w:r>
      <w:r w:rsidR="0074291F" w:rsidRPr="00254131">
        <w:rPr>
          <w:lang w:val="en-ZA"/>
        </w:rPr>
        <w:t xml:space="preserve"> </w:t>
      </w:r>
      <w:r w:rsidR="0074291F" w:rsidRPr="00254131">
        <w:t>Resource</w:t>
      </w:r>
      <w:r w:rsidR="0074291F" w:rsidRPr="00254131">
        <w:rPr>
          <w:lang w:val="en-ZA"/>
        </w:rPr>
        <w:t xml:space="preserve"> </w:t>
      </w:r>
      <w:r w:rsidR="0074291F" w:rsidRPr="00254131">
        <w:t>Mobilization</w:t>
      </w:r>
      <w:r w:rsidR="0074291F" w:rsidRPr="00254131">
        <w:rPr>
          <w:lang w:val="en-ZA"/>
        </w:rPr>
        <w:t xml:space="preserve"> </w:t>
      </w:r>
      <w:r w:rsidR="0074291F" w:rsidRPr="00254131">
        <w:t>Strategy</w:t>
      </w:r>
      <w:r w:rsidR="0074291F" w:rsidRPr="00254131">
        <w:rPr>
          <w:lang w:val="en-ZA"/>
        </w:rPr>
        <w:t xml:space="preserve"> </w:t>
      </w:r>
    </w:p>
    <w:p w14:paraId="60859DCE" w14:textId="77777777" w:rsidR="0074291F" w:rsidRPr="00254131" w:rsidRDefault="0074291F" w:rsidP="0074291F">
      <w:pPr>
        <w:pStyle w:val="Default"/>
        <w:jc w:val="both"/>
        <w:rPr>
          <w:b/>
          <w:bCs/>
        </w:rPr>
      </w:pPr>
    </w:p>
    <w:p w14:paraId="0CA7A7CB" w14:textId="4F3068D7" w:rsidR="0074291F" w:rsidRPr="00427C9B" w:rsidRDefault="0075740F" w:rsidP="0074291F">
      <w:pPr>
        <w:pStyle w:val="Default"/>
        <w:jc w:val="both"/>
      </w:pPr>
      <w:r>
        <w:rPr>
          <w:bCs/>
          <w:lang w:val="en-ZA"/>
        </w:rPr>
        <w:t>b</w:t>
      </w:r>
      <w:r w:rsidR="0074291F" w:rsidRPr="00427C9B">
        <w:rPr>
          <w:bCs/>
        </w:rPr>
        <w:t>) National Sensitization workshops on TFTA with Parliamentarians and other stakeholders:</w:t>
      </w:r>
    </w:p>
    <w:p w14:paraId="16DCCAFA" w14:textId="77777777" w:rsidR="0074291F" w:rsidRDefault="0074291F" w:rsidP="0074291F">
      <w:pPr>
        <w:pStyle w:val="Default"/>
        <w:jc w:val="both"/>
        <w:rPr>
          <w:b/>
          <w:bCs/>
        </w:rPr>
      </w:pPr>
    </w:p>
    <w:p w14:paraId="2F638897" w14:textId="77777777" w:rsidR="0074291F" w:rsidRPr="00254131" w:rsidRDefault="0074291F" w:rsidP="0074291F">
      <w:pPr>
        <w:pStyle w:val="Default"/>
        <w:jc w:val="both"/>
      </w:pPr>
      <w:r w:rsidRPr="00427C9B">
        <w:rPr>
          <w:bCs/>
        </w:rPr>
        <w:t>C)</w:t>
      </w:r>
      <w:r>
        <w:rPr>
          <w:b/>
          <w:bCs/>
          <w:lang w:val="en-ZA"/>
        </w:rPr>
        <w:t xml:space="preserve"> </w:t>
      </w:r>
      <w:r w:rsidRPr="00427C9B">
        <w:rPr>
          <w:bCs/>
        </w:rPr>
        <w:t>The</w:t>
      </w:r>
      <w:r w:rsidRPr="00254131">
        <w:rPr>
          <w:b/>
          <w:bCs/>
          <w:lang w:val="en-ZA"/>
        </w:rPr>
        <w:t xml:space="preserve"> </w:t>
      </w:r>
      <w:proofErr w:type="spellStart"/>
      <w:r w:rsidRPr="00427C9B">
        <w:rPr>
          <w:bCs/>
        </w:rPr>
        <w:t>AfCFTA</w:t>
      </w:r>
      <w:proofErr w:type="spellEnd"/>
      <w:r w:rsidRPr="00427C9B">
        <w:rPr>
          <w:bCs/>
          <w:lang w:val="en-ZA"/>
        </w:rPr>
        <w:t xml:space="preserve"> </w:t>
      </w:r>
      <w:r w:rsidRPr="00427C9B">
        <w:rPr>
          <w:bCs/>
        </w:rPr>
        <w:t>Negotiations:</w:t>
      </w:r>
      <w:r w:rsidRPr="00254131">
        <w:rPr>
          <w:lang w:val="en-ZA"/>
        </w:rPr>
        <w:t xml:space="preserve"> </w:t>
      </w:r>
      <w:r w:rsidRPr="00254131">
        <w:t>The</w:t>
      </w:r>
      <w:r w:rsidRPr="00254131">
        <w:rPr>
          <w:lang w:val="en-ZA"/>
        </w:rPr>
        <w:t xml:space="preserve"> </w:t>
      </w:r>
      <w:r w:rsidRPr="00254131">
        <w:t>Secretariat</w:t>
      </w:r>
      <w:r w:rsidRPr="00254131">
        <w:rPr>
          <w:lang w:val="en-ZA"/>
        </w:rPr>
        <w:t xml:space="preserve"> </w:t>
      </w:r>
      <w:r w:rsidRPr="00254131">
        <w:t>participated</w:t>
      </w:r>
      <w:r w:rsidRPr="00254131">
        <w:rPr>
          <w:lang w:val="en-ZA"/>
        </w:rPr>
        <w:t xml:space="preserve"> </w:t>
      </w:r>
      <w:r w:rsidRPr="00254131">
        <w:t>and</w:t>
      </w:r>
      <w:r w:rsidRPr="00254131">
        <w:rPr>
          <w:lang w:val="en-ZA"/>
        </w:rPr>
        <w:t xml:space="preserve"> </w:t>
      </w:r>
      <w:r w:rsidRPr="00254131">
        <w:t>contributed</w:t>
      </w:r>
      <w:r w:rsidRPr="00254131">
        <w:rPr>
          <w:lang w:val="en-ZA"/>
        </w:rPr>
        <w:t xml:space="preserve"> </w:t>
      </w:r>
      <w:r w:rsidRPr="00254131">
        <w:t>in</w:t>
      </w:r>
      <w:r w:rsidRPr="00254131">
        <w:rPr>
          <w:lang w:val="en-ZA"/>
        </w:rPr>
        <w:t xml:space="preserve"> </w:t>
      </w:r>
      <w:r w:rsidRPr="00254131">
        <w:t>the</w:t>
      </w:r>
      <w:r w:rsidRPr="00254131">
        <w:rPr>
          <w:lang w:val="en-ZA"/>
        </w:rPr>
        <w:t xml:space="preserve"> </w:t>
      </w:r>
      <w:proofErr w:type="spellStart"/>
      <w:r w:rsidRPr="00254131">
        <w:t>AfCFTA</w:t>
      </w:r>
      <w:proofErr w:type="spellEnd"/>
      <w:r w:rsidRPr="00254131">
        <w:rPr>
          <w:lang w:val="en-ZA"/>
        </w:rPr>
        <w:t xml:space="preserve"> </w:t>
      </w:r>
      <w:r w:rsidRPr="00254131">
        <w:t>negotiations</w:t>
      </w:r>
      <w:r w:rsidRPr="00254131">
        <w:rPr>
          <w:lang w:val="en-ZA"/>
        </w:rPr>
        <w:t xml:space="preserve"> </w:t>
      </w:r>
      <w:r w:rsidRPr="00254131">
        <w:t>in</w:t>
      </w:r>
      <w:r w:rsidRPr="00254131">
        <w:rPr>
          <w:lang w:val="en-ZA"/>
        </w:rPr>
        <w:t xml:space="preserve"> </w:t>
      </w:r>
      <w:r w:rsidRPr="00254131">
        <w:t>developing</w:t>
      </w:r>
      <w:r w:rsidRPr="00254131">
        <w:rPr>
          <w:lang w:val="en-ZA"/>
        </w:rPr>
        <w:t xml:space="preserve"> </w:t>
      </w:r>
      <w:r w:rsidRPr="00254131">
        <w:t>the</w:t>
      </w:r>
      <w:r w:rsidRPr="00254131">
        <w:rPr>
          <w:lang w:val="en-ZA"/>
        </w:rPr>
        <w:t xml:space="preserve"> </w:t>
      </w:r>
      <w:r w:rsidRPr="00254131">
        <w:t>instruments</w:t>
      </w:r>
      <w:r w:rsidRPr="00254131">
        <w:rPr>
          <w:lang w:val="en-ZA"/>
        </w:rPr>
        <w:t xml:space="preserve"> </w:t>
      </w:r>
      <w:r w:rsidRPr="00254131">
        <w:t>and</w:t>
      </w:r>
      <w:r w:rsidRPr="00254131">
        <w:rPr>
          <w:lang w:val="en-ZA"/>
        </w:rPr>
        <w:t xml:space="preserve"> </w:t>
      </w:r>
      <w:r w:rsidRPr="00254131">
        <w:t>expediting</w:t>
      </w:r>
      <w:r w:rsidRPr="00254131">
        <w:rPr>
          <w:lang w:val="en-ZA"/>
        </w:rPr>
        <w:t xml:space="preserve"> </w:t>
      </w:r>
      <w:r w:rsidRPr="00254131">
        <w:t>the</w:t>
      </w:r>
      <w:r w:rsidRPr="00254131">
        <w:rPr>
          <w:lang w:val="en-ZA"/>
        </w:rPr>
        <w:t xml:space="preserve"> </w:t>
      </w:r>
      <w:r w:rsidRPr="00254131">
        <w:t>achievement</w:t>
      </w:r>
      <w:r w:rsidRPr="00254131">
        <w:rPr>
          <w:lang w:val="en-ZA"/>
        </w:rPr>
        <w:t xml:space="preserve"> </w:t>
      </w:r>
      <w:r w:rsidRPr="00254131">
        <w:t>of</w:t>
      </w:r>
      <w:r w:rsidRPr="00254131">
        <w:rPr>
          <w:lang w:val="en-ZA"/>
        </w:rPr>
        <w:t xml:space="preserve"> </w:t>
      </w:r>
      <w:r w:rsidRPr="00254131">
        <w:t>the</w:t>
      </w:r>
      <w:r w:rsidRPr="00254131">
        <w:rPr>
          <w:lang w:val="en-ZA"/>
        </w:rPr>
        <w:t xml:space="preserve"> </w:t>
      </w:r>
      <w:r w:rsidRPr="00254131">
        <w:t>negotiations.</w:t>
      </w:r>
    </w:p>
    <w:p w14:paraId="6AB06E8B" w14:textId="77777777" w:rsidR="0075740F" w:rsidRDefault="0075740F" w:rsidP="000C423F">
      <w:pPr>
        <w:ind w:left="360"/>
        <w:rPr>
          <w:rFonts w:ascii="Arial" w:hAnsi="Arial" w:cs="Arial"/>
          <w:sz w:val="24"/>
          <w:szCs w:val="24"/>
          <w:lang w:val="en-GB"/>
        </w:rPr>
      </w:pPr>
    </w:p>
    <w:p w14:paraId="568AA8CC" w14:textId="3ADDD13A" w:rsidR="000C423F" w:rsidRPr="000C423F" w:rsidRDefault="00C15EE7" w:rsidP="000C423F">
      <w:pPr>
        <w:ind w:left="360"/>
        <w:rPr>
          <w:rFonts w:ascii="Arial" w:hAnsi="Arial" w:cs="Arial"/>
          <w:sz w:val="24"/>
          <w:szCs w:val="24"/>
          <w:lang w:val="en-GB"/>
        </w:rPr>
      </w:pPr>
      <w:r>
        <w:rPr>
          <w:rFonts w:ascii="Arial" w:hAnsi="Arial" w:cs="Arial"/>
          <w:sz w:val="24"/>
          <w:szCs w:val="24"/>
          <w:lang w:val="en-GB"/>
        </w:rPr>
        <w:t>Table 1, below presents expenditure incurred in the period in implementing the above activities</w:t>
      </w:r>
    </w:p>
    <w:tbl>
      <w:tblPr>
        <w:tblW w:w="9288" w:type="dxa"/>
        <w:tblInd w:w="-165" w:type="dxa"/>
        <w:tblLayout w:type="fixed"/>
        <w:tblLook w:val="04A0" w:firstRow="1" w:lastRow="0" w:firstColumn="1" w:lastColumn="0" w:noHBand="0" w:noVBand="1"/>
      </w:tblPr>
      <w:tblGrid>
        <w:gridCol w:w="488"/>
        <w:gridCol w:w="2064"/>
        <w:gridCol w:w="790"/>
        <w:gridCol w:w="873"/>
        <w:gridCol w:w="721"/>
        <w:gridCol w:w="983"/>
        <w:gridCol w:w="800"/>
        <w:gridCol w:w="795"/>
        <w:gridCol w:w="863"/>
        <w:gridCol w:w="911"/>
      </w:tblGrid>
      <w:tr w:rsidR="004061ED" w:rsidRPr="000C423F" w14:paraId="21E09F21" w14:textId="4AE559DF" w:rsidTr="004574F7">
        <w:trPr>
          <w:trHeight w:val="330"/>
        </w:trPr>
        <w:tc>
          <w:tcPr>
            <w:tcW w:w="488"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No.</w:t>
            </w:r>
          </w:p>
        </w:tc>
        <w:tc>
          <w:tcPr>
            <w:tcW w:w="2064"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Budget Line Description [as in grant contract]</w:t>
            </w:r>
          </w:p>
        </w:tc>
        <w:tc>
          <w:tcPr>
            <w:tcW w:w="790"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2018</w:t>
            </w:r>
          </w:p>
        </w:tc>
        <w:tc>
          <w:tcPr>
            <w:tcW w:w="5035"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2019</w:t>
            </w:r>
          </w:p>
          <w:p w14:paraId="46A016CF" w14:textId="0697E941"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p w14:paraId="345AFE75" w14:textId="2EE88FA3"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911"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lang w:val="en-ZM" w:eastAsia="en-ZM"/>
              </w:rPr>
            </w:pPr>
          </w:p>
        </w:tc>
      </w:tr>
      <w:tr w:rsidR="004061ED" w:rsidRPr="000C423F" w14:paraId="6B55C653" w14:textId="5F0786F2" w:rsidTr="004574F7">
        <w:trPr>
          <w:trHeight w:val="780"/>
        </w:trPr>
        <w:tc>
          <w:tcPr>
            <w:tcW w:w="488"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2064"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790" w:type="dxa"/>
            <w:tcBorders>
              <w:top w:val="nil"/>
              <w:left w:val="nil"/>
              <w:bottom w:val="single" w:sz="4" w:space="0" w:color="auto"/>
              <w:right w:val="single" w:sz="4" w:space="0" w:color="auto"/>
            </w:tcBorders>
            <w:shd w:val="clear" w:color="000000" w:fill="BFBFBF"/>
            <w:hideMark/>
          </w:tcPr>
          <w:p w14:paraId="4DF2BC6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Actual</w:t>
            </w:r>
          </w:p>
        </w:tc>
        <w:tc>
          <w:tcPr>
            <w:tcW w:w="873" w:type="dxa"/>
            <w:tcBorders>
              <w:top w:val="nil"/>
              <w:left w:val="nil"/>
              <w:bottom w:val="single" w:sz="4" w:space="0" w:color="auto"/>
              <w:right w:val="single" w:sz="4" w:space="0" w:color="auto"/>
            </w:tcBorders>
            <w:shd w:val="clear" w:color="000000" w:fill="BFBFBF"/>
            <w:hideMark/>
          </w:tcPr>
          <w:p w14:paraId="7431AC2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Original Budget</w:t>
            </w:r>
          </w:p>
        </w:tc>
        <w:tc>
          <w:tcPr>
            <w:tcW w:w="721" w:type="dxa"/>
            <w:tcBorders>
              <w:top w:val="nil"/>
              <w:left w:val="nil"/>
              <w:bottom w:val="single" w:sz="4" w:space="0" w:color="auto"/>
              <w:right w:val="single" w:sz="4" w:space="0" w:color="auto"/>
            </w:tcBorders>
            <w:shd w:val="clear" w:color="000000" w:fill="BFBFBF"/>
            <w:hideMark/>
          </w:tcPr>
          <w:p w14:paraId="30A648F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Actual: Six months</w:t>
            </w:r>
          </w:p>
        </w:tc>
        <w:tc>
          <w:tcPr>
            <w:tcW w:w="983" w:type="dxa"/>
            <w:tcBorders>
              <w:top w:val="nil"/>
              <w:left w:val="nil"/>
              <w:bottom w:val="single" w:sz="4" w:space="0" w:color="auto"/>
              <w:right w:val="single" w:sz="4" w:space="0" w:color="auto"/>
            </w:tcBorders>
            <w:shd w:val="clear" w:color="000000" w:fill="BFBFBF"/>
            <w:hideMark/>
          </w:tcPr>
          <w:p w14:paraId="764AA5E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Forecast: Six months</w:t>
            </w:r>
          </w:p>
        </w:tc>
        <w:tc>
          <w:tcPr>
            <w:tcW w:w="800" w:type="dxa"/>
            <w:tcBorders>
              <w:top w:val="nil"/>
              <w:left w:val="nil"/>
              <w:bottom w:val="single" w:sz="4" w:space="0" w:color="auto"/>
              <w:right w:val="nil"/>
            </w:tcBorders>
            <w:shd w:val="clear" w:color="000000" w:fill="BFBFBF"/>
            <w:hideMark/>
          </w:tcPr>
          <w:p w14:paraId="28CBEEF5"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Revised Forecast</w:t>
            </w:r>
          </w:p>
        </w:tc>
        <w:tc>
          <w:tcPr>
            <w:tcW w:w="795"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Budget Utilisation achieved</w:t>
            </w:r>
          </w:p>
        </w:tc>
        <w:tc>
          <w:tcPr>
            <w:tcW w:w="863"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Forecast Budget Utilisation</w:t>
            </w:r>
          </w:p>
        </w:tc>
        <w:tc>
          <w:tcPr>
            <w:tcW w:w="911"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3A7C2F" w:rsidRDefault="003A7C2F" w:rsidP="000C423F">
            <w:pPr>
              <w:spacing w:after="0" w:line="240" w:lineRule="auto"/>
              <w:jc w:val="right"/>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Proposed budget revision</w:t>
            </w:r>
          </w:p>
        </w:tc>
      </w:tr>
      <w:tr w:rsidR="004061ED" w:rsidRPr="000C423F" w14:paraId="78302C6E" w14:textId="6E027BCE" w:rsidTr="004574F7">
        <w:trPr>
          <w:trHeight w:val="510"/>
        </w:trPr>
        <w:tc>
          <w:tcPr>
            <w:tcW w:w="488"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2064"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790" w:type="dxa"/>
            <w:tcBorders>
              <w:top w:val="nil"/>
              <w:left w:val="nil"/>
              <w:bottom w:val="single" w:sz="4" w:space="0" w:color="auto"/>
              <w:right w:val="single" w:sz="4" w:space="0" w:color="auto"/>
            </w:tcBorders>
            <w:shd w:val="clear" w:color="000000" w:fill="BFBFBF"/>
            <w:hideMark/>
          </w:tcPr>
          <w:p w14:paraId="06DA076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12 months</w:t>
            </w:r>
          </w:p>
        </w:tc>
        <w:tc>
          <w:tcPr>
            <w:tcW w:w="873" w:type="dxa"/>
            <w:tcBorders>
              <w:top w:val="nil"/>
              <w:left w:val="nil"/>
              <w:bottom w:val="single" w:sz="4" w:space="0" w:color="auto"/>
              <w:right w:val="single" w:sz="4" w:space="0" w:color="auto"/>
            </w:tcBorders>
            <w:shd w:val="clear" w:color="000000" w:fill="BFBFBF"/>
            <w:hideMark/>
          </w:tcPr>
          <w:p w14:paraId="755AA6F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12 months</w:t>
            </w:r>
          </w:p>
        </w:tc>
        <w:tc>
          <w:tcPr>
            <w:tcW w:w="721" w:type="dxa"/>
            <w:tcBorders>
              <w:top w:val="nil"/>
              <w:left w:val="nil"/>
              <w:bottom w:val="single" w:sz="4" w:space="0" w:color="auto"/>
              <w:right w:val="single" w:sz="4" w:space="0" w:color="auto"/>
            </w:tcBorders>
            <w:shd w:val="clear" w:color="000000" w:fill="BFBFBF"/>
            <w:hideMark/>
          </w:tcPr>
          <w:p w14:paraId="31C587C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June</w:t>
            </w:r>
          </w:p>
        </w:tc>
        <w:tc>
          <w:tcPr>
            <w:tcW w:w="983" w:type="dxa"/>
            <w:tcBorders>
              <w:top w:val="nil"/>
              <w:left w:val="nil"/>
              <w:bottom w:val="single" w:sz="4" w:space="0" w:color="auto"/>
              <w:right w:val="single" w:sz="4" w:space="0" w:color="auto"/>
            </w:tcBorders>
            <w:shd w:val="clear" w:color="000000" w:fill="BFBFBF"/>
            <w:hideMark/>
          </w:tcPr>
          <w:p w14:paraId="01F618E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July-Dec</w:t>
            </w:r>
          </w:p>
        </w:tc>
        <w:tc>
          <w:tcPr>
            <w:tcW w:w="800" w:type="dxa"/>
            <w:tcBorders>
              <w:top w:val="nil"/>
              <w:left w:val="nil"/>
              <w:bottom w:val="single" w:sz="4" w:space="0" w:color="auto"/>
              <w:right w:val="nil"/>
            </w:tcBorders>
            <w:shd w:val="clear" w:color="000000" w:fill="BFBFBF"/>
            <w:hideMark/>
          </w:tcPr>
          <w:p w14:paraId="59257629"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Dec: 12 months</w:t>
            </w:r>
          </w:p>
        </w:tc>
        <w:tc>
          <w:tcPr>
            <w:tcW w:w="795"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June</w:t>
            </w:r>
          </w:p>
        </w:tc>
        <w:tc>
          <w:tcPr>
            <w:tcW w:w="863" w:type="dxa"/>
            <w:tcBorders>
              <w:top w:val="nil"/>
              <w:left w:val="nil"/>
              <w:bottom w:val="single" w:sz="4" w:space="0" w:color="auto"/>
              <w:right w:val="double" w:sz="6" w:space="0" w:color="auto"/>
            </w:tcBorders>
            <w:shd w:val="clear" w:color="000000" w:fill="BFBFBF"/>
            <w:hideMark/>
          </w:tcPr>
          <w:p w14:paraId="7281CA0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Dec: 12 months</w:t>
            </w:r>
          </w:p>
        </w:tc>
        <w:tc>
          <w:tcPr>
            <w:tcW w:w="911" w:type="dxa"/>
            <w:tcBorders>
              <w:top w:val="nil"/>
              <w:left w:val="nil"/>
              <w:bottom w:val="single" w:sz="4" w:space="0" w:color="auto"/>
              <w:right w:val="double" w:sz="6" w:space="0" w:color="auto"/>
            </w:tcBorders>
            <w:shd w:val="clear" w:color="000000" w:fill="BFBFBF"/>
          </w:tcPr>
          <w:p w14:paraId="70547E8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4061ED" w:rsidRPr="000C423F" w14:paraId="12A97D6A" w14:textId="7486E212" w:rsidTr="004574F7">
        <w:trPr>
          <w:trHeight w:val="315"/>
        </w:trPr>
        <w:tc>
          <w:tcPr>
            <w:tcW w:w="488"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lastRenderedPageBreak/>
              <w:t>Col 1</w:t>
            </w:r>
          </w:p>
        </w:tc>
        <w:tc>
          <w:tcPr>
            <w:tcW w:w="2064" w:type="dxa"/>
            <w:tcBorders>
              <w:top w:val="nil"/>
              <w:left w:val="nil"/>
              <w:bottom w:val="double" w:sz="6" w:space="0" w:color="auto"/>
              <w:right w:val="single" w:sz="4" w:space="0" w:color="auto"/>
            </w:tcBorders>
            <w:shd w:val="clear" w:color="000000" w:fill="BFBFBF"/>
            <w:hideMark/>
          </w:tcPr>
          <w:p w14:paraId="17B9326C"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Col 2</w:t>
            </w:r>
          </w:p>
        </w:tc>
        <w:tc>
          <w:tcPr>
            <w:tcW w:w="790" w:type="dxa"/>
            <w:tcBorders>
              <w:top w:val="nil"/>
              <w:left w:val="nil"/>
              <w:bottom w:val="double" w:sz="6" w:space="0" w:color="auto"/>
              <w:right w:val="single" w:sz="4" w:space="0" w:color="auto"/>
            </w:tcBorders>
            <w:shd w:val="clear" w:color="000000" w:fill="BFBFBF"/>
            <w:hideMark/>
          </w:tcPr>
          <w:p w14:paraId="36D00D9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3</w:t>
            </w:r>
          </w:p>
        </w:tc>
        <w:tc>
          <w:tcPr>
            <w:tcW w:w="873" w:type="dxa"/>
            <w:tcBorders>
              <w:top w:val="nil"/>
              <w:left w:val="nil"/>
              <w:bottom w:val="double" w:sz="6" w:space="0" w:color="auto"/>
              <w:right w:val="single" w:sz="4" w:space="0" w:color="auto"/>
            </w:tcBorders>
            <w:shd w:val="clear" w:color="000000" w:fill="BFBFBF"/>
            <w:hideMark/>
          </w:tcPr>
          <w:p w14:paraId="66A6F23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4</w:t>
            </w:r>
          </w:p>
        </w:tc>
        <w:tc>
          <w:tcPr>
            <w:tcW w:w="721" w:type="dxa"/>
            <w:tcBorders>
              <w:top w:val="nil"/>
              <w:left w:val="nil"/>
              <w:bottom w:val="double" w:sz="6" w:space="0" w:color="auto"/>
              <w:right w:val="single" w:sz="4" w:space="0" w:color="auto"/>
            </w:tcBorders>
            <w:shd w:val="clear" w:color="000000" w:fill="BFBFBF"/>
            <w:hideMark/>
          </w:tcPr>
          <w:p w14:paraId="2DA7DC7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5</w:t>
            </w:r>
          </w:p>
        </w:tc>
        <w:tc>
          <w:tcPr>
            <w:tcW w:w="983" w:type="dxa"/>
            <w:tcBorders>
              <w:top w:val="nil"/>
              <w:left w:val="nil"/>
              <w:bottom w:val="double" w:sz="6" w:space="0" w:color="auto"/>
              <w:right w:val="single" w:sz="4" w:space="0" w:color="auto"/>
            </w:tcBorders>
            <w:shd w:val="clear" w:color="000000" w:fill="BFBFBF"/>
            <w:hideMark/>
          </w:tcPr>
          <w:p w14:paraId="1BC16D9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6</w:t>
            </w:r>
          </w:p>
        </w:tc>
        <w:tc>
          <w:tcPr>
            <w:tcW w:w="800" w:type="dxa"/>
            <w:tcBorders>
              <w:top w:val="nil"/>
              <w:left w:val="nil"/>
              <w:bottom w:val="double" w:sz="6" w:space="0" w:color="auto"/>
              <w:right w:val="nil"/>
            </w:tcBorders>
            <w:shd w:val="clear" w:color="000000" w:fill="BFBFBF"/>
            <w:hideMark/>
          </w:tcPr>
          <w:p w14:paraId="669601B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xml:space="preserve"> Col 7=5+6</w:t>
            </w:r>
          </w:p>
        </w:tc>
        <w:tc>
          <w:tcPr>
            <w:tcW w:w="795"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8=5/4</w:t>
            </w:r>
          </w:p>
        </w:tc>
        <w:tc>
          <w:tcPr>
            <w:tcW w:w="863" w:type="dxa"/>
            <w:tcBorders>
              <w:top w:val="nil"/>
              <w:left w:val="nil"/>
              <w:bottom w:val="double" w:sz="6" w:space="0" w:color="auto"/>
              <w:right w:val="double" w:sz="6" w:space="0" w:color="auto"/>
            </w:tcBorders>
            <w:shd w:val="clear" w:color="000000" w:fill="BFBFBF"/>
            <w:hideMark/>
          </w:tcPr>
          <w:p w14:paraId="77FF27D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9=7/4</w:t>
            </w:r>
          </w:p>
        </w:tc>
        <w:tc>
          <w:tcPr>
            <w:tcW w:w="911" w:type="dxa"/>
            <w:tcBorders>
              <w:top w:val="nil"/>
              <w:left w:val="nil"/>
              <w:bottom w:val="double" w:sz="6" w:space="0" w:color="auto"/>
              <w:right w:val="double" w:sz="6" w:space="0" w:color="auto"/>
            </w:tcBorders>
            <w:shd w:val="clear" w:color="000000" w:fill="BFBFBF"/>
          </w:tcPr>
          <w:p w14:paraId="759BD56E"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4061ED" w:rsidRPr="000C423F" w14:paraId="537E7FA9" w14:textId="7657D7C4" w:rsidTr="004574F7">
        <w:trPr>
          <w:trHeight w:val="315"/>
        </w:trPr>
        <w:tc>
          <w:tcPr>
            <w:tcW w:w="488"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 </w:t>
            </w:r>
          </w:p>
        </w:tc>
        <w:tc>
          <w:tcPr>
            <w:tcW w:w="2064" w:type="dxa"/>
            <w:tcBorders>
              <w:top w:val="nil"/>
              <w:left w:val="nil"/>
              <w:bottom w:val="single" w:sz="4" w:space="0" w:color="auto"/>
              <w:right w:val="single" w:sz="4" w:space="0" w:color="auto"/>
            </w:tcBorders>
            <w:shd w:val="clear" w:color="000000" w:fill="BFBFBF"/>
            <w:hideMark/>
          </w:tcPr>
          <w:p w14:paraId="41E02F40"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 </w:t>
            </w:r>
          </w:p>
        </w:tc>
        <w:tc>
          <w:tcPr>
            <w:tcW w:w="790" w:type="dxa"/>
            <w:tcBorders>
              <w:top w:val="nil"/>
              <w:left w:val="nil"/>
              <w:bottom w:val="single" w:sz="4" w:space="0" w:color="auto"/>
              <w:right w:val="single" w:sz="4" w:space="0" w:color="auto"/>
            </w:tcBorders>
            <w:shd w:val="clear" w:color="000000" w:fill="BFBFBF"/>
            <w:hideMark/>
          </w:tcPr>
          <w:p w14:paraId="50816F8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73" w:type="dxa"/>
            <w:tcBorders>
              <w:top w:val="nil"/>
              <w:left w:val="nil"/>
              <w:bottom w:val="single" w:sz="4" w:space="0" w:color="auto"/>
              <w:right w:val="single" w:sz="4" w:space="0" w:color="auto"/>
            </w:tcBorders>
            <w:shd w:val="clear" w:color="000000" w:fill="BFBFBF"/>
            <w:hideMark/>
          </w:tcPr>
          <w:p w14:paraId="10A19B7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721" w:type="dxa"/>
            <w:tcBorders>
              <w:top w:val="nil"/>
              <w:left w:val="nil"/>
              <w:bottom w:val="single" w:sz="4" w:space="0" w:color="auto"/>
              <w:right w:val="single" w:sz="4" w:space="0" w:color="auto"/>
            </w:tcBorders>
            <w:shd w:val="clear" w:color="000000" w:fill="BFBFBF"/>
            <w:hideMark/>
          </w:tcPr>
          <w:p w14:paraId="22D5E7E5"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983" w:type="dxa"/>
            <w:tcBorders>
              <w:top w:val="nil"/>
              <w:left w:val="nil"/>
              <w:bottom w:val="single" w:sz="4" w:space="0" w:color="auto"/>
              <w:right w:val="single" w:sz="4" w:space="0" w:color="auto"/>
            </w:tcBorders>
            <w:shd w:val="clear" w:color="000000" w:fill="BFBFBF"/>
            <w:hideMark/>
          </w:tcPr>
          <w:p w14:paraId="032DF07F"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00" w:type="dxa"/>
            <w:tcBorders>
              <w:top w:val="nil"/>
              <w:left w:val="nil"/>
              <w:bottom w:val="single" w:sz="4" w:space="0" w:color="auto"/>
              <w:right w:val="nil"/>
            </w:tcBorders>
            <w:shd w:val="clear" w:color="000000" w:fill="BFBFBF"/>
            <w:hideMark/>
          </w:tcPr>
          <w:p w14:paraId="146FE3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795"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63" w:type="dxa"/>
            <w:tcBorders>
              <w:top w:val="nil"/>
              <w:left w:val="nil"/>
              <w:bottom w:val="single" w:sz="4" w:space="0" w:color="auto"/>
              <w:right w:val="double" w:sz="6" w:space="0" w:color="auto"/>
            </w:tcBorders>
            <w:shd w:val="clear" w:color="000000" w:fill="BFBFBF"/>
            <w:hideMark/>
          </w:tcPr>
          <w:p w14:paraId="7B890B2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911" w:type="dxa"/>
            <w:tcBorders>
              <w:top w:val="nil"/>
              <w:left w:val="nil"/>
              <w:bottom w:val="single" w:sz="4" w:space="0" w:color="auto"/>
              <w:right w:val="double" w:sz="6" w:space="0" w:color="auto"/>
            </w:tcBorders>
            <w:shd w:val="clear" w:color="000000" w:fill="BFBFBF"/>
          </w:tcPr>
          <w:p w14:paraId="22FD6F5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74291F" w:rsidRPr="000C423F" w14:paraId="68783DCF" w14:textId="6FA44CAA" w:rsidTr="004574F7">
        <w:trPr>
          <w:trHeight w:val="300"/>
        </w:trPr>
        <w:tc>
          <w:tcPr>
            <w:tcW w:w="488" w:type="dxa"/>
            <w:tcBorders>
              <w:top w:val="nil"/>
              <w:left w:val="double" w:sz="6" w:space="0" w:color="auto"/>
              <w:bottom w:val="single" w:sz="4" w:space="0" w:color="auto"/>
              <w:right w:val="single" w:sz="4" w:space="0" w:color="auto"/>
            </w:tcBorders>
            <w:shd w:val="clear" w:color="000000" w:fill="FFFFFF"/>
            <w:hideMark/>
          </w:tcPr>
          <w:p w14:paraId="2C19E3A8"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p w14:paraId="36F446CB" w14:textId="2B751375" w:rsidR="0074291F" w:rsidRPr="000C423F" w:rsidRDefault="0074291F" w:rsidP="0074291F">
            <w:pPr>
              <w:spacing w:after="0" w:line="240" w:lineRule="auto"/>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1</w:t>
            </w:r>
          </w:p>
        </w:tc>
        <w:tc>
          <w:tcPr>
            <w:tcW w:w="2064" w:type="dxa"/>
            <w:tcBorders>
              <w:top w:val="nil"/>
              <w:left w:val="nil"/>
              <w:bottom w:val="single" w:sz="4" w:space="0" w:color="auto"/>
              <w:right w:val="single" w:sz="4" w:space="0" w:color="auto"/>
            </w:tcBorders>
            <w:shd w:val="clear" w:color="000000" w:fill="FFFFFF"/>
            <w:vAlign w:val="center"/>
            <w:hideMark/>
          </w:tcPr>
          <w:p w14:paraId="544CAFC3" w14:textId="6C088CBE" w:rsidR="0074291F" w:rsidRPr="000C423F" w:rsidRDefault="0074291F" w:rsidP="0074291F">
            <w:pPr>
              <w:spacing w:after="0" w:line="240" w:lineRule="auto"/>
              <w:jc w:val="both"/>
              <w:rPr>
                <w:rFonts w:ascii="Arial Narrow" w:eastAsia="Times New Roman" w:hAnsi="Arial Narrow" w:cs="Calibri"/>
                <w:b/>
                <w:bCs/>
                <w:color w:val="000000"/>
                <w:sz w:val="20"/>
                <w:szCs w:val="20"/>
                <w:lang w:val="en-ZM" w:eastAsia="en-ZM"/>
              </w:rPr>
            </w:pPr>
            <w:r>
              <w:rPr>
                <w:rFonts w:ascii="Arial Narrow" w:hAnsi="Arial Narrow"/>
                <w:bCs/>
                <w:color w:val="000000"/>
                <w:sz w:val="16"/>
                <w:szCs w:val="16"/>
                <w:lang w:val="en-ZA"/>
              </w:rPr>
              <w:t>Result 1: Improved monitoring and resolution of Non-Tariff Barriers (NTBs)</w:t>
            </w:r>
          </w:p>
        </w:tc>
        <w:tc>
          <w:tcPr>
            <w:tcW w:w="790" w:type="dxa"/>
            <w:tcBorders>
              <w:top w:val="nil"/>
              <w:left w:val="nil"/>
              <w:bottom w:val="single" w:sz="4" w:space="0" w:color="auto"/>
              <w:right w:val="single" w:sz="4" w:space="0" w:color="auto"/>
            </w:tcBorders>
            <w:shd w:val="clear" w:color="000000" w:fill="FFFFFF"/>
            <w:vAlign w:val="bottom"/>
            <w:hideMark/>
          </w:tcPr>
          <w:p w14:paraId="1CFFB9C3" w14:textId="2F738004" w:rsidR="0074291F" w:rsidRPr="000C423F" w:rsidRDefault="0074291F" w:rsidP="0074291F">
            <w:pPr>
              <w:spacing w:after="0" w:line="240" w:lineRule="auto"/>
              <w:jc w:val="right"/>
              <w:rPr>
                <w:rFonts w:ascii="Arial Narrow" w:eastAsia="Times New Roman" w:hAnsi="Arial Narrow" w:cs="Calibri"/>
                <w:color w:val="000000"/>
                <w:sz w:val="16"/>
                <w:szCs w:val="16"/>
                <w:lang w:val="en-ZM" w:eastAsia="en-ZM"/>
              </w:rPr>
            </w:pPr>
          </w:p>
        </w:tc>
        <w:tc>
          <w:tcPr>
            <w:tcW w:w="873" w:type="dxa"/>
            <w:tcBorders>
              <w:top w:val="nil"/>
              <w:left w:val="nil"/>
              <w:bottom w:val="single" w:sz="4" w:space="0" w:color="auto"/>
              <w:right w:val="single" w:sz="4" w:space="0" w:color="auto"/>
            </w:tcBorders>
            <w:shd w:val="clear" w:color="000000" w:fill="FFFFFF"/>
            <w:vAlign w:val="bottom"/>
            <w:hideMark/>
          </w:tcPr>
          <w:p w14:paraId="1986333A" w14:textId="331812E5" w:rsidR="0074291F" w:rsidRPr="000C423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566,927 </w:t>
            </w:r>
          </w:p>
        </w:tc>
        <w:tc>
          <w:tcPr>
            <w:tcW w:w="721" w:type="dxa"/>
            <w:tcBorders>
              <w:top w:val="nil"/>
              <w:left w:val="nil"/>
              <w:bottom w:val="single" w:sz="4" w:space="0" w:color="auto"/>
              <w:right w:val="single" w:sz="4" w:space="0" w:color="auto"/>
            </w:tcBorders>
            <w:shd w:val="clear" w:color="000000" w:fill="FFFFFF"/>
            <w:vAlign w:val="bottom"/>
            <w:hideMark/>
          </w:tcPr>
          <w:p w14:paraId="4C67F330" w14:textId="489295D1" w:rsidR="0074291F" w:rsidRPr="000C423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   </w:t>
            </w:r>
          </w:p>
        </w:tc>
        <w:tc>
          <w:tcPr>
            <w:tcW w:w="983" w:type="dxa"/>
            <w:tcBorders>
              <w:top w:val="nil"/>
              <w:left w:val="nil"/>
              <w:bottom w:val="single" w:sz="4" w:space="0" w:color="auto"/>
              <w:right w:val="single" w:sz="4" w:space="0" w:color="auto"/>
            </w:tcBorders>
            <w:shd w:val="clear" w:color="000000" w:fill="FFFFFF"/>
            <w:vAlign w:val="bottom"/>
            <w:hideMark/>
          </w:tcPr>
          <w:p w14:paraId="4AE95E57" w14:textId="6703291F" w:rsidR="0074291F" w:rsidRPr="000C423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283,463.40 </w:t>
            </w:r>
          </w:p>
        </w:tc>
        <w:tc>
          <w:tcPr>
            <w:tcW w:w="800" w:type="dxa"/>
            <w:tcBorders>
              <w:top w:val="nil"/>
              <w:left w:val="nil"/>
              <w:bottom w:val="single" w:sz="4" w:space="0" w:color="auto"/>
              <w:right w:val="nil"/>
            </w:tcBorders>
            <w:shd w:val="clear" w:color="000000" w:fill="FFFFFF"/>
            <w:vAlign w:val="bottom"/>
            <w:hideMark/>
          </w:tcPr>
          <w:p w14:paraId="75D50AA4" w14:textId="5C0AF14F" w:rsidR="0074291F" w:rsidRPr="000C423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283,463 </w:t>
            </w:r>
          </w:p>
        </w:tc>
        <w:tc>
          <w:tcPr>
            <w:tcW w:w="795" w:type="dxa"/>
            <w:tcBorders>
              <w:top w:val="nil"/>
              <w:left w:val="double" w:sz="6" w:space="0" w:color="auto"/>
              <w:bottom w:val="single" w:sz="4" w:space="0" w:color="auto"/>
              <w:right w:val="single" w:sz="4" w:space="0" w:color="auto"/>
            </w:tcBorders>
            <w:shd w:val="clear" w:color="000000" w:fill="FFFFFF"/>
            <w:vAlign w:val="bottom"/>
            <w:hideMark/>
          </w:tcPr>
          <w:p w14:paraId="09062A05" w14:textId="44956A9E" w:rsidR="0074291F" w:rsidRPr="000C423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0%</w:t>
            </w:r>
          </w:p>
        </w:tc>
        <w:tc>
          <w:tcPr>
            <w:tcW w:w="863" w:type="dxa"/>
            <w:tcBorders>
              <w:top w:val="nil"/>
              <w:left w:val="nil"/>
              <w:bottom w:val="single" w:sz="4" w:space="0" w:color="auto"/>
              <w:right w:val="double" w:sz="6" w:space="0" w:color="auto"/>
            </w:tcBorders>
            <w:shd w:val="clear" w:color="000000" w:fill="FFFFFF"/>
            <w:vAlign w:val="bottom"/>
            <w:hideMark/>
          </w:tcPr>
          <w:p w14:paraId="4C86BFC8" w14:textId="1F0BDC76" w:rsidR="0074291F" w:rsidRPr="000C423F"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50%</w:t>
            </w:r>
          </w:p>
        </w:tc>
        <w:tc>
          <w:tcPr>
            <w:tcW w:w="911" w:type="dxa"/>
            <w:tcBorders>
              <w:top w:val="nil"/>
              <w:left w:val="nil"/>
              <w:bottom w:val="single" w:sz="4" w:space="0" w:color="auto"/>
              <w:right w:val="double" w:sz="6" w:space="0" w:color="auto"/>
            </w:tcBorders>
            <w:shd w:val="clear" w:color="000000" w:fill="FFFFFF"/>
            <w:vAlign w:val="bottom"/>
          </w:tcPr>
          <w:p w14:paraId="0D1E1896" w14:textId="3CF29D13"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(283,463)</w:t>
            </w:r>
          </w:p>
        </w:tc>
      </w:tr>
      <w:tr w:rsidR="0074291F" w:rsidRPr="000C423F" w14:paraId="733EBE3D" w14:textId="56A1EBA9" w:rsidTr="004574F7">
        <w:trPr>
          <w:trHeight w:val="300"/>
        </w:trPr>
        <w:tc>
          <w:tcPr>
            <w:tcW w:w="488" w:type="dxa"/>
            <w:tcBorders>
              <w:top w:val="nil"/>
              <w:left w:val="double" w:sz="6" w:space="0" w:color="auto"/>
              <w:bottom w:val="single" w:sz="4" w:space="0" w:color="auto"/>
              <w:right w:val="single" w:sz="4" w:space="0" w:color="auto"/>
            </w:tcBorders>
            <w:shd w:val="clear" w:color="000000" w:fill="FFFFFF"/>
          </w:tcPr>
          <w:p w14:paraId="2F49ED2E"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p>
          <w:p w14:paraId="298B32B7" w14:textId="421CD78D" w:rsidR="0074291F" w:rsidRPr="004061ED" w:rsidRDefault="0074291F" w:rsidP="0074291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2</w:t>
            </w:r>
          </w:p>
        </w:tc>
        <w:tc>
          <w:tcPr>
            <w:tcW w:w="2064" w:type="dxa"/>
            <w:tcBorders>
              <w:top w:val="nil"/>
              <w:left w:val="nil"/>
              <w:bottom w:val="single" w:sz="4" w:space="0" w:color="auto"/>
              <w:right w:val="single" w:sz="4" w:space="0" w:color="auto"/>
            </w:tcBorders>
            <w:shd w:val="clear" w:color="000000" w:fill="FFFFFF"/>
            <w:vAlign w:val="center"/>
          </w:tcPr>
          <w:p w14:paraId="5C256EBF" w14:textId="5CCF5ACD" w:rsidR="0074291F" w:rsidRPr="00C45CAA" w:rsidRDefault="0074291F" w:rsidP="0074291F">
            <w:pPr>
              <w:spacing w:after="0" w:line="240" w:lineRule="auto"/>
              <w:jc w:val="both"/>
              <w:rPr>
                <w:rFonts w:ascii="Arial Narrow" w:eastAsia="Times New Roman" w:hAnsi="Arial Narrow" w:cs="Calibri"/>
                <w:b/>
                <w:bCs/>
                <w:color w:val="000000"/>
                <w:sz w:val="20"/>
                <w:szCs w:val="20"/>
                <w:lang w:val="en-ZM" w:eastAsia="en-ZM"/>
              </w:rPr>
            </w:pPr>
            <w:r>
              <w:rPr>
                <w:rFonts w:ascii="Arial Narrow" w:hAnsi="Arial Narrow"/>
                <w:bCs/>
                <w:color w:val="000000"/>
                <w:sz w:val="16"/>
                <w:szCs w:val="16"/>
                <w:lang w:val="en-ZA"/>
              </w:rPr>
              <w:t>Result 2: Enhanced implementation of the WTO Trade Facilitation Agreement</w:t>
            </w:r>
          </w:p>
        </w:tc>
        <w:tc>
          <w:tcPr>
            <w:tcW w:w="790" w:type="dxa"/>
            <w:tcBorders>
              <w:top w:val="nil"/>
              <w:left w:val="nil"/>
              <w:bottom w:val="single" w:sz="4" w:space="0" w:color="auto"/>
              <w:right w:val="single" w:sz="4" w:space="0" w:color="auto"/>
            </w:tcBorders>
            <w:shd w:val="clear" w:color="000000" w:fill="FFFFFF"/>
            <w:vAlign w:val="bottom"/>
          </w:tcPr>
          <w:p w14:paraId="23166E2E" w14:textId="71285444" w:rsidR="0074291F" w:rsidRPr="00C45CAA" w:rsidRDefault="0074291F" w:rsidP="0074291F">
            <w:pPr>
              <w:spacing w:after="0" w:line="240" w:lineRule="auto"/>
              <w:jc w:val="right"/>
              <w:rPr>
                <w:rFonts w:ascii="Arial Narrow" w:eastAsia="Times New Roman" w:hAnsi="Arial Narrow" w:cs="Calibri"/>
                <w:color w:val="000000"/>
                <w:sz w:val="16"/>
                <w:szCs w:val="16"/>
                <w:lang w:val="en-GB" w:eastAsia="en-ZM"/>
              </w:rPr>
            </w:pPr>
          </w:p>
        </w:tc>
        <w:tc>
          <w:tcPr>
            <w:tcW w:w="873" w:type="dxa"/>
            <w:tcBorders>
              <w:top w:val="nil"/>
              <w:left w:val="nil"/>
              <w:bottom w:val="single" w:sz="4" w:space="0" w:color="auto"/>
              <w:right w:val="single" w:sz="4" w:space="0" w:color="auto"/>
            </w:tcBorders>
            <w:shd w:val="clear" w:color="000000" w:fill="FFFFFF"/>
            <w:vAlign w:val="bottom"/>
          </w:tcPr>
          <w:p w14:paraId="2E8D978E" w14:textId="0EA72268"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1,035,188 </w:t>
            </w:r>
          </w:p>
        </w:tc>
        <w:tc>
          <w:tcPr>
            <w:tcW w:w="721" w:type="dxa"/>
            <w:tcBorders>
              <w:top w:val="nil"/>
              <w:left w:val="nil"/>
              <w:bottom w:val="single" w:sz="4" w:space="0" w:color="auto"/>
              <w:right w:val="single" w:sz="4" w:space="0" w:color="auto"/>
            </w:tcBorders>
            <w:shd w:val="clear" w:color="000000" w:fill="FFFFFF"/>
            <w:vAlign w:val="bottom"/>
          </w:tcPr>
          <w:p w14:paraId="08FBE8F3" w14:textId="6B4A63DA"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8,216 </w:t>
            </w:r>
          </w:p>
        </w:tc>
        <w:tc>
          <w:tcPr>
            <w:tcW w:w="983" w:type="dxa"/>
            <w:tcBorders>
              <w:top w:val="nil"/>
              <w:left w:val="nil"/>
              <w:bottom w:val="single" w:sz="4" w:space="0" w:color="auto"/>
              <w:right w:val="single" w:sz="4" w:space="0" w:color="auto"/>
            </w:tcBorders>
            <w:shd w:val="clear" w:color="000000" w:fill="FFFFFF"/>
            <w:vAlign w:val="bottom"/>
          </w:tcPr>
          <w:p w14:paraId="432454E5" w14:textId="45C249C1"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517,594.00 </w:t>
            </w:r>
          </w:p>
        </w:tc>
        <w:tc>
          <w:tcPr>
            <w:tcW w:w="800" w:type="dxa"/>
            <w:tcBorders>
              <w:top w:val="nil"/>
              <w:left w:val="nil"/>
              <w:bottom w:val="single" w:sz="4" w:space="0" w:color="auto"/>
              <w:right w:val="nil"/>
            </w:tcBorders>
            <w:shd w:val="clear" w:color="000000" w:fill="FFFFFF"/>
            <w:vAlign w:val="bottom"/>
          </w:tcPr>
          <w:p w14:paraId="63D9ABE2" w14:textId="5696C0A2"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525,810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30A3DD03" w14:textId="0574B5F7" w:rsidR="0074291F" w:rsidRPr="00D532EC"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1%</w:t>
            </w:r>
          </w:p>
        </w:tc>
        <w:tc>
          <w:tcPr>
            <w:tcW w:w="863" w:type="dxa"/>
            <w:tcBorders>
              <w:top w:val="nil"/>
              <w:left w:val="nil"/>
              <w:bottom w:val="single" w:sz="4" w:space="0" w:color="auto"/>
              <w:right w:val="double" w:sz="6" w:space="0" w:color="auto"/>
            </w:tcBorders>
            <w:shd w:val="clear" w:color="000000" w:fill="FFFFFF"/>
            <w:vAlign w:val="bottom"/>
          </w:tcPr>
          <w:p w14:paraId="196282C0" w14:textId="59102C41" w:rsidR="0074291F" w:rsidRPr="00D532EC"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51%</w:t>
            </w:r>
          </w:p>
        </w:tc>
        <w:tc>
          <w:tcPr>
            <w:tcW w:w="911" w:type="dxa"/>
            <w:tcBorders>
              <w:top w:val="nil"/>
              <w:left w:val="nil"/>
              <w:bottom w:val="single" w:sz="4" w:space="0" w:color="auto"/>
              <w:right w:val="double" w:sz="6" w:space="0" w:color="auto"/>
            </w:tcBorders>
            <w:shd w:val="clear" w:color="000000" w:fill="FFFFFF"/>
            <w:vAlign w:val="bottom"/>
          </w:tcPr>
          <w:p w14:paraId="1CDAA2F0" w14:textId="011F0178"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(509,378)</w:t>
            </w:r>
          </w:p>
        </w:tc>
      </w:tr>
      <w:tr w:rsidR="0074291F" w:rsidRPr="000C423F" w14:paraId="41C94083" w14:textId="0AA9A449" w:rsidTr="004574F7">
        <w:trPr>
          <w:trHeight w:val="300"/>
        </w:trPr>
        <w:tc>
          <w:tcPr>
            <w:tcW w:w="488" w:type="dxa"/>
            <w:tcBorders>
              <w:top w:val="nil"/>
              <w:left w:val="double" w:sz="6" w:space="0" w:color="auto"/>
              <w:bottom w:val="single" w:sz="4" w:space="0" w:color="auto"/>
              <w:right w:val="single" w:sz="4" w:space="0" w:color="auto"/>
            </w:tcBorders>
            <w:shd w:val="clear" w:color="000000" w:fill="FFFFFF"/>
          </w:tcPr>
          <w:p w14:paraId="1CCFE395"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p>
          <w:p w14:paraId="6BA0DFBD" w14:textId="6E5A995A" w:rsidR="0074291F" w:rsidRPr="004061ED" w:rsidRDefault="0074291F" w:rsidP="0074291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3</w:t>
            </w:r>
          </w:p>
        </w:tc>
        <w:tc>
          <w:tcPr>
            <w:tcW w:w="2064" w:type="dxa"/>
            <w:tcBorders>
              <w:top w:val="nil"/>
              <w:left w:val="nil"/>
              <w:bottom w:val="single" w:sz="4" w:space="0" w:color="auto"/>
              <w:right w:val="single" w:sz="4" w:space="0" w:color="auto"/>
            </w:tcBorders>
            <w:shd w:val="clear" w:color="000000" w:fill="FFFFFF"/>
            <w:vAlign w:val="center"/>
          </w:tcPr>
          <w:p w14:paraId="15B44515" w14:textId="06E2249D" w:rsidR="0074291F" w:rsidRPr="00C45CAA" w:rsidRDefault="0074291F" w:rsidP="0074291F">
            <w:pPr>
              <w:spacing w:after="0" w:line="240" w:lineRule="auto"/>
              <w:jc w:val="both"/>
              <w:rPr>
                <w:rFonts w:ascii="Arial Narrow" w:eastAsia="Times New Roman" w:hAnsi="Arial Narrow" w:cs="Calibri"/>
                <w:b/>
                <w:bCs/>
                <w:color w:val="000000"/>
                <w:sz w:val="20"/>
                <w:szCs w:val="20"/>
                <w:lang w:val="en-ZM" w:eastAsia="en-ZM"/>
              </w:rPr>
            </w:pPr>
            <w:r>
              <w:rPr>
                <w:rFonts w:ascii="Arial Narrow" w:hAnsi="Arial Narrow"/>
                <w:bCs/>
                <w:color w:val="000000"/>
                <w:sz w:val="16"/>
                <w:szCs w:val="16"/>
                <w:lang w:val="en-ZA"/>
              </w:rPr>
              <w:t>Result 3: Strengthened Coordinated Border Management (CBM) and Trade and Transport facilitation</w:t>
            </w:r>
          </w:p>
        </w:tc>
        <w:tc>
          <w:tcPr>
            <w:tcW w:w="790" w:type="dxa"/>
            <w:tcBorders>
              <w:top w:val="nil"/>
              <w:left w:val="nil"/>
              <w:bottom w:val="single" w:sz="4" w:space="0" w:color="auto"/>
              <w:right w:val="single" w:sz="4" w:space="0" w:color="auto"/>
            </w:tcBorders>
            <w:shd w:val="clear" w:color="000000" w:fill="FFFFFF"/>
            <w:vAlign w:val="bottom"/>
          </w:tcPr>
          <w:p w14:paraId="3FCAEE00" w14:textId="05BA3A9E" w:rsidR="0074291F" w:rsidRPr="00C45CAA" w:rsidRDefault="0074291F" w:rsidP="0074291F">
            <w:pPr>
              <w:spacing w:after="0" w:line="240" w:lineRule="auto"/>
              <w:jc w:val="right"/>
              <w:rPr>
                <w:rFonts w:ascii="Arial Narrow" w:eastAsia="Times New Roman" w:hAnsi="Arial Narrow" w:cs="Calibri"/>
                <w:color w:val="000000"/>
                <w:sz w:val="16"/>
                <w:szCs w:val="16"/>
                <w:lang w:val="en-GB" w:eastAsia="en-ZM"/>
              </w:rPr>
            </w:pPr>
          </w:p>
        </w:tc>
        <w:tc>
          <w:tcPr>
            <w:tcW w:w="873" w:type="dxa"/>
            <w:tcBorders>
              <w:top w:val="nil"/>
              <w:left w:val="nil"/>
              <w:bottom w:val="single" w:sz="4" w:space="0" w:color="auto"/>
              <w:right w:val="single" w:sz="4" w:space="0" w:color="auto"/>
            </w:tcBorders>
            <w:shd w:val="clear" w:color="000000" w:fill="FFFFFF"/>
            <w:vAlign w:val="bottom"/>
          </w:tcPr>
          <w:p w14:paraId="671958C1" w14:textId="0FB01D36" w:rsidR="0074291F" w:rsidRPr="00C45CAA"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4,705,459 </w:t>
            </w:r>
          </w:p>
        </w:tc>
        <w:tc>
          <w:tcPr>
            <w:tcW w:w="721" w:type="dxa"/>
            <w:tcBorders>
              <w:top w:val="nil"/>
              <w:left w:val="nil"/>
              <w:bottom w:val="single" w:sz="4" w:space="0" w:color="auto"/>
              <w:right w:val="single" w:sz="4" w:space="0" w:color="auto"/>
            </w:tcBorders>
            <w:shd w:val="clear" w:color="000000" w:fill="FFFFFF"/>
            <w:vAlign w:val="bottom"/>
          </w:tcPr>
          <w:p w14:paraId="526ECD63" w14:textId="00158DFB"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31,193 </w:t>
            </w:r>
          </w:p>
        </w:tc>
        <w:tc>
          <w:tcPr>
            <w:tcW w:w="983" w:type="dxa"/>
            <w:tcBorders>
              <w:top w:val="nil"/>
              <w:left w:val="nil"/>
              <w:bottom w:val="single" w:sz="4" w:space="0" w:color="auto"/>
              <w:right w:val="single" w:sz="4" w:space="0" w:color="auto"/>
            </w:tcBorders>
            <w:shd w:val="clear" w:color="000000" w:fill="FFFFFF"/>
            <w:vAlign w:val="bottom"/>
          </w:tcPr>
          <w:p w14:paraId="7FCA30AB" w14:textId="1E104F93"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1,568,486.33 </w:t>
            </w:r>
          </w:p>
        </w:tc>
        <w:tc>
          <w:tcPr>
            <w:tcW w:w="800" w:type="dxa"/>
            <w:tcBorders>
              <w:top w:val="nil"/>
              <w:left w:val="nil"/>
              <w:bottom w:val="single" w:sz="4" w:space="0" w:color="auto"/>
              <w:right w:val="nil"/>
            </w:tcBorders>
            <w:shd w:val="clear" w:color="000000" w:fill="FFFFFF"/>
            <w:vAlign w:val="bottom"/>
          </w:tcPr>
          <w:p w14:paraId="0ABA0AEF" w14:textId="37634190"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1,599,679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1E421B37" w14:textId="541EBC7F" w:rsidR="0074291F" w:rsidRPr="00D532EC"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1%</w:t>
            </w:r>
          </w:p>
        </w:tc>
        <w:tc>
          <w:tcPr>
            <w:tcW w:w="863" w:type="dxa"/>
            <w:tcBorders>
              <w:top w:val="nil"/>
              <w:left w:val="nil"/>
              <w:bottom w:val="single" w:sz="4" w:space="0" w:color="auto"/>
              <w:right w:val="double" w:sz="6" w:space="0" w:color="auto"/>
            </w:tcBorders>
            <w:shd w:val="clear" w:color="000000" w:fill="FFFFFF"/>
            <w:vAlign w:val="bottom"/>
          </w:tcPr>
          <w:p w14:paraId="691ABCC8" w14:textId="33F20C49" w:rsidR="0074291F" w:rsidRPr="00D532EC"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34%</w:t>
            </w:r>
          </w:p>
        </w:tc>
        <w:tc>
          <w:tcPr>
            <w:tcW w:w="911" w:type="dxa"/>
            <w:tcBorders>
              <w:top w:val="nil"/>
              <w:left w:val="nil"/>
              <w:bottom w:val="single" w:sz="4" w:space="0" w:color="auto"/>
              <w:right w:val="double" w:sz="6" w:space="0" w:color="auto"/>
            </w:tcBorders>
            <w:shd w:val="clear" w:color="000000" w:fill="FFFFFF"/>
            <w:vAlign w:val="bottom"/>
          </w:tcPr>
          <w:p w14:paraId="291048DB" w14:textId="6704D2BC"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(3,105,780)</w:t>
            </w:r>
          </w:p>
        </w:tc>
      </w:tr>
      <w:tr w:rsidR="0074291F" w:rsidRPr="000C423F" w14:paraId="20F93218" w14:textId="70C7C635" w:rsidTr="004574F7">
        <w:trPr>
          <w:trHeight w:val="300"/>
        </w:trPr>
        <w:tc>
          <w:tcPr>
            <w:tcW w:w="488" w:type="dxa"/>
            <w:tcBorders>
              <w:top w:val="nil"/>
              <w:left w:val="double" w:sz="6" w:space="0" w:color="auto"/>
              <w:bottom w:val="single" w:sz="4" w:space="0" w:color="auto"/>
              <w:right w:val="single" w:sz="4" w:space="0" w:color="auto"/>
            </w:tcBorders>
            <w:shd w:val="clear" w:color="000000" w:fill="FFFFFF"/>
          </w:tcPr>
          <w:p w14:paraId="0F310E9E"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p>
          <w:p w14:paraId="048D8795" w14:textId="680A84E2" w:rsidR="0074291F" w:rsidRPr="004061ED" w:rsidRDefault="0074291F" w:rsidP="0074291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4</w:t>
            </w:r>
          </w:p>
        </w:tc>
        <w:tc>
          <w:tcPr>
            <w:tcW w:w="2064" w:type="dxa"/>
            <w:tcBorders>
              <w:top w:val="nil"/>
              <w:left w:val="nil"/>
              <w:bottom w:val="single" w:sz="4" w:space="0" w:color="auto"/>
              <w:right w:val="single" w:sz="4" w:space="0" w:color="auto"/>
            </w:tcBorders>
            <w:shd w:val="clear" w:color="000000" w:fill="FFFFFF"/>
            <w:vAlign w:val="center"/>
          </w:tcPr>
          <w:p w14:paraId="44970FE8" w14:textId="3302FA1B" w:rsidR="0074291F" w:rsidRPr="00C45CAA" w:rsidRDefault="0074291F" w:rsidP="0074291F">
            <w:pPr>
              <w:spacing w:after="0" w:line="240" w:lineRule="auto"/>
              <w:jc w:val="both"/>
              <w:rPr>
                <w:rFonts w:ascii="Arial Narrow" w:eastAsia="Times New Roman" w:hAnsi="Arial Narrow" w:cs="Calibri"/>
                <w:b/>
                <w:bCs/>
                <w:color w:val="000000"/>
                <w:sz w:val="20"/>
                <w:szCs w:val="20"/>
                <w:lang w:val="en-ZM" w:eastAsia="en-ZM"/>
              </w:rPr>
            </w:pPr>
            <w:r>
              <w:rPr>
                <w:rFonts w:ascii="Arial Narrow" w:hAnsi="Arial Narrow"/>
                <w:bCs/>
                <w:color w:val="000000"/>
                <w:sz w:val="16"/>
                <w:szCs w:val="16"/>
                <w:lang w:val="en-ZA"/>
              </w:rPr>
              <w:t>Result 4: Improved levels of implementation of harmonised, science based Sanitary and Phyto-sanitary (SPS) measures and Technical Standards</w:t>
            </w:r>
          </w:p>
        </w:tc>
        <w:tc>
          <w:tcPr>
            <w:tcW w:w="790" w:type="dxa"/>
            <w:tcBorders>
              <w:top w:val="nil"/>
              <w:left w:val="nil"/>
              <w:bottom w:val="single" w:sz="4" w:space="0" w:color="auto"/>
              <w:right w:val="single" w:sz="4" w:space="0" w:color="auto"/>
            </w:tcBorders>
            <w:shd w:val="clear" w:color="000000" w:fill="FFFFFF"/>
            <w:vAlign w:val="bottom"/>
          </w:tcPr>
          <w:p w14:paraId="724A1AA2" w14:textId="339639F1" w:rsidR="0074291F" w:rsidRPr="00C45CAA" w:rsidRDefault="0074291F" w:rsidP="0074291F">
            <w:pPr>
              <w:spacing w:after="0" w:line="240" w:lineRule="auto"/>
              <w:jc w:val="right"/>
              <w:rPr>
                <w:rFonts w:ascii="Arial Narrow" w:eastAsia="Times New Roman" w:hAnsi="Arial Narrow" w:cs="Calibri"/>
                <w:color w:val="000000"/>
                <w:sz w:val="16"/>
                <w:szCs w:val="16"/>
                <w:lang w:val="en-GB" w:eastAsia="en-ZM"/>
              </w:rPr>
            </w:pPr>
          </w:p>
        </w:tc>
        <w:tc>
          <w:tcPr>
            <w:tcW w:w="873" w:type="dxa"/>
            <w:tcBorders>
              <w:top w:val="nil"/>
              <w:left w:val="nil"/>
              <w:bottom w:val="single" w:sz="4" w:space="0" w:color="auto"/>
              <w:right w:val="single" w:sz="4" w:space="0" w:color="auto"/>
            </w:tcBorders>
            <w:shd w:val="clear" w:color="000000" w:fill="FFFFFF"/>
            <w:vAlign w:val="bottom"/>
          </w:tcPr>
          <w:p w14:paraId="1FECB383" w14:textId="3948E04E" w:rsidR="0074291F" w:rsidRPr="00C45CAA"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1,480,318 </w:t>
            </w:r>
          </w:p>
        </w:tc>
        <w:tc>
          <w:tcPr>
            <w:tcW w:w="721" w:type="dxa"/>
            <w:tcBorders>
              <w:top w:val="nil"/>
              <w:left w:val="nil"/>
              <w:bottom w:val="single" w:sz="4" w:space="0" w:color="auto"/>
              <w:right w:val="single" w:sz="4" w:space="0" w:color="auto"/>
            </w:tcBorders>
            <w:shd w:val="clear" w:color="000000" w:fill="FFFFFF"/>
            <w:vAlign w:val="bottom"/>
          </w:tcPr>
          <w:p w14:paraId="56AF6967" w14:textId="7BF835B6"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   </w:t>
            </w:r>
          </w:p>
        </w:tc>
        <w:tc>
          <w:tcPr>
            <w:tcW w:w="983" w:type="dxa"/>
            <w:tcBorders>
              <w:top w:val="nil"/>
              <w:left w:val="nil"/>
              <w:bottom w:val="single" w:sz="4" w:space="0" w:color="auto"/>
              <w:right w:val="single" w:sz="4" w:space="0" w:color="auto"/>
            </w:tcBorders>
            <w:shd w:val="clear" w:color="000000" w:fill="FFFFFF"/>
            <w:vAlign w:val="bottom"/>
          </w:tcPr>
          <w:p w14:paraId="226B72D4" w14:textId="110A7E98"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493,439.47 </w:t>
            </w:r>
          </w:p>
        </w:tc>
        <w:tc>
          <w:tcPr>
            <w:tcW w:w="800" w:type="dxa"/>
            <w:tcBorders>
              <w:top w:val="nil"/>
              <w:left w:val="nil"/>
              <w:bottom w:val="single" w:sz="4" w:space="0" w:color="auto"/>
              <w:right w:val="nil"/>
            </w:tcBorders>
            <w:shd w:val="clear" w:color="000000" w:fill="FFFFFF"/>
            <w:vAlign w:val="bottom"/>
          </w:tcPr>
          <w:p w14:paraId="0F2103C3" w14:textId="5E49F43F" w:rsidR="0074291F" w:rsidRPr="00B15A90"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 xml:space="preserve">          493,439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009A1407" w14:textId="71F2FEE4" w:rsidR="0074291F" w:rsidRPr="00C45CAA" w:rsidRDefault="0074291F" w:rsidP="0074291F">
            <w:pPr>
              <w:spacing w:after="0" w:line="240" w:lineRule="auto"/>
              <w:jc w:val="center"/>
              <w:rPr>
                <w:rFonts w:ascii="Arial Narrow" w:eastAsia="Times New Roman" w:hAnsi="Arial Narrow" w:cs="Calibri"/>
                <w:color w:val="000000"/>
                <w:sz w:val="16"/>
                <w:szCs w:val="16"/>
                <w:lang w:val="en-ZM" w:eastAsia="en-ZM"/>
              </w:rPr>
            </w:pPr>
            <w:r>
              <w:rPr>
                <w:rFonts w:ascii="Arial Narrow" w:hAnsi="Arial Narrow"/>
                <w:color w:val="000000"/>
                <w:sz w:val="16"/>
                <w:szCs w:val="16"/>
              </w:rPr>
              <w:t>0%</w:t>
            </w:r>
          </w:p>
        </w:tc>
        <w:tc>
          <w:tcPr>
            <w:tcW w:w="863" w:type="dxa"/>
            <w:tcBorders>
              <w:top w:val="nil"/>
              <w:left w:val="nil"/>
              <w:bottom w:val="single" w:sz="4" w:space="0" w:color="auto"/>
              <w:right w:val="double" w:sz="6" w:space="0" w:color="auto"/>
            </w:tcBorders>
            <w:shd w:val="clear" w:color="000000" w:fill="FFFFFF"/>
            <w:vAlign w:val="bottom"/>
          </w:tcPr>
          <w:p w14:paraId="31FF0F42" w14:textId="57D9F492" w:rsidR="0074291F" w:rsidRPr="00D532EC" w:rsidRDefault="0074291F" w:rsidP="0074291F">
            <w:pPr>
              <w:spacing w:after="0" w:line="240" w:lineRule="auto"/>
              <w:jc w:val="right"/>
              <w:rPr>
                <w:rFonts w:ascii="Arial Narrow" w:eastAsia="Times New Roman" w:hAnsi="Arial Narrow" w:cs="Calibri"/>
                <w:color w:val="000000"/>
                <w:sz w:val="16"/>
                <w:szCs w:val="16"/>
                <w:lang w:val="en-GB" w:eastAsia="en-ZM"/>
              </w:rPr>
            </w:pPr>
            <w:r>
              <w:rPr>
                <w:rFonts w:ascii="Arial Narrow" w:hAnsi="Arial Narrow"/>
                <w:color w:val="000000"/>
                <w:sz w:val="16"/>
                <w:szCs w:val="16"/>
              </w:rPr>
              <w:t>33%</w:t>
            </w:r>
          </w:p>
        </w:tc>
        <w:tc>
          <w:tcPr>
            <w:tcW w:w="911" w:type="dxa"/>
            <w:tcBorders>
              <w:top w:val="nil"/>
              <w:left w:val="nil"/>
              <w:bottom w:val="single" w:sz="4" w:space="0" w:color="auto"/>
              <w:right w:val="double" w:sz="6" w:space="0" w:color="auto"/>
            </w:tcBorders>
            <w:shd w:val="clear" w:color="000000" w:fill="FFFFFF"/>
            <w:vAlign w:val="bottom"/>
          </w:tcPr>
          <w:p w14:paraId="3B0BD87D" w14:textId="0EAC83E7"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(986,879)</w:t>
            </w:r>
          </w:p>
        </w:tc>
      </w:tr>
      <w:tr w:rsidR="0074291F" w:rsidRPr="000C423F" w14:paraId="0454A3A9" w14:textId="77777777" w:rsidTr="004574F7">
        <w:trPr>
          <w:trHeight w:val="300"/>
        </w:trPr>
        <w:tc>
          <w:tcPr>
            <w:tcW w:w="488" w:type="dxa"/>
            <w:tcBorders>
              <w:top w:val="nil"/>
              <w:left w:val="double" w:sz="6" w:space="0" w:color="auto"/>
              <w:bottom w:val="single" w:sz="4" w:space="0" w:color="auto"/>
              <w:right w:val="single" w:sz="4" w:space="0" w:color="auto"/>
            </w:tcBorders>
            <w:shd w:val="clear" w:color="000000" w:fill="FFFFFF"/>
          </w:tcPr>
          <w:p w14:paraId="40D2F6C5"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p>
        </w:tc>
        <w:tc>
          <w:tcPr>
            <w:tcW w:w="2064" w:type="dxa"/>
            <w:tcBorders>
              <w:top w:val="nil"/>
              <w:left w:val="nil"/>
              <w:bottom w:val="single" w:sz="4" w:space="0" w:color="auto"/>
              <w:right w:val="single" w:sz="4" w:space="0" w:color="auto"/>
            </w:tcBorders>
            <w:shd w:val="clear" w:color="000000" w:fill="FFFFFF"/>
            <w:vAlign w:val="center"/>
          </w:tcPr>
          <w:p w14:paraId="7851BD8D" w14:textId="22F1C00B" w:rsidR="0074291F" w:rsidRPr="00C45CAA" w:rsidRDefault="0074291F" w:rsidP="0074291F">
            <w:pPr>
              <w:spacing w:after="0" w:line="240" w:lineRule="auto"/>
              <w:jc w:val="both"/>
              <w:rPr>
                <w:rFonts w:ascii="Arial Narrow" w:eastAsia="Times New Roman" w:hAnsi="Arial Narrow" w:cs="Calibri"/>
                <w:b/>
                <w:bCs/>
                <w:color w:val="000000"/>
                <w:sz w:val="20"/>
                <w:szCs w:val="20"/>
                <w:lang w:val="en-ZM" w:eastAsia="en-ZM"/>
              </w:rPr>
            </w:pPr>
            <w:r>
              <w:rPr>
                <w:rFonts w:ascii="Arial Narrow" w:hAnsi="Arial Narrow"/>
                <w:bCs/>
                <w:color w:val="000000"/>
                <w:sz w:val="16"/>
                <w:szCs w:val="16"/>
                <w:lang w:val="en-ZA"/>
              </w:rPr>
              <w:t>Result 5: Enhanced Trade in services, free movement of persons, trade negotiations and trade promotions are supported.</w:t>
            </w:r>
          </w:p>
        </w:tc>
        <w:tc>
          <w:tcPr>
            <w:tcW w:w="790" w:type="dxa"/>
            <w:tcBorders>
              <w:top w:val="nil"/>
              <w:left w:val="nil"/>
              <w:bottom w:val="single" w:sz="4" w:space="0" w:color="auto"/>
              <w:right w:val="single" w:sz="4" w:space="0" w:color="auto"/>
            </w:tcBorders>
            <w:shd w:val="clear" w:color="000000" w:fill="FFFFFF"/>
            <w:vAlign w:val="bottom"/>
          </w:tcPr>
          <w:p w14:paraId="72E1D031" w14:textId="3DC449FB"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88,000 </w:t>
            </w:r>
          </w:p>
        </w:tc>
        <w:tc>
          <w:tcPr>
            <w:tcW w:w="873" w:type="dxa"/>
            <w:tcBorders>
              <w:top w:val="nil"/>
              <w:left w:val="nil"/>
              <w:bottom w:val="single" w:sz="4" w:space="0" w:color="auto"/>
              <w:right w:val="single" w:sz="4" w:space="0" w:color="auto"/>
            </w:tcBorders>
            <w:shd w:val="clear" w:color="000000" w:fill="FFFFFF"/>
            <w:vAlign w:val="bottom"/>
          </w:tcPr>
          <w:p w14:paraId="5BFCDF4F" w14:textId="575A8305"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2009180.8</w:t>
            </w:r>
          </w:p>
        </w:tc>
        <w:tc>
          <w:tcPr>
            <w:tcW w:w="721" w:type="dxa"/>
            <w:tcBorders>
              <w:top w:val="nil"/>
              <w:left w:val="nil"/>
              <w:bottom w:val="single" w:sz="4" w:space="0" w:color="auto"/>
              <w:right w:val="single" w:sz="4" w:space="0" w:color="auto"/>
            </w:tcBorders>
            <w:shd w:val="clear" w:color="000000" w:fill="FFFFFF"/>
            <w:vAlign w:val="bottom"/>
          </w:tcPr>
          <w:p w14:paraId="0F0FCF1D" w14:textId="18DF56DA"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417,149 </w:t>
            </w:r>
          </w:p>
        </w:tc>
        <w:tc>
          <w:tcPr>
            <w:tcW w:w="983" w:type="dxa"/>
            <w:tcBorders>
              <w:top w:val="nil"/>
              <w:left w:val="nil"/>
              <w:bottom w:val="single" w:sz="4" w:space="0" w:color="auto"/>
              <w:right w:val="single" w:sz="4" w:space="0" w:color="auto"/>
            </w:tcBorders>
            <w:shd w:val="clear" w:color="000000" w:fill="FFFFFF"/>
            <w:vAlign w:val="bottom"/>
          </w:tcPr>
          <w:p w14:paraId="6C895736" w14:textId="4EC6B21B"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1,339,454 </w:t>
            </w:r>
          </w:p>
        </w:tc>
        <w:tc>
          <w:tcPr>
            <w:tcW w:w="800" w:type="dxa"/>
            <w:tcBorders>
              <w:top w:val="nil"/>
              <w:left w:val="nil"/>
              <w:bottom w:val="single" w:sz="4" w:space="0" w:color="auto"/>
              <w:right w:val="nil"/>
            </w:tcBorders>
            <w:shd w:val="clear" w:color="000000" w:fill="FFFFFF"/>
            <w:vAlign w:val="bottom"/>
          </w:tcPr>
          <w:p w14:paraId="6BE39DFD" w14:textId="4E16E96E"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1,756,603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1630D7FE" w14:textId="61117508"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21%</w:t>
            </w:r>
          </w:p>
        </w:tc>
        <w:tc>
          <w:tcPr>
            <w:tcW w:w="863" w:type="dxa"/>
            <w:tcBorders>
              <w:top w:val="nil"/>
              <w:left w:val="nil"/>
              <w:bottom w:val="single" w:sz="4" w:space="0" w:color="auto"/>
              <w:right w:val="double" w:sz="6" w:space="0" w:color="auto"/>
            </w:tcBorders>
            <w:shd w:val="clear" w:color="000000" w:fill="FFFFFF"/>
            <w:vAlign w:val="bottom"/>
          </w:tcPr>
          <w:p w14:paraId="6ADAE018" w14:textId="6A9784C1"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87%</w:t>
            </w:r>
          </w:p>
        </w:tc>
        <w:tc>
          <w:tcPr>
            <w:tcW w:w="911" w:type="dxa"/>
            <w:tcBorders>
              <w:top w:val="nil"/>
              <w:left w:val="nil"/>
              <w:bottom w:val="single" w:sz="4" w:space="0" w:color="auto"/>
              <w:right w:val="double" w:sz="6" w:space="0" w:color="auto"/>
            </w:tcBorders>
            <w:shd w:val="clear" w:color="000000" w:fill="FFFFFF"/>
            <w:vAlign w:val="bottom"/>
          </w:tcPr>
          <w:p w14:paraId="69D3FB17" w14:textId="3964F084"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(252,578)</w:t>
            </w:r>
          </w:p>
        </w:tc>
      </w:tr>
      <w:tr w:rsidR="0074291F" w:rsidRPr="000C423F" w14:paraId="63B329F1" w14:textId="77777777" w:rsidTr="004574F7">
        <w:trPr>
          <w:trHeight w:val="300"/>
        </w:trPr>
        <w:tc>
          <w:tcPr>
            <w:tcW w:w="488" w:type="dxa"/>
            <w:tcBorders>
              <w:top w:val="nil"/>
              <w:left w:val="double" w:sz="6" w:space="0" w:color="auto"/>
              <w:bottom w:val="single" w:sz="4" w:space="0" w:color="auto"/>
              <w:right w:val="single" w:sz="4" w:space="0" w:color="auto"/>
            </w:tcBorders>
            <w:shd w:val="clear" w:color="000000" w:fill="FFFFFF"/>
          </w:tcPr>
          <w:p w14:paraId="1544BEFB"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p>
        </w:tc>
        <w:tc>
          <w:tcPr>
            <w:tcW w:w="2064" w:type="dxa"/>
            <w:tcBorders>
              <w:top w:val="nil"/>
              <w:left w:val="nil"/>
              <w:bottom w:val="single" w:sz="4" w:space="0" w:color="auto"/>
              <w:right w:val="single" w:sz="4" w:space="0" w:color="auto"/>
            </w:tcBorders>
            <w:shd w:val="clear" w:color="000000" w:fill="FFFFFF"/>
            <w:vAlign w:val="center"/>
          </w:tcPr>
          <w:p w14:paraId="095F5BD5" w14:textId="71FD7A31" w:rsidR="0074291F" w:rsidRPr="00C45CAA" w:rsidRDefault="0074291F" w:rsidP="0074291F">
            <w:pPr>
              <w:spacing w:after="0" w:line="240" w:lineRule="auto"/>
              <w:jc w:val="both"/>
              <w:rPr>
                <w:rFonts w:ascii="Arial Narrow" w:eastAsia="Times New Roman" w:hAnsi="Arial Narrow" w:cs="Calibri"/>
                <w:b/>
                <w:bCs/>
                <w:color w:val="000000"/>
                <w:sz w:val="20"/>
                <w:szCs w:val="20"/>
                <w:lang w:val="en-ZM" w:eastAsia="en-ZM"/>
              </w:rPr>
            </w:pPr>
            <w:r>
              <w:rPr>
                <w:rFonts w:ascii="Arial Narrow" w:hAnsi="Arial Narrow"/>
                <w:bCs/>
                <w:color w:val="000000"/>
                <w:sz w:val="16"/>
                <w:szCs w:val="16"/>
                <w:lang w:val="en-ZA"/>
              </w:rPr>
              <w:t>Staff and project management costs</w:t>
            </w:r>
          </w:p>
        </w:tc>
        <w:tc>
          <w:tcPr>
            <w:tcW w:w="790" w:type="dxa"/>
            <w:tcBorders>
              <w:top w:val="nil"/>
              <w:left w:val="nil"/>
              <w:bottom w:val="single" w:sz="4" w:space="0" w:color="auto"/>
              <w:right w:val="single" w:sz="4" w:space="0" w:color="auto"/>
            </w:tcBorders>
            <w:shd w:val="clear" w:color="000000" w:fill="FFFFFF"/>
            <w:vAlign w:val="bottom"/>
          </w:tcPr>
          <w:p w14:paraId="2A52BA25" w14:textId="77777777"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p>
        </w:tc>
        <w:tc>
          <w:tcPr>
            <w:tcW w:w="873" w:type="dxa"/>
            <w:tcBorders>
              <w:top w:val="nil"/>
              <w:left w:val="nil"/>
              <w:bottom w:val="single" w:sz="4" w:space="0" w:color="auto"/>
              <w:right w:val="single" w:sz="4" w:space="0" w:color="auto"/>
            </w:tcBorders>
            <w:shd w:val="clear" w:color="000000" w:fill="FFFFFF"/>
            <w:vAlign w:val="bottom"/>
          </w:tcPr>
          <w:p w14:paraId="42BBE705" w14:textId="2021B3E8"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2,098,529 </w:t>
            </w:r>
          </w:p>
        </w:tc>
        <w:tc>
          <w:tcPr>
            <w:tcW w:w="721" w:type="dxa"/>
            <w:tcBorders>
              <w:top w:val="nil"/>
              <w:left w:val="nil"/>
              <w:bottom w:val="single" w:sz="4" w:space="0" w:color="auto"/>
              <w:right w:val="single" w:sz="4" w:space="0" w:color="auto"/>
            </w:tcBorders>
            <w:shd w:val="clear" w:color="000000" w:fill="FFFFFF"/>
            <w:vAlign w:val="bottom"/>
          </w:tcPr>
          <w:p w14:paraId="3D9A92E4" w14:textId="2FC2C93F"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63 </w:t>
            </w:r>
          </w:p>
        </w:tc>
        <w:tc>
          <w:tcPr>
            <w:tcW w:w="983" w:type="dxa"/>
            <w:tcBorders>
              <w:top w:val="nil"/>
              <w:left w:val="nil"/>
              <w:bottom w:val="single" w:sz="4" w:space="0" w:color="auto"/>
              <w:right w:val="single" w:sz="4" w:space="0" w:color="auto"/>
            </w:tcBorders>
            <w:shd w:val="clear" w:color="000000" w:fill="FFFFFF"/>
            <w:vAlign w:val="bottom"/>
          </w:tcPr>
          <w:p w14:paraId="6E021A21" w14:textId="022E76D0"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299,789.91 </w:t>
            </w:r>
          </w:p>
        </w:tc>
        <w:tc>
          <w:tcPr>
            <w:tcW w:w="800" w:type="dxa"/>
            <w:tcBorders>
              <w:top w:val="nil"/>
              <w:left w:val="nil"/>
              <w:bottom w:val="single" w:sz="4" w:space="0" w:color="auto"/>
              <w:right w:val="nil"/>
            </w:tcBorders>
            <w:shd w:val="clear" w:color="000000" w:fill="FFFFFF"/>
            <w:vAlign w:val="bottom"/>
          </w:tcPr>
          <w:p w14:paraId="61B15401" w14:textId="0AA29AF5"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299,852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6AF0997B" w14:textId="1DE3A415"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0%</w:t>
            </w:r>
          </w:p>
        </w:tc>
        <w:tc>
          <w:tcPr>
            <w:tcW w:w="863" w:type="dxa"/>
            <w:tcBorders>
              <w:top w:val="nil"/>
              <w:left w:val="nil"/>
              <w:bottom w:val="single" w:sz="4" w:space="0" w:color="auto"/>
              <w:right w:val="double" w:sz="6" w:space="0" w:color="auto"/>
            </w:tcBorders>
            <w:shd w:val="clear" w:color="000000" w:fill="FFFFFF"/>
            <w:vAlign w:val="bottom"/>
          </w:tcPr>
          <w:p w14:paraId="2B3CEBD6" w14:textId="2E7F2EFB"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14%</w:t>
            </w:r>
          </w:p>
        </w:tc>
        <w:tc>
          <w:tcPr>
            <w:tcW w:w="911" w:type="dxa"/>
            <w:tcBorders>
              <w:top w:val="nil"/>
              <w:left w:val="nil"/>
              <w:bottom w:val="single" w:sz="4" w:space="0" w:color="auto"/>
              <w:right w:val="double" w:sz="6" w:space="0" w:color="auto"/>
            </w:tcBorders>
            <w:shd w:val="clear" w:color="000000" w:fill="FFFFFF"/>
            <w:vAlign w:val="bottom"/>
          </w:tcPr>
          <w:p w14:paraId="5B3036CC" w14:textId="3179A0E4"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(1,798,677)</w:t>
            </w:r>
          </w:p>
        </w:tc>
      </w:tr>
      <w:tr w:rsidR="0074291F" w:rsidRPr="000C423F" w14:paraId="5109F304" w14:textId="77777777" w:rsidTr="004574F7">
        <w:trPr>
          <w:trHeight w:val="300"/>
        </w:trPr>
        <w:tc>
          <w:tcPr>
            <w:tcW w:w="488" w:type="dxa"/>
            <w:tcBorders>
              <w:top w:val="nil"/>
              <w:left w:val="double" w:sz="6" w:space="0" w:color="auto"/>
              <w:bottom w:val="single" w:sz="4" w:space="0" w:color="auto"/>
              <w:right w:val="single" w:sz="4" w:space="0" w:color="auto"/>
            </w:tcBorders>
            <w:shd w:val="clear" w:color="000000" w:fill="FFFFFF"/>
          </w:tcPr>
          <w:p w14:paraId="337AD800"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p>
        </w:tc>
        <w:tc>
          <w:tcPr>
            <w:tcW w:w="2064" w:type="dxa"/>
            <w:tcBorders>
              <w:top w:val="nil"/>
              <w:left w:val="nil"/>
              <w:bottom w:val="single" w:sz="4" w:space="0" w:color="auto"/>
              <w:right w:val="single" w:sz="4" w:space="0" w:color="auto"/>
            </w:tcBorders>
            <w:shd w:val="clear" w:color="000000" w:fill="FFFFFF"/>
            <w:vAlign w:val="bottom"/>
          </w:tcPr>
          <w:p w14:paraId="0ABD40D5" w14:textId="7577F392" w:rsidR="0074291F" w:rsidRPr="00C45CAA" w:rsidRDefault="0074291F" w:rsidP="0074291F">
            <w:pPr>
              <w:spacing w:after="0" w:line="240" w:lineRule="auto"/>
              <w:jc w:val="both"/>
              <w:rPr>
                <w:rFonts w:ascii="Arial Narrow" w:eastAsia="Times New Roman" w:hAnsi="Arial Narrow" w:cs="Calibri"/>
                <w:b/>
                <w:bCs/>
                <w:color w:val="000000"/>
                <w:sz w:val="20"/>
                <w:szCs w:val="20"/>
                <w:lang w:val="en-ZM" w:eastAsia="en-ZM"/>
              </w:rPr>
            </w:pPr>
            <w:r>
              <w:rPr>
                <w:rFonts w:ascii="Arial Narrow" w:hAnsi="Arial Narrow"/>
                <w:color w:val="000000"/>
                <w:sz w:val="16"/>
                <w:szCs w:val="16"/>
              </w:rPr>
              <w:t xml:space="preserve">Remuneration </w:t>
            </w:r>
          </w:p>
        </w:tc>
        <w:tc>
          <w:tcPr>
            <w:tcW w:w="790" w:type="dxa"/>
            <w:tcBorders>
              <w:top w:val="nil"/>
              <w:left w:val="nil"/>
              <w:bottom w:val="single" w:sz="4" w:space="0" w:color="auto"/>
              <w:right w:val="single" w:sz="4" w:space="0" w:color="auto"/>
            </w:tcBorders>
            <w:shd w:val="clear" w:color="000000" w:fill="FFFFFF"/>
            <w:vAlign w:val="bottom"/>
          </w:tcPr>
          <w:p w14:paraId="196CF423" w14:textId="77777777"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p>
        </w:tc>
        <w:tc>
          <w:tcPr>
            <w:tcW w:w="873" w:type="dxa"/>
            <w:tcBorders>
              <w:top w:val="nil"/>
              <w:left w:val="nil"/>
              <w:bottom w:val="single" w:sz="4" w:space="0" w:color="auto"/>
              <w:right w:val="single" w:sz="4" w:space="0" w:color="auto"/>
            </w:tcBorders>
            <w:shd w:val="clear" w:color="000000" w:fill="FFFFFF"/>
            <w:vAlign w:val="bottom"/>
          </w:tcPr>
          <w:p w14:paraId="03DEA482" w14:textId="3AD3A33C"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832,692 </w:t>
            </w:r>
          </w:p>
        </w:tc>
        <w:tc>
          <w:tcPr>
            <w:tcW w:w="721" w:type="dxa"/>
            <w:tcBorders>
              <w:top w:val="nil"/>
              <w:left w:val="nil"/>
              <w:bottom w:val="single" w:sz="4" w:space="0" w:color="auto"/>
              <w:right w:val="single" w:sz="4" w:space="0" w:color="auto"/>
            </w:tcBorders>
            <w:shd w:val="clear" w:color="000000" w:fill="FFFFFF"/>
            <w:vAlign w:val="bottom"/>
          </w:tcPr>
          <w:p w14:paraId="0F59AEC6" w14:textId="77777777"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p>
        </w:tc>
        <w:tc>
          <w:tcPr>
            <w:tcW w:w="983" w:type="dxa"/>
            <w:tcBorders>
              <w:top w:val="nil"/>
              <w:left w:val="nil"/>
              <w:bottom w:val="single" w:sz="4" w:space="0" w:color="auto"/>
              <w:right w:val="single" w:sz="4" w:space="0" w:color="auto"/>
            </w:tcBorders>
            <w:shd w:val="clear" w:color="000000" w:fill="FFFFFF"/>
            <w:vAlign w:val="bottom"/>
          </w:tcPr>
          <w:p w14:paraId="7E92A776" w14:textId="3E496053"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315,156.00 </w:t>
            </w:r>
          </w:p>
        </w:tc>
        <w:tc>
          <w:tcPr>
            <w:tcW w:w="800" w:type="dxa"/>
            <w:tcBorders>
              <w:top w:val="nil"/>
              <w:left w:val="nil"/>
              <w:bottom w:val="single" w:sz="4" w:space="0" w:color="auto"/>
              <w:right w:val="nil"/>
            </w:tcBorders>
            <w:shd w:val="clear" w:color="000000" w:fill="FFFFFF"/>
            <w:vAlign w:val="bottom"/>
          </w:tcPr>
          <w:p w14:paraId="5B2F4949" w14:textId="672DAD06"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315,156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401B5341" w14:textId="4858C408"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0%</w:t>
            </w:r>
          </w:p>
        </w:tc>
        <w:tc>
          <w:tcPr>
            <w:tcW w:w="863" w:type="dxa"/>
            <w:tcBorders>
              <w:top w:val="nil"/>
              <w:left w:val="nil"/>
              <w:bottom w:val="single" w:sz="4" w:space="0" w:color="auto"/>
              <w:right w:val="double" w:sz="6" w:space="0" w:color="auto"/>
            </w:tcBorders>
            <w:shd w:val="clear" w:color="000000" w:fill="FFFFFF"/>
            <w:vAlign w:val="bottom"/>
          </w:tcPr>
          <w:p w14:paraId="7355C75E" w14:textId="1724148E"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38%</w:t>
            </w:r>
          </w:p>
        </w:tc>
        <w:tc>
          <w:tcPr>
            <w:tcW w:w="911" w:type="dxa"/>
            <w:tcBorders>
              <w:top w:val="nil"/>
              <w:left w:val="nil"/>
              <w:bottom w:val="single" w:sz="4" w:space="0" w:color="auto"/>
              <w:right w:val="double" w:sz="6" w:space="0" w:color="auto"/>
            </w:tcBorders>
            <w:shd w:val="clear" w:color="000000" w:fill="FFFFFF"/>
            <w:vAlign w:val="bottom"/>
          </w:tcPr>
          <w:p w14:paraId="3CCE4A6C" w14:textId="3B1D41DB"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(517,536)</w:t>
            </w:r>
          </w:p>
        </w:tc>
      </w:tr>
      <w:tr w:rsidR="0074291F" w:rsidRPr="000C423F" w14:paraId="508F8638" w14:textId="77777777" w:rsidTr="004574F7">
        <w:trPr>
          <w:trHeight w:val="300"/>
        </w:trPr>
        <w:tc>
          <w:tcPr>
            <w:tcW w:w="488" w:type="dxa"/>
            <w:tcBorders>
              <w:top w:val="nil"/>
              <w:left w:val="double" w:sz="6" w:space="0" w:color="auto"/>
              <w:bottom w:val="single" w:sz="4" w:space="0" w:color="auto"/>
              <w:right w:val="single" w:sz="4" w:space="0" w:color="auto"/>
            </w:tcBorders>
            <w:shd w:val="clear" w:color="000000" w:fill="FFFFFF"/>
          </w:tcPr>
          <w:p w14:paraId="6F25439B" w14:textId="77777777" w:rsidR="0074291F" w:rsidRDefault="0074291F" w:rsidP="0074291F">
            <w:pPr>
              <w:spacing w:after="0" w:line="240" w:lineRule="auto"/>
              <w:rPr>
                <w:rFonts w:ascii="Arial Narrow" w:eastAsia="Times New Roman" w:hAnsi="Arial Narrow" w:cs="Calibri"/>
                <w:b/>
                <w:bCs/>
                <w:color w:val="000000"/>
                <w:sz w:val="16"/>
                <w:szCs w:val="16"/>
                <w:lang w:val="en-ZM" w:eastAsia="en-ZM"/>
              </w:rPr>
            </w:pPr>
          </w:p>
        </w:tc>
        <w:tc>
          <w:tcPr>
            <w:tcW w:w="2064" w:type="dxa"/>
            <w:tcBorders>
              <w:top w:val="nil"/>
              <w:left w:val="nil"/>
              <w:bottom w:val="single" w:sz="4" w:space="0" w:color="auto"/>
              <w:right w:val="single" w:sz="4" w:space="0" w:color="auto"/>
            </w:tcBorders>
            <w:shd w:val="clear" w:color="000000" w:fill="FFFFFF"/>
            <w:vAlign w:val="center"/>
          </w:tcPr>
          <w:p w14:paraId="039F878D" w14:textId="77777777" w:rsidR="0074291F" w:rsidRPr="00C45CAA" w:rsidRDefault="0074291F" w:rsidP="0074291F">
            <w:pPr>
              <w:spacing w:after="0" w:line="240" w:lineRule="auto"/>
              <w:jc w:val="both"/>
              <w:rPr>
                <w:rFonts w:ascii="Arial Narrow" w:eastAsia="Times New Roman" w:hAnsi="Arial Narrow" w:cs="Calibri"/>
                <w:b/>
                <w:bCs/>
                <w:color w:val="000000"/>
                <w:sz w:val="20"/>
                <w:szCs w:val="20"/>
                <w:lang w:val="en-ZM" w:eastAsia="en-ZM"/>
              </w:rPr>
            </w:pPr>
          </w:p>
        </w:tc>
        <w:tc>
          <w:tcPr>
            <w:tcW w:w="790" w:type="dxa"/>
            <w:tcBorders>
              <w:top w:val="nil"/>
              <w:left w:val="nil"/>
              <w:bottom w:val="single" w:sz="4" w:space="0" w:color="auto"/>
              <w:right w:val="single" w:sz="4" w:space="0" w:color="auto"/>
            </w:tcBorders>
            <w:shd w:val="clear" w:color="000000" w:fill="FFFFFF"/>
            <w:vAlign w:val="bottom"/>
          </w:tcPr>
          <w:p w14:paraId="1A1FD19D" w14:textId="6C744CAB"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88,000 </w:t>
            </w:r>
          </w:p>
        </w:tc>
        <w:tc>
          <w:tcPr>
            <w:tcW w:w="873" w:type="dxa"/>
            <w:tcBorders>
              <w:top w:val="nil"/>
              <w:left w:val="nil"/>
              <w:bottom w:val="single" w:sz="4" w:space="0" w:color="auto"/>
              <w:right w:val="single" w:sz="4" w:space="0" w:color="auto"/>
            </w:tcBorders>
            <w:shd w:val="clear" w:color="000000" w:fill="FFFFFF"/>
            <w:vAlign w:val="bottom"/>
          </w:tcPr>
          <w:p w14:paraId="51B94003" w14:textId="44AE1B5B" w:rsidR="0074291F" w:rsidRPr="00C45CAA"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12,728,295 </w:t>
            </w:r>
          </w:p>
        </w:tc>
        <w:tc>
          <w:tcPr>
            <w:tcW w:w="721" w:type="dxa"/>
            <w:tcBorders>
              <w:top w:val="nil"/>
              <w:left w:val="nil"/>
              <w:bottom w:val="single" w:sz="4" w:space="0" w:color="auto"/>
              <w:right w:val="single" w:sz="4" w:space="0" w:color="auto"/>
            </w:tcBorders>
            <w:shd w:val="clear" w:color="000000" w:fill="FFFFFF"/>
            <w:vAlign w:val="bottom"/>
          </w:tcPr>
          <w:p w14:paraId="4AD993F9" w14:textId="665C46CD"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456,620 </w:t>
            </w:r>
          </w:p>
        </w:tc>
        <w:tc>
          <w:tcPr>
            <w:tcW w:w="983" w:type="dxa"/>
            <w:tcBorders>
              <w:top w:val="nil"/>
              <w:left w:val="nil"/>
              <w:bottom w:val="single" w:sz="4" w:space="0" w:color="auto"/>
              <w:right w:val="single" w:sz="4" w:space="0" w:color="auto"/>
            </w:tcBorders>
            <w:shd w:val="clear" w:color="000000" w:fill="FFFFFF"/>
            <w:vAlign w:val="bottom"/>
          </w:tcPr>
          <w:p w14:paraId="180E8BFB" w14:textId="7D151104"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4,817,383 </w:t>
            </w:r>
          </w:p>
        </w:tc>
        <w:tc>
          <w:tcPr>
            <w:tcW w:w="800" w:type="dxa"/>
            <w:tcBorders>
              <w:top w:val="nil"/>
              <w:left w:val="nil"/>
              <w:bottom w:val="single" w:sz="4" w:space="0" w:color="auto"/>
              <w:right w:val="nil"/>
            </w:tcBorders>
            <w:shd w:val="clear" w:color="000000" w:fill="FFFFFF"/>
            <w:vAlign w:val="bottom"/>
          </w:tcPr>
          <w:p w14:paraId="011CCB78" w14:textId="2C3AD1E5"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5,274,003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48B65F4F" w14:textId="67931961"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4%</w:t>
            </w:r>
          </w:p>
        </w:tc>
        <w:tc>
          <w:tcPr>
            <w:tcW w:w="863" w:type="dxa"/>
            <w:tcBorders>
              <w:top w:val="nil"/>
              <w:left w:val="nil"/>
              <w:bottom w:val="single" w:sz="4" w:space="0" w:color="auto"/>
              <w:right w:val="double" w:sz="6" w:space="0" w:color="auto"/>
            </w:tcBorders>
            <w:shd w:val="clear" w:color="000000" w:fill="FFFFFF"/>
            <w:vAlign w:val="bottom"/>
          </w:tcPr>
          <w:p w14:paraId="177333B1" w14:textId="11417A41"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41%</w:t>
            </w:r>
          </w:p>
        </w:tc>
        <w:tc>
          <w:tcPr>
            <w:tcW w:w="911" w:type="dxa"/>
            <w:tcBorders>
              <w:top w:val="nil"/>
              <w:left w:val="nil"/>
              <w:bottom w:val="single" w:sz="4" w:space="0" w:color="auto"/>
              <w:right w:val="double" w:sz="6" w:space="0" w:color="auto"/>
            </w:tcBorders>
            <w:shd w:val="clear" w:color="000000" w:fill="FFFFFF"/>
            <w:vAlign w:val="bottom"/>
          </w:tcPr>
          <w:p w14:paraId="3992D203" w14:textId="17FBC531" w:rsidR="0074291F" w:rsidRDefault="0074291F" w:rsidP="0074291F">
            <w:pPr>
              <w:spacing w:after="0" w:line="240" w:lineRule="auto"/>
              <w:jc w:val="right"/>
              <w:rPr>
                <w:rFonts w:ascii="Arial Narrow" w:eastAsia="Times New Roman" w:hAnsi="Arial Narrow" w:cs="Calibri"/>
                <w:color w:val="000000"/>
                <w:sz w:val="16"/>
                <w:szCs w:val="16"/>
                <w:lang w:val="en-ZM" w:eastAsia="en-ZM"/>
              </w:rPr>
            </w:pPr>
            <w:r>
              <w:rPr>
                <w:rFonts w:ascii="Arial Narrow" w:hAnsi="Arial Narrow"/>
                <w:color w:val="000000"/>
                <w:sz w:val="16"/>
                <w:szCs w:val="16"/>
              </w:rPr>
              <w:t xml:space="preserve">      (7,454,291)</w:t>
            </w:r>
          </w:p>
        </w:tc>
      </w:tr>
      <w:tr w:rsidR="0074291F" w:rsidRPr="000C423F" w14:paraId="630537FA" w14:textId="507D095A" w:rsidTr="004574F7">
        <w:trPr>
          <w:trHeight w:val="97"/>
        </w:trPr>
        <w:tc>
          <w:tcPr>
            <w:tcW w:w="488" w:type="dxa"/>
            <w:tcBorders>
              <w:top w:val="nil"/>
              <w:left w:val="double" w:sz="6" w:space="0" w:color="auto"/>
              <w:bottom w:val="single" w:sz="4" w:space="0" w:color="auto"/>
              <w:right w:val="single" w:sz="4" w:space="0" w:color="auto"/>
            </w:tcBorders>
            <w:shd w:val="clear" w:color="000000" w:fill="FFFFFF"/>
            <w:hideMark/>
          </w:tcPr>
          <w:p w14:paraId="67E82C74" w14:textId="77777777" w:rsidR="0074291F" w:rsidRPr="000C423F" w:rsidRDefault="0074291F" w:rsidP="0074291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2064" w:type="dxa"/>
            <w:tcBorders>
              <w:top w:val="nil"/>
              <w:left w:val="nil"/>
              <w:bottom w:val="single" w:sz="4" w:space="0" w:color="auto"/>
              <w:right w:val="single" w:sz="4" w:space="0" w:color="auto"/>
            </w:tcBorders>
            <w:shd w:val="clear" w:color="000000" w:fill="FFFFFF"/>
            <w:vAlign w:val="center"/>
          </w:tcPr>
          <w:p w14:paraId="50FE3A74" w14:textId="785B5497" w:rsidR="0074291F" w:rsidRPr="0074291F" w:rsidRDefault="0074291F" w:rsidP="0074291F">
            <w:pPr>
              <w:jc w:val="both"/>
              <w:rPr>
                <w:rFonts w:ascii="Arial Narrow" w:eastAsia="Times New Roman" w:hAnsi="Arial Narrow" w:cs="Calibri"/>
                <w:b/>
                <w:bCs/>
                <w:color w:val="000000"/>
                <w:sz w:val="20"/>
                <w:szCs w:val="20"/>
                <w:lang w:val="en-ZA" w:eastAsia="en-ZM"/>
              </w:rPr>
            </w:pPr>
            <w:r>
              <w:rPr>
                <w:rFonts w:ascii="Arial Narrow" w:eastAsia="Times New Roman" w:hAnsi="Arial Narrow" w:cs="Calibri"/>
                <w:b/>
                <w:bCs/>
                <w:color w:val="000000"/>
                <w:sz w:val="20"/>
                <w:szCs w:val="20"/>
                <w:lang w:val="en-ZA" w:eastAsia="en-ZM"/>
              </w:rPr>
              <w:t>Total</w:t>
            </w:r>
          </w:p>
        </w:tc>
        <w:tc>
          <w:tcPr>
            <w:tcW w:w="790" w:type="dxa"/>
            <w:tcBorders>
              <w:top w:val="nil"/>
              <w:left w:val="nil"/>
              <w:bottom w:val="single" w:sz="4" w:space="0" w:color="auto"/>
              <w:right w:val="single" w:sz="4" w:space="0" w:color="auto"/>
            </w:tcBorders>
            <w:shd w:val="clear" w:color="000000" w:fill="FFFFFF"/>
            <w:vAlign w:val="bottom"/>
          </w:tcPr>
          <w:p w14:paraId="44154596" w14:textId="6B24BE3B" w:rsidR="0074291F" w:rsidRPr="0074291F" w:rsidRDefault="0074291F" w:rsidP="0074291F">
            <w:pPr>
              <w:spacing w:after="0" w:line="240" w:lineRule="auto"/>
              <w:jc w:val="right"/>
              <w:rPr>
                <w:rFonts w:ascii="Arial Narrow" w:eastAsia="Times New Roman" w:hAnsi="Arial Narrow" w:cs="Calibri"/>
                <w:b/>
                <w:bCs/>
                <w:color w:val="000000"/>
                <w:sz w:val="16"/>
                <w:szCs w:val="16"/>
                <w:lang w:val="en-ZM" w:eastAsia="en-ZM"/>
              </w:rPr>
            </w:pPr>
            <w:r w:rsidRPr="0074291F">
              <w:rPr>
                <w:rFonts w:ascii="Arial Narrow" w:hAnsi="Arial Narrow"/>
                <w:b/>
                <w:color w:val="000000"/>
                <w:sz w:val="16"/>
                <w:szCs w:val="16"/>
              </w:rPr>
              <w:t xml:space="preserve">                          88,000 </w:t>
            </w:r>
          </w:p>
        </w:tc>
        <w:tc>
          <w:tcPr>
            <w:tcW w:w="873" w:type="dxa"/>
            <w:tcBorders>
              <w:top w:val="nil"/>
              <w:left w:val="nil"/>
              <w:bottom w:val="single" w:sz="4" w:space="0" w:color="auto"/>
              <w:right w:val="single" w:sz="4" w:space="0" w:color="auto"/>
            </w:tcBorders>
            <w:shd w:val="clear" w:color="000000" w:fill="FFFFFF"/>
            <w:vAlign w:val="bottom"/>
          </w:tcPr>
          <w:p w14:paraId="7F1B7656" w14:textId="7BA2C61B" w:rsidR="0074291F" w:rsidRPr="0074291F" w:rsidRDefault="0074291F" w:rsidP="0074291F">
            <w:pPr>
              <w:spacing w:after="0" w:line="240" w:lineRule="auto"/>
              <w:jc w:val="right"/>
              <w:rPr>
                <w:rFonts w:ascii="Arial Narrow" w:eastAsia="Times New Roman" w:hAnsi="Arial Narrow" w:cs="Calibri"/>
                <w:b/>
                <w:bCs/>
                <w:color w:val="000000"/>
                <w:sz w:val="16"/>
                <w:szCs w:val="16"/>
                <w:lang w:val="en-ZM" w:eastAsia="en-ZM"/>
              </w:rPr>
            </w:pPr>
            <w:r w:rsidRPr="0074291F">
              <w:rPr>
                <w:rFonts w:ascii="Arial Narrow" w:hAnsi="Arial Narrow"/>
                <w:b/>
                <w:color w:val="000000"/>
                <w:sz w:val="16"/>
                <w:szCs w:val="16"/>
              </w:rPr>
              <w:t xml:space="preserve">     12,728,295 </w:t>
            </w:r>
          </w:p>
        </w:tc>
        <w:tc>
          <w:tcPr>
            <w:tcW w:w="721" w:type="dxa"/>
            <w:tcBorders>
              <w:top w:val="nil"/>
              <w:left w:val="nil"/>
              <w:bottom w:val="single" w:sz="4" w:space="0" w:color="auto"/>
              <w:right w:val="single" w:sz="4" w:space="0" w:color="auto"/>
            </w:tcBorders>
            <w:shd w:val="clear" w:color="000000" w:fill="FFFFFF"/>
            <w:vAlign w:val="bottom"/>
          </w:tcPr>
          <w:p w14:paraId="5B97C231" w14:textId="2E96F092" w:rsidR="0074291F" w:rsidRPr="0074291F" w:rsidRDefault="0074291F" w:rsidP="0074291F">
            <w:pPr>
              <w:spacing w:after="0" w:line="240" w:lineRule="auto"/>
              <w:jc w:val="right"/>
              <w:rPr>
                <w:rFonts w:ascii="Arial Narrow" w:eastAsia="Times New Roman" w:hAnsi="Arial Narrow" w:cs="Calibri"/>
                <w:b/>
                <w:bCs/>
                <w:color w:val="000000"/>
                <w:sz w:val="16"/>
                <w:szCs w:val="16"/>
                <w:lang w:val="en-ZM" w:eastAsia="en-ZM"/>
              </w:rPr>
            </w:pPr>
            <w:r w:rsidRPr="0074291F">
              <w:rPr>
                <w:rFonts w:ascii="Arial Narrow" w:hAnsi="Arial Narrow"/>
                <w:b/>
                <w:color w:val="000000"/>
                <w:sz w:val="16"/>
                <w:szCs w:val="16"/>
              </w:rPr>
              <w:t xml:space="preserve">          456,620 </w:t>
            </w:r>
          </w:p>
        </w:tc>
        <w:tc>
          <w:tcPr>
            <w:tcW w:w="983" w:type="dxa"/>
            <w:tcBorders>
              <w:top w:val="nil"/>
              <w:left w:val="nil"/>
              <w:bottom w:val="single" w:sz="4" w:space="0" w:color="auto"/>
              <w:right w:val="single" w:sz="4" w:space="0" w:color="auto"/>
            </w:tcBorders>
            <w:shd w:val="clear" w:color="000000" w:fill="FFFFFF"/>
            <w:vAlign w:val="bottom"/>
          </w:tcPr>
          <w:p w14:paraId="6801C2DE" w14:textId="6F97E721" w:rsidR="0074291F" w:rsidRPr="0074291F" w:rsidRDefault="0074291F" w:rsidP="0074291F">
            <w:pPr>
              <w:spacing w:after="0" w:line="240" w:lineRule="auto"/>
              <w:jc w:val="right"/>
              <w:rPr>
                <w:rFonts w:ascii="Arial Narrow" w:eastAsia="Times New Roman" w:hAnsi="Arial Narrow" w:cs="Calibri"/>
                <w:b/>
                <w:bCs/>
                <w:color w:val="000000"/>
                <w:sz w:val="16"/>
                <w:szCs w:val="16"/>
                <w:lang w:val="en-ZM" w:eastAsia="en-ZM"/>
              </w:rPr>
            </w:pPr>
            <w:r w:rsidRPr="0074291F">
              <w:rPr>
                <w:rFonts w:ascii="Arial Narrow" w:hAnsi="Arial Narrow"/>
                <w:b/>
                <w:color w:val="000000"/>
                <w:sz w:val="16"/>
                <w:szCs w:val="16"/>
              </w:rPr>
              <w:t xml:space="preserve">       4,817,383 </w:t>
            </w:r>
          </w:p>
        </w:tc>
        <w:tc>
          <w:tcPr>
            <w:tcW w:w="800" w:type="dxa"/>
            <w:tcBorders>
              <w:top w:val="nil"/>
              <w:left w:val="nil"/>
              <w:bottom w:val="single" w:sz="4" w:space="0" w:color="auto"/>
              <w:right w:val="nil"/>
            </w:tcBorders>
            <w:shd w:val="clear" w:color="000000" w:fill="FFFFFF"/>
            <w:vAlign w:val="bottom"/>
          </w:tcPr>
          <w:p w14:paraId="269D9C29" w14:textId="318AD1E1" w:rsidR="0074291F" w:rsidRPr="0074291F" w:rsidRDefault="0074291F" w:rsidP="0074291F">
            <w:pPr>
              <w:spacing w:after="0" w:line="240" w:lineRule="auto"/>
              <w:jc w:val="right"/>
              <w:rPr>
                <w:rFonts w:ascii="Arial Narrow" w:eastAsia="Times New Roman" w:hAnsi="Arial Narrow" w:cs="Calibri"/>
                <w:b/>
                <w:bCs/>
                <w:color w:val="000000"/>
                <w:sz w:val="16"/>
                <w:szCs w:val="16"/>
                <w:lang w:val="en-ZM" w:eastAsia="en-ZM"/>
              </w:rPr>
            </w:pPr>
            <w:r w:rsidRPr="0074291F">
              <w:rPr>
                <w:rFonts w:ascii="Arial Narrow" w:hAnsi="Arial Narrow"/>
                <w:b/>
                <w:color w:val="000000"/>
                <w:sz w:val="16"/>
                <w:szCs w:val="16"/>
              </w:rPr>
              <w:t xml:space="preserve">       5,274,003 </w:t>
            </w:r>
          </w:p>
        </w:tc>
        <w:tc>
          <w:tcPr>
            <w:tcW w:w="795" w:type="dxa"/>
            <w:tcBorders>
              <w:top w:val="nil"/>
              <w:left w:val="double" w:sz="6" w:space="0" w:color="auto"/>
              <w:bottom w:val="single" w:sz="4" w:space="0" w:color="auto"/>
              <w:right w:val="single" w:sz="4" w:space="0" w:color="auto"/>
            </w:tcBorders>
            <w:shd w:val="clear" w:color="000000" w:fill="FFFFFF"/>
            <w:vAlign w:val="bottom"/>
          </w:tcPr>
          <w:p w14:paraId="077C9EC0" w14:textId="35A26600" w:rsidR="0074291F" w:rsidRPr="0074291F" w:rsidRDefault="0074291F" w:rsidP="0074291F">
            <w:pPr>
              <w:spacing w:after="0" w:line="240" w:lineRule="auto"/>
              <w:jc w:val="right"/>
              <w:rPr>
                <w:rFonts w:ascii="Arial Narrow" w:eastAsia="Times New Roman" w:hAnsi="Arial Narrow" w:cs="Calibri"/>
                <w:b/>
                <w:bCs/>
                <w:color w:val="000000"/>
                <w:sz w:val="16"/>
                <w:szCs w:val="16"/>
                <w:lang w:val="en-GB" w:eastAsia="en-ZM"/>
              </w:rPr>
            </w:pPr>
            <w:r w:rsidRPr="0074291F">
              <w:rPr>
                <w:rFonts w:ascii="Arial Narrow" w:hAnsi="Arial Narrow"/>
                <w:b/>
                <w:color w:val="000000"/>
                <w:sz w:val="16"/>
                <w:szCs w:val="16"/>
              </w:rPr>
              <w:t>4%</w:t>
            </w:r>
          </w:p>
        </w:tc>
        <w:tc>
          <w:tcPr>
            <w:tcW w:w="863" w:type="dxa"/>
            <w:tcBorders>
              <w:top w:val="nil"/>
              <w:left w:val="nil"/>
              <w:bottom w:val="single" w:sz="4" w:space="0" w:color="auto"/>
              <w:right w:val="double" w:sz="6" w:space="0" w:color="auto"/>
            </w:tcBorders>
            <w:shd w:val="clear" w:color="000000" w:fill="FFFFFF"/>
            <w:vAlign w:val="bottom"/>
          </w:tcPr>
          <w:p w14:paraId="52E2D4A9" w14:textId="322FEFDC" w:rsidR="0074291F" w:rsidRPr="0074291F" w:rsidRDefault="0074291F" w:rsidP="0074291F">
            <w:pPr>
              <w:spacing w:after="0" w:line="240" w:lineRule="auto"/>
              <w:jc w:val="right"/>
              <w:rPr>
                <w:rFonts w:ascii="Arial Narrow" w:eastAsia="Times New Roman" w:hAnsi="Arial Narrow" w:cs="Calibri"/>
                <w:b/>
                <w:bCs/>
                <w:color w:val="000000"/>
                <w:sz w:val="16"/>
                <w:szCs w:val="16"/>
                <w:lang w:val="en-GB" w:eastAsia="en-ZM"/>
              </w:rPr>
            </w:pPr>
            <w:r w:rsidRPr="0074291F">
              <w:rPr>
                <w:rFonts w:ascii="Arial Narrow" w:hAnsi="Arial Narrow"/>
                <w:b/>
                <w:color w:val="000000"/>
                <w:sz w:val="16"/>
                <w:szCs w:val="16"/>
              </w:rPr>
              <w:t>41%</w:t>
            </w:r>
          </w:p>
        </w:tc>
        <w:tc>
          <w:tcPr>
            <w:tcW w:w="911" w:type="dxa"/>
            <w:tcBorders>
              <w:top w:val="nil"/>
              <w:left w:val="nil"/>
              <w:bottom w:val="single" w:sz="4" w:space="0" w:color="auto"/>
              <w:right w:val="double" w:sz="6" w:space="0" w:color="auto"/>
            </w:tcBorders>
            <w:shd w:val="clear" w:color="000000" w:fill="FFFFFF"/>
            <w:vAlign w:val="bottom"/>
          </w:tcPr>
          <w:p w14:paraId="67DCA8A5" w14:textId="741186F0" w:rsidR="0074291F" w:rsidRPr="0074291F" w:rsidRDefault="0074291F" w:rsidP="0074291F">
            <w:pPr>
              <w:spacing w:after="0" w:line="240" w:lineRule="auto"/>
              <w:jc w:val="right"/>
              <w:rPr>
                <w:rFonts w:ascii="Arial Narrow" w:eastAsia="Times New Roman" w:hAnsi="Arial Narrow" w:cs="Calibri"/>
                <w:b/>
                <w:bCs/>
                <w:color w:val="000000"/>
                <w:sz w:val="16"/>
                <w:szCs w:val="16"/>
                <w:lang w:val="en-ZM" w:eastAsia="en-ZM"/>
              </w:rPr>
            </w:pPr>
            <w:r w:rsidRPr="0074291F">
              <w:rPr>
                <w:rFonts w:ascii="Arial Narrow" w:hAnsi="Arial Narrow"/>
                <w:b/>
                <w:color w:val="000000"/>
                <w:sz w:val="16"/>
                <w:szCs w:val="16"/>
              </w:rPr>
              <w:t xml:space="preserve">      (7,454,291)</w:t>
            </w:r>
          </w:p>
        </w:tc>
      </w:tr>
    </w:tbl>
    <w:p w14:paraId="7E8C6BC8" w14:textId="3AC8DE7E" w:rsidR="00440E12" w:rsidRPr="0088042E" w:rsidRDefault="00440E12">
      <w:pPr>
        <w:rPr>
          <w:rFonts w:ascii="Arial" w:hAnsi="Arial" w:cs="Arial"/>
          <w:b/>
          <w:bCs/>
          <w:sz w:val="24"/>
          <w:szCs w:val="24"/>
          <w:lang w:val="en-GB"/>
        </w:rPr>
      </w:pPr>
    </w:p>
    <w:p w14:paraId="20AC7F5C" w14:textId="1C24D8FC" w:rsidR="003A7C2F" w:rsidRDefault="0075740F" w:rsidP="00C15EE7">
      <w:pPr>
        <w:jc w:val="both"/>
        <w:rPr>
          <w:rFonts w:ascii="Arial" w:hAnsi="Arial" w:cs="Arial"/>
          <w:sz w:val="24"/>
          <w:szCs w:val="24"/>
          <w:lang w:val="en-GB"/>
        </w:rPr>
      </w:pPr>
      <w:r>
        <w:rPr>
          <w:rFonts w:ascii="Arial" w:hAnsi="Arial" w:cs="Arial"/>
          <w:sz w:val="24"/>
          <w:szCs w:val="24"/>
          <w:lang w:val="en-GB"/>
        </w:rPr>
        <w:t xml:space="preserve">The low absorption of 4% was </w:t>
      </w:r>
      <w:proofErr w:type="gramStart"/>
      <w:r>
        <w:rPr>
          <w:rFonts w:ascii="Arial" w:hAnsi="Arial" w:cs="Arial"/>
          <w:sz w:val="24"/>
          <w:szCs w:val="24"/>
          <w:lang w:val="en-GB"/>
        </w:rPr>
        <w:t>due to the fact that</w:t>
      </w:r>
      <w:proofErr w:type="gramEnd"/>
      <w:r>
        <w:rPr>
          <w:rFonts w:ascii="Arial" w:hAnsi="Arial" w:cs="Arial"/>
          <w:sz w:val="24"/>
          <w:szCs w:val="24"/>
          <w:lang w:val="en-GB"/>
        </w:rPr>
        <w:t xml:space="preserve"> the programme commenced implementation in December 2018 and only completed recruitment of programme staff in October 2019. The work undertaken to June 2019 was undertaken by the existing staff in the COMESA Secretariat. The absorption rate is forecasted to increase as all the three co-</w:t>
      </w:r>
      <w:proofErr w:type="spellStart"/>
      <w:r>
        <w:rPr>
          <w:rFonts w:ascii="Arial" w:hAnsi="Arial" w:cs="Arial"/>
          <w:sz w:val="24"/>
          <w:szCs w:val="24"/>
          <w:lang w:val="en-GB"/>
        </w:rPr>
        <w:t>delegatees</w:t>
      </w:r>
      <w:proofErr w:type="spellEnd"/>
      <w:r>
        <w:rPr>
          <w:rFonts w:ascii="Arial" w:hAnsi="Arial" w:cs="Arial"/>
          <w:sz w:val="24"/>
          <w:szCs w:val="24"/>
          <w:lang w:val="en-GB"/>
        </w:rPr>
        <w:t xml:space="preserve"> </w:t>
      </w:r>
      <w:r w:rsidR="00793B2C">
        <w:rPr>
          <w:rFonts w:ascii="Arial" w:hAnsi="Arial" w:cs="Arial"/>
          <w:sz w:val="24"/>
          <w:szCs w:val="24"/>
          <w:lang w:val="en-GB"/>
        </w:rPr>
        <w:t xml:space="preserve">UNCTAD and FAO, </w:t>
      </w:r>
      <w:r>
        <w:rPr>
          <w:rFonts w:ascii="Arial" w:hAnsi="Arial" w:cs="Arial"/>
          <w:sz w:val="24"/>
          <w:szCs w:val="24"/>
          <w:lang w:val="en-GB"/>
        </w:rPr>
        <w:t>have full staff complements as at end of September 2019.</w:t>
      </w:r>
    </w:p>
    <w:p w14:paraId="14D361CD" w14:textId="77777777" w:rsidR="003A7C2F" w:rsidRDefault="003A7C2F" w:rsidP="00852CDB">
      <w:pPr>
        <w:pStyle w:val="ListParagraph"/>
        <w:rPr>
          <w:rFonts w:ascii="Arial" w:hAnsi="Arial" w:cs="Arial"/>
          <w:b/>
          <w:bCs/>
          <w:sz w:val="24"/>
          <w:szCs w:val="24"/>
          <w:lang w:val="en-GB"/>
        </w:rPr>
      </w:pPr>
    </w:p>
    <w:p w14:paraId="7CB7C29A" w14:textId="174B312A" w:rsidR="00116C47" w:rsidRDefault="00116C47" w:rsidP="00145A9D">
      <w:pPr>
        <w:pStyle w:val="ListParagraph"/>
        <w:numPr>
          <w:ilvl w:val="0"/>
          <w:numId w:val="3"/>
        </w:numPr>
        <w:ind w:hanging="720"/>
        <w:rPr>
          <w:rFonts w:ascii="Arial" w:hAnsi="Arial" w:cs="Arial"/>
          <w:b/>
          <w:bCs/>
          <w:sz w:val="24"/>
          <w:szCs w:val="24"/>
          <w:lang w:val="en-GB"/>
        </w:rPr>
      </w:pPr>
      <w:r w:rsidRPr="00145A9D">
        <w:rPr>
          <w:rFonts w:ascii="Arial" w:hAnsi="Arial" w:cs="Arial"/>
          <w:b/>
          <w:bCs/>
          <w:sz w:val="24"/>
          <w:szCs w:val="24"/>
          <w:lang w:val="en-GB"/>
        </w:rPr>
        <w:t>Risk</w:t>
      </w:r>
      <w:r w:rsidR="00145A9D" w:rsidRPr="00145A9D">
        <w:rPr>
          <w:rFonts w:ascii="Arial" w:hAnsi="Arial" w:cs="Arial"/>
          <w:b/>
          <w:bCs/>
          <w:sz w:val="24"/>
          <w:szCs w:val="24"/>
          <w:lang w:val="en-GB"/>
        </w:rPr>
        <w:t xml:space="preserve"> Management</w:t>
      </w:r>
    </w:p>
    <w:p w14:paraId="6F079CB5" w14:textId="0FF97576" w:rsidR="00145A9D" w:rsidRPr="00690063" w:rsidRDefault="00690063" w:rsidP="00145A9D">
      <w:pPr>
        <w:jc w:val="both"/>
        <w:rPr>
          <w:rFonts w:ascii="Arial" w:hAnsi="Arial" w:cs="Arial"/>
          <w:sz w:val="24"/>
          <w:szCs w:val="24"/>
          <w:lang w:val="en-GB"/>
        </w:rPr>
      </w:pPr>
      <w:r w:rsidRPr="00690063">
        <w:rPr>
          <w:rFonts w:ascii="Arial" w:hAnsi="Arial" w:cs="Arial"/>
          <w:sz w:val="24"/>
          <w:szCs w:val="24"/>
          <w:lang w:val="en-GB"/>
        </w:rPr>
        <w:t>Delayed implementation and continue</w:t>
      </w:r>
      <w:r w:rsidR="00793B2C">
        <w:rPr>
          <w:rFonts w:ascii="Arial" w:hAnsi="Arial" w:cs="Arial"/>
          <w:sz w:val="24"/>
          <w:szCs w:val="24"/>
          <w:lang w:val="en-GB"/>
        </w:rPr>
        <w:t>d</w:t>
      </w:r>
      <w:r w:rsidRPr="00690063">
        <w:rPr>
          <w:rFonts w:ascii="Arial" w:hAnsi="Arial" w:cs="Arial"/>
          <w:sz w:val="24"/>
          <w:szCs w:val="24"/>
          <w:lang w:val="en-GB"/>
        </w:rPr>
        <w:t xml:space="preserve"> fall of the Euro </w:t>
      </w:r>
      <w:r w:rsidR="00793B2C">
        <w:rPr>
          <w:rFonts w:ascii="Arial" w:hAnsi="Arial" w:cs="Arial"/>
          <w:sz w:val="24"/>
          <w:szCs w:val="24"/>
          <w:lang w:val="en-GB"/>
        </w:rPr>
        <w:t>t</w:t>
      </w:r>
      <w:r w:rsidRPr="00690063">
        <w:rPr>
          <w:rFonts w:ascii="Arial" w:hAnsi="Arial" w:cs="Arial"/>
          <w:sz w:val="24"/>
          <w:szCs w:val="24"/>
          <w:lang w:val="en-GB"/>
        </w:rPr>
        <w:t>o the dollar may affect operational costs of the programme</w:t>
      </w:r>
    </w:p>
    <w:p w14:paraId="1D8577FA" w14:textId="77777777" w:rsidR="00145A9D" w:rsidRPr="00145A9D" w:rsidRDefault="00145A9D" w:rsidP="00145A9D">
      <w:pPr>
        <w:pStyle w:val="ListParagraph"/>
        <w:rPr>
          <w:rFonts w:ascii="Arial" w:hAnsi="Arial" w:cs="Arial"/>
          <w:i/>
          <w:iCs/>
          <w:sz w:val="24"/>
          <w:szCs w:val="24"/>
          <w:lang w:val="en-GB"/>
        </w:rPr>
      </w:pPr>
    </w:p>
    <w:p w14:paraId="3E12C9FA" w14:textId="6AC59895" w:rsidR="00852CDB" w:rsidRDefault="00852CDB" w:rsidP="00852CDB">
      <w:pPr>
        <w:pStyle w:val="ListParagraph"/>
        <w:numPr>
          <w:ilvl w:val="0"/>
          <w:numId w:val="3"/>
        </w:numPr>
        <w:ind w:hanging="720"/>
        <w:rPr>
          <w:rFonts w:ascii="Arial" w:hAnsi="Arial" w:cs="Arial"/>
          <w:b/>
          <w:bCs/>
          <w:sz w:val="24"/>
          <w:szCs w:val="24"/>
          <w:lang w:val="en-GB"/>
        </w:rPr>
      </w:pPr>
      <w:r>
        <w:rPr>
          <w:rFonts w:ascii="Arial" w:hAnsi="Arial" w:cs="Arial"/>
          <w:b/>
          <w:bCs/>
          <w:sz w:val="24"/>
          <w:szCs w:val="24"/>
          <w:lang w:val="en-GB"/>
        </w:rPr>
        <w:t>Recommendation</w:t>
      </w:r>
    </w:p>
    <w:p w14:paraId="454F1301" w14:textId="07DE3EDF" w:rsidR="004D6920" w:rsidRPr="004D6920" w:rsidRDefault="00690063" w:rsidP="00690063">
      <w:pPr>
        <w:jc w:val="both"/>
        <w:rPr>
          <w:rFonts w:ascii="Arial" w:hAnsi="Arial" w:cs="Arial"/>
          <w:sz w:val="24"/>
          <w:szCs w:val="24"/>
          <w:lang w:val="en-GB"/>
        </w:rPr>
      </w:pPr>
      <w:r>
        <w:rPr>
          <w:rFonts w:ascii="Arial" w:hAnsi="Arial" w:cs="Arial"/>
          <w:i/>
          <w:iCs/>
          <w:sz w:val="24"/>
          <w:szCs w:val="24"/>
          <w:lang w:val="en-GB"/>
        </w:rPr>
        <w:t>To manage the risk of exchange rate fluctuations, contracting to be undertaken in Euro to limit future financial losses or failure to pay obligations.</w:t>
      </w:r>
    </w:p>
    <w:p w14:paraId="0D6C4AC2" w14:textId="7A4EDA1F" w:rsidR="00116C47" w:rsidRPr="004D6920" w:rsidRDefault="00116C47" w:rsidP="00852CDB">
      <w:pPr>
        <w:pStyle w:val="ListParagraph"/>
        <w:rPr>
          <w:rFonts w:ascii="Arial" w:hAnsi="Arial" w:cs="Arial"/>
          <w:sz w:val="24"/>
          <w:szCs w:val="24"/>
          <w:lang w:val="en-GB"/>
        </w:rPr>
      </w:pPr>
    </w:p>
    <w:sectPr w:rsidR="00116C47" w:rsidRPr="004D69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D2B4" w14:textId="77777777" w:rsidR="00822D29" w:rsidRDefault="00822D29" w:rsidP="00EA5707">
      <w:pPr>
        <w:spacing w:after="0" w:line="240" w:lineRule="auto"/>
      </w:pPr>
      <w:r>
        <w:separator/>
      </w:r>
    </w:p>
  </w:endnote>
  <w:endnote w:type="continuationSeparator" w:id="0">
    <w:p w14:paraId="66ED6D13" w14:textId="77777777" w:rsidR="00822D29" w:rsidRDefault="00822D29"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74291F" w:rsidRDefault="007429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74291F" w:rsidRDefault="00742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DC641" w14:textId="77777777" w:rsidR="00822D29" w:rsidRDefault="00822D29" w:rsidP="00EA5707">
      <w:pPr>
        <w:spacing w:after="0" w:line="240" w:lineRule="auto"/>
      </w:pPr>
      <w:r>
        <w:separator/>
      </w:r>
    </w:p>
  </w:footnote>
  <w:footnote w:type="continuationSeparator" w:id="0">
    <w:p w14:paraId="2BE51D2F" w14:textId="77777777" w:rsidR="00822D29" w:rsidRDefault="00822D29"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20D9DD89" w:rsidR="0074291F" w:rsidRPr="0088042E" w:rsidRDefault="00B84574">
    <w:pPr>
      <w:pStyle w:val="Header"/>
      <w:rPr>
        <w:rFonts w:ascii="Arial" w:hAnsi="Arial" w:cs="Arial"/>
        <w:b/>
        <w:bCs/>
        <w:sz w:val="24"/>
        <w:szCs w:val="24"/>
        <w:lang w:val="en-GB"/>
      </w:rPr>
    </w:pPr>
    <w:r>
      <w:rPr>
        <w:rFonts w:ascii="Arial" w:hAnsi="Arial" w:cs="Arial"/>
        <w:b/>
        <w:bCs/>
        <w:sz w:val="24"/>
        <w:szCs w:val="24"/>
        <w:lang w:val="en-GB"/>
      </w:rPr>
      <w:t>NOTE 5</w:t>
    </w:r>
    <w:r w:rsidR="0074291F" w:rsidRPr="0088042E">
      <w:rPr>
        <w:rFonts w:ascii="Arial" w:hAnsi="Arial" w:cs="Arial"/>
        <w:b/>
        <w:bCs/>
        <w:sz w:val="24"/>
        <w:szCs w:val="24"/>
        <w:lang w:val="en-GB"/>
      </w:rPr>
      <w:t xml:space="preserve">: </w:t>
    </w:r>
    <w:r w:rsidR="00690063">
      <w:rPr>
        <w:rFonts w:ascii="Arial" w:hAnsi="Arial" w:cs="Arial"/>
        <w:b/>
        <w:bCs/>
        <w:sz w:val="24"/>
        <w:szCs w:val="24"/>
        <w:lang w:val="en-GB"/>
      </w:rPr>
      <w:t>COMESA TRADE FACILITATION PROGRAMME (CTFP)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6"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E62C49"/>
    <w:multiLevelType w:val="hybridMultilevel"/>
    <w:tmpl w:val="7512A5E2"/>
    <w:lvl w:ilvl="0" w:tplc="240A0E78">
      <w:start w:val="5"/>
      <w:numFmt w:val="bullet"/>
      <w:lvlText w:val="•"/>
      <w:lvlJc w:val="left"/>
      <w:pPr>
        <w:ind w:left="720" w:hanging="360"/>
      </w:pPr>
      <w:rPr>
        <w:rFonts w:ascii="Arial Narrow" w:eastAsiaTheme="minorEastAsia"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8F07D2"/>
    <w:multiLevelType w:val="multilevel"/>
    <w:tmpl w:val="7C4C1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A66353F"/>
    <w:multiLevelType w:val="hybridMultilevel"/>
    <w:tmpl w:val="09BCD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2"/>
  </w:num>
  <w:num w:numId="3">
    <w:abstractNumId w:val="16"/>
  </w:num>
  <w:num w:numId="4">
    <w:abstractNumId w:val="14"/>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2"/>
  </w:num>
  <w:num w:numId="9">
    <w:abstractNumId w:val="0"/>
  </w:num>
  <w:num w:numId="10">
    <w:abstractNumId w:val="13"/>
  </w:num>
  <w:num w:numId="11">
    <w:abstractNumId w:val="3"/>
  </w:num>
  <w:num w:numId="12">
    <w:abstractNumId w:val="10"/>
  </w:num>
  <w:num w:numId="13">
    <w:abstractNumId w:val="4"/>
  </w:num>
  <w:num w:numId="14">
    <w:abstractNumId w:val="5"/>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C423F"/>
    <w:rsid w:val="000D212A"/>
    <w:rsid w:val="000D6591"/>
    <w:rsid w:val="000E644B"/>
    <w:rsid w:val="00116C47"/>
    <w:rsid w:val="00145A9D"/>
    <w:rsid w:val="00184105"/>
    <w:rsid w:val="003362B7"/>
    <w:rsid w:val="0036701D"/>
    <w:rsid w:val="0039384C"/>
    <w:rsid w:val="003A7C2F"/>
    <w:rsid w:val="003B2994"/>
    <w:rsid w:val="004061ED"/>
    <w:rsid w:val="00440E12"/>
    <w:rsid w:val="004574F7"/>
    <w:rsid w:val="004D6920"/>
    <w:rsid w:val="00690063"/>
    <w:rsid w:val="006D2A5B"/>
    <w:rsid w:val="0074291F"/>
    <w:rsid w:val="0075740F"/>
    <w:rsid w:val="00793B2C"/>
    <w:rsid w:val="00822D29"/>
    <w:rsid w:val="00852CDB"/>
    <w:rsid w:val="0088042E"/>
    <w:rsid w:val="00A913BE"/>
    <w:rsid w:val="00B15A90"/>
    <w:rsid w:val="00B62107"/>
    <w:rsid w:val="00B84574"/>
    <w:rsid w:val="00C15EE7"/>
    <w:rsid w:val="00C45CAA"/>
    <w:rsid w:val="00C80BA2"/>
    <w:rsid w:val="00D532EC"/>
    <w:rsid w:val="00E0687D"/>
    <w:rsid w:val="00E20F23"/>
    <w:rsid w:val="00EA5707"/>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 w:type="paragraph" w:customStyle="1" w:styleId="Default">
    <w:name w:val="Default"/>
    <w:rsid w:val="0074291F"/>
    <w:pPr>
      <w:autoSpaceDE w:val="0"/>
      <w:autoSpaceDN w:val="0"/>
      <w:adjustRightInd w:val="0"/>
      <w:spacing w:after="0" w:line="240" w:lineRule="auto"/>
    </w:pPr>
    <w:rPr>
      <w:rFonts w:ascii="Arial" w:eastAsiaTheme="minorEastAsia" w:hAnsi="Arial" w:cs="Arial"/>
      <w:color w:val="000000"/>
      <w:sz w:val="24"/>
      <w:szCs w:val="24"/>
      <w:lang w:val="en-Z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C62FC-E179-48D0-BB07-E4A6FC0C3CE8}">
  <ds:schemaRefs>
    <ds:schemaRef ds:uri="http://schemas.microsoft.com/office/2006/documentManagement/types"/>
    <ds:schemaRef ds:uri="http://schemas.microsoft.com/office/infopath/2007/PartnerControls"/>
    <ds:schemaRef ds:uri="6e49b178-b109-40ec-ba3a-08c7a1a9acc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D0C86FD-E765-4965-AF7D-869C0767B425}">
  <ds:schemaRefs>
    <ds:schemaRef ds:uri="http://schemas.microsoft.com/sharepoint/v3/contenttype/forms"/>
  </ds:schemaRefs>
</ds:datastoreItem>
</file>

<file path=customXml/itemProps3.xml><?xml version="1.0" encoding="utf-8"?>
<ds:datastoreItem xmlns:ds="http://schemas.openxmlformats.org/officeDocument/2006/customXml" ds:itemID="{E1B1268B-DC2F-4E13-BCEE-AA14EACBD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3</cp:revision>
  <cp:lastPrinted>2019-10-05T16:28:00Z</cp:lastPrinted>
  <dcterms:created xsi:type="dcterms:W3CDTF">2019-10-21T16:17:00Z</dcterms:created>
  <dcterms:modified xsi:type="dcterms:W3CDTF">2019-10-21T16:18:00Z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