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6154A" w14:textId="77777777" w:rsidR="00E31A94" w:rsidRDefault="00E31A94">
      <w:bookmarkStart w:id="0" w:name="_GoBack"/>
      <w:bookmarkEnd w:id="0"/>
    </w:p>
    <w:tbl>
      <w:tblPr>
        <w:tblStyle w:val="TableGrid"/>
        <w:tblW w:w="9072" w:type="dxa"/>
        <w:tblLook w:val="04A0" w:firstRow="1" w:lastRow="0" w:firstColumn="1" w:lastColumn="0" w:noHBand="0" w:noVBand="1"/>
      </w:tblPr>
      <w:tblGrid>
        <w:gridCol w:w="4536"/>
        <w:gridCol w:w="4536"/>
      </w:tblGrid>
      <w:tr w:rsidR="004061ED" w:rsidRPr="004061ED" w14:paraId="74D02AAE" w14:textId="77777777" w:rsidTr="004061ED">
        <w:trPr>
          <w:trHeight w:val="515"/>
        </w:trPr>
        <w:tc>
          <w:tcPr>
            <w:tcW w:w="4536" w:type="dxa"/>
            <w:shd w:val="clear" w:color="auto" w:fill="44546A" w:themeFill="text2"/>
          </w:tcPr>
          <w:p w14:paraId="07DB73CF" w14:textId="305F0C24" w:rsidR="0088042E" w:rsidRPr="004061ED" w:rsidRDefault="0088042E" w:rsidP="00EA5707">
            <w:pPr>
              <w:rPr>
                <w:rFonts w:ascii="Arial" w:hAnsi="Arial" w:cs="Arial"/>
                <w:b/>
                <w:bCs/>
                <w:color w:val="000000" w:themeColor="text1"/>
                <w:sz w:val="24"/>
                <w:szCs w:val="24"/>
                <w:lang w:val="en-GB"/>
              </w:rPr>
            </w:pPr>
            <w:r w:rsidRPr="004061ED">
              <w:rPr>
                <w:rFonts w:ascii="Arial" w:hAnsi="Arial" w:cs="Arial"/>
                <w:b/>
                <w:bCs/>
                <w:color w:val="000000" w:themeColor="text1"/>
                <w:sz w:val="24"/>
                <w:szCs w:val="24"/>
                <w:lang w:val="en-GB"/>
              </w:rPr>
              <w:t>Name of Donor</w:t>
            </w:r>
          </w:p>
        </w:tc>
        <w:tc>
          <w:tcPr>
            <w:tcW w:w="4536" w:type="dxa"/>
            <w:shd w:val="clear" w:color="auto" w:fill="44546A" w:themeFill="text2"/>
          </w:tcPr>
          <w:p w14:paraId="0B18D5A4" w14:textId="36CD950A" w:rsidR="0088042E" w:rsidRPr="004061ED" w:rsidRDefault="0088042E" w:rsidP="00EA5707">
            <w:pPr>
              <w:rPr>
                <w:rFonts w:ascii="Arial" w:hAnsi="Arial" w:cs="Arial"/>
                <w:b/>
                <w:bCs/>
                <w:color w:val="000000" w:themeColor="text1"/>
                <w:sz w:val="24"/>
                <w:szCs w:val="24"/>
                <w:lang w:val="en-GB"/>
              </w:rPr>
            </w:pPr>
            <w:r w:rsidRPr="004061ED">
              <w:rPr>
                <w:rFonts w:ascii="Arial" w:hAnsi="Arial" w:cs="Arial"/>
                <w:b/>
                <w:bCs/>
                <w:color w:val="000000" w:themeColor="text1"/>
                <w:sz w:val="24"/>
                <w:szCs w:val="24"/>
                <w:lang w:val="en-GB"/>
              </w:rPr>
              <w:t>Name of Project</w:t>
            </w:r>
          </w:p>
        </w:tc>
      </w:tr>
      <w:tr w:rsidR="0088042E" w:rsidRPr="0088042E" w14:paraId="0EF239F4" w14:textId="77777777" w:rsidTr="0088042E">
        <w:trPr>
          <w:trHeight w:val="70"/>
        </w:trPr>
        <w:tc>
          <w:tcPr>
            <w:tcW w:w="4536" w:type="dxa"/>
          </w:tcPr>
          <w:p w14:paraId="715F3A9B" w14:textId="49619021" w:rsidR="0088042E" w:rsidRPr="0088042E" w:rsidRDefault="0088042E" w:rsidP="00EA5707">
            <w:pPr>
              <w:rPr>
                <w:rFonts w:ascii="Arial" w:hAnsi="Arial" w:cs="Arial"/>
                <w:sz w:val="24"/>
                <w:szCs w:val="24"/>
                <w:lang w:val="en-GB"/>
              </w:rPr>
            </w:pPr>
            <w:r w:rsidRPr="0088042E">
              <w:rPr>
                <w:rFonts w:ascii="Arial" w:hAnsi="Arial" w:cs="Arial"/>
                <w:sz w:val="24"/>
                <w:szCs w:val="24"/>
                <w:lang w:val="en-GB"/>
              </w:rPr>
              <w:t>European Union</w:t>
            </w:r>
          </w:p>
        </w:tc>
        <w:tc>
          <w:tcPr>
            <w:tcW w:w="4536" w:type="dxa"/>
          </w:tcPr>
          <w:p w14:paraId="1BF3CA04" w14:textId="3786065E" w:rsidR="0088042E" w:rsidRPr="00430BE6" w:rsidRDefault="00EC7217" w:rsidP="00EA5707">
            <w:pPr>
              <w:rPr>
                <w:rFonts w:ascii="Arial" w:hAnsi="Arial" w:cs="Arial"/>
                <w:sz w:val="24"/>
                <w:szCs w:val="24"/>
                <w:lang w:val="en-GB"/>
              </w:rPr>
            </w:pPr>
            <w:r w:rsidRPr="00430BE6">
              <w:rPr>
                <w:rFonts w:ascii="Arial" w:hAnsi="Arial" w:cs="Arial"/>
                <w:sz w:val="24"/>
                <w:szCs w:val="24"/>
                <w:lang w:val="en-GB"/>
              </w:rPr>
              <w:t>Enhancement of a Sustainable Regional Energy Market for Eastern Africa</w:t>
            </w:r>
            <w:r w:rsidR="00135B3E" w:rsidRPr="00430BE6">
              <w:rPr>
                <w:rFonts w:ascii="Arial" w:hAnsi="Arial" w:cs="Arial"/>
                <w:sz w:val="24"/>
                <w:szCs w:val="24"/>
                <w:lang w:val="en-GB"/>
              </w:rPr>
              <w:t xml:space="preserve"> -Southern Africa - Indian Ocean Region</w:t>
            </w:r>
            <w:r w:rsidR="0088042E" w:rsidRPr="00430BE6">
              <w:rPr>
                <w:rFonts w:ascii="Arial" w:hAnsi="Arial" w:cs="Arial"/>
                <w:sz w:val="24"/>
                <w:szCs w:val="24"/>
                <w:lang w:val="en-GB"/>
              </w:rPr>
              <w:t xml:space="preserve"> (</w:t>
            </w:r>
            <w:r w:rsidR="00F83211" w:rsidRPr="00430BE6">
              <w:rPr>
                <w:rFonts w:ascii="Arial" w:hAnsi="Arial" w:cs="Arial"/>
                <w:sz w:val="24"/>
                <w:szCs w:val="24"/>
                <w:lang w:val="en-GB"/>
              </w:rPr>
              <w:t>(ESREM EA-SA-IO</w:t>
            </w:r>
            <w:r w:rsidR="0088042E" w:rsidRPr="00430BE6">
              <w:rPr>
                <w:rFonts w:ascii="Arial" w:hAnsi="Arial" w:cs="Arial"/>
                <w:sz w:val="24"/>
                <w:szCs w:val="24"/>
                <w:lang w:val="en-GB"/>
              </w:rPr>
              <w:t>)</w:t>
            </w:r>
          </w:p>
        </w:tc>
      </w:tr>
      <w:tr w:rsidR="0088042E" w:rsidRPr="0088042E" w14:paraId="367372E1" w14:textId="77777777" w:rsidTr="0088042E">
        <w:trPr>
          <w:trHeight w:val="70"/>
        </w:trPr>
        <w:tc>
          <w:tcPr>
            <w:tcW w:w="4536" w:type="dxa"/>
          </w:tcPr>
          <w:p w14:paraId="77A16C34" w14:textId="6F344DC1" w:rsidR="0088042E" w:rsidRPr="0088042E" w:rsidRDefault="0088042E" w:rsidP="00EA5707">
            <w:pPr>
              <w:rPr>
                <w:rFonts w:ascii="Arial" w:hAnsi="Arial" w:cs="Arial"/>
                <w:sz w:val="24"/>
                <w:szCs w:val="24"/>
                <w:lang w:val="en-GB"/>
              </w:rPr>
            </w:pPr>
            <w:r w:rsidRPr="0088042E">
              <w:rPr>
                <w:rFonts w:ascii="Arial" w:hAnsi="Arial" w:cs="Arial"/>
                <w:b/>
                <w:bCs/>
                <w:sz w:val="24"/>
                <w:szCs w:val="24"/>
                <w:lang w:val="en-GB"/>
              </w:rPr>
              <w:t>Grant start date</w:t>
            </w:r>
            <w:r w:rsidRPr="0088042E">
              <w:rPr>
                <w:rFonts w:ascii="Arial" w:hAnsi="Arial" w:cs="Arial"/>
                <w:sz w:val="24"/>
                <w:szCs w:val="24"/>
                <w:lang w:val="en-GB"/>
              </w:rPr>
              <w:t xml:space="preserve">: </w:t>
            </w:r>
            <w:r w:rsidRPr="0088042E">
              <w:rPr>
                <w:rFonts w:ascii="Arial" w:hAnsi="Arial" w:cs="Arial"/>
                <w:sz w:val="24"/>
                <w:szCs w:val="24"/>
                <w:lang w:val="en-GB"/>
              </w:rPr>
              <w:tab/>
            </w:r>
          </w:p>
        </w:tc>
        <w:tc>
          <w:tcPr>
            <w:tcW w:w="4536" w:type="dxa"/>
          </w:tcPr>
          <w:p w14:paraId="06C10898" w14:textId="4A12EAA0" w:rsidR="0088042E" w:rsidRPr="0088042E" w:rsidRDefault="00A16D94" w:rsidP="00EA5707">
            <w:pPr>
              <w:rPr>
                <w:rFonts w:ascii="Arial" w:hAnsi="Arial" w:cs="Arial"/>
                <w:sz w:val="24"/>
                <w:szCs w:val="24"/>
                <w:lang w:val="en-GB"/>
              </w:rPr>
            </w:pPr>
            <w:r>
              <w:rPr>
                <w:rFonts w:ascii="Arial" w:hAnsi="Arial" w:cs="Arial"/>
                <w:sz w:val="24"/>
                <w:szCs w:val="24"/>
                <w:lang w:val="en-GB"/>
              </w:rPr>
              <w:t>3</w:t>
            </w:r>
            <w:r w:rsidR="0088042E" w:rsidRPr="0088042E">
              <w:rPr>
                <w:rFonts w:ascii="Arial" w:hAnsi="Arial" w:cs="Arial"/>
                <w:sz w:val="24"/>
                <w:szCs w:val="24"/>
                <w:lang w:val="en-GB"/>
              </w:rPr>
              <w:t>1</w:t>
            </w:r>
            <w:r w:rsidR="0088042E" w:rsidRPr="0088042E">
              <w:rPr>
                <w:rFonts w:ascii="Arial" w:hAnsi="Arial" w:cs="Arial"/>
                <w:sz w:val="24"/>
                <w:szCs w:val="24"/>
                <w:vertAlign w:val="superscript"/>
                <w:lang w:val="en-GB"/>
              </w:rPr>
              <w:t>st</w:t>
            </w:r>
            <w:r w:rsidR="0088042E" w:rsidRPr="0088042E">
              <w:rPr>
                <w:rFonts w:ascii="Arial" w:hAnsi="Arial" w:cs="Arial"/>
                <w:sz w:val="24"/>
                <w:szCs w:val="24"/>
                <w:lang w:val="en-GB"/>
              </w:rPr>
              <w:t xml:space="preserve"> </w:t>
            </w:r>
            <w:r>
              <w:rPr>
                <w:rFonts w:ascii="Arial" w:hAnsi="Arial" w:cs="Arial"/>
                <w:sz w:val="24"/>
                <w:szCs w:val="24"/>
                <w:lang w:val="en-GB"/>
              </w:rPr>
              <w:t>Ma</w:t>
            </w:r>
            <w:r w:rsidR="0088042E" w:rsidRPr="0088042E">
              <w:rPr>
                <w:rFonts w:ascii="Arial" w:hAnsi="Arial" w:cs="Arial"/>
                <w:sz w:val="24"/>
                <w:szCs w:val="24"/>
                <w:lang w:val="en-GB"/>
              </w:rPr>
              <w:t>y,</w:t>
            </w:r>
            <w:r w:rsidR="005D57FA">
              <w:rPr>
                <w:rFonts w:ascii="Arial" w:hAnsi="Arial" w:cs="Arial"/>
                <w:sz w:val="24"/>
                <w:szCs w:val="24"/>
                <w:lang w:val="en-GB"/>
              </w:rPr>
              <w:t xml:space="preserve"> </w:t>
            </w:r>
            <w:r w:rsidR="0088042E" w:rsidRPr="0088042E">
              <w:rPr>
                <w:rFonts w:ascii="Arial" w:hAnsi="Arial" w:cs="Arial"/>
                <w:sz w:val="24"/>
                <w:szCs w:val="24"/>
                <w:lang w:val="en-GB"/>
              </w:rPr>
              <w:t>201</w:t>
            </w:r>
            <w:r>
              <w:rPr>
                <w:rFonts w:ascii="Arial" w:hAnsi="Arial" w:cs="Arial"/>
                <w:sz w:val="24"/>
                <w:szCs w:val="24"/>
                <w:lang w:val="en-GB"/>
              </w:rPr>
              <w:t>7</w:t>
            </w:r>
          </w:p>
        </w:tc>
      </w:tr>
      <w:tr w:rsidR="0088042E" w:rsidRPr="0088042E" w14:paraId="1D1BDB24" w14:textId="77777777" w:rsidTr="0088042E">
        <w:trPr>
          <w:trHeight w:val="70"/>
        </w:trPr>
        <w:tc>
          <w:tcPr>
            <w:tcW w:w="4536" w:type="dxa"/>
            <w:vAlign w:val="center"/>
          </w:tcPr>
          <w:p w14:paraId="5FED7F95" w14:textId="4BF53C8F"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Grant End date:</w:t>
            </w:r>
          </w:p>
        </w:tc>
        <w:tc>
          <w:tcPr>
            <w:tcW w:w="4536" w:type="dxa"/>
            <w:vAlign w:val="center"/>
          </w:tcPr>
          <w:p w14:paraId="35446D24" w14:textId="33F6A049" w:rsidR="0088042E" w:rsidRPr="0088042E" w:rsidRDefault="00376FAB" w:rsidP="00EA5707">
            <w:pPr>
              <w:rPr>
                <w:rFonts w:ascii="Arial" w:hAnsi="Arial" w:cs="Arial"/>
                <w:sz w:val="24"/>
                <w:szCs w:val="24"/>
                <w:lang w:val="en-GB"/>
              </w:rPr>
            </w:pPr>
            <w:r>
              <w:rPr>
                <w:rFonts w:ascii="Arial" w:hAnsi="Arial" w:cs="Arial"/>
                <w:color w:val="000000"/>
                <w:sz w:val="24"/>
                <w:szCs w:val="24"/>
                <w:lang w:val="en-GB"/>
              </w:rPr>
              <w:t>30</w:t>
            </w:r>
            <w:r w:rsidR="005D57FA" w:rsidRPr="005D57FA">
              <w:rPr>
                <w:rFonts w:ascii="Arial" w:hAnsi="Arial" w:cs="Arial"/>
                <w:color w:val="000000"/>
                <w:sz w:val="24"/>
                <w:szCs w:val="24"/>
                <w:vertAlign w:val="superscript"/>
                <w:lang w:val="en-GB"/>
              </w:rPr>
              <w:t>th</w:t>
            </w:r>
            <w:r w:rsidR="005D57FA">
              <w:rPr>
                <w:rFonts w:ascii="Arial" w:hAnsi="Arial" w:cs="Arial"/>
                <w:color w:val="000000"/>
                <w:sz w:val="24"/>
                <w:szCs w:val="24"/>
                <w:lang w:val="en-GB"/>
              </w:rPr>
              <w:t xml:space="preserve"> </w:t>
            </w:r>
            <w:r>
              <w:rPr>
                <w:rFonts w:ascii="Arial" w:hAnsi="Arial" w:cs="Arial"/>
                <w:color w:val="000000"/>
                <w:sz w:val="24"/>
                <w:szCs w:val="24"/>
                <w:lang w:val="en-GB"/>
              </w:rPr>
              <w:t>May</w:t>
            </w:r>
            <w:r w:rsidR="005D57FA">
              <w:rPr>
                <w:rFonts w:ascii="Arial" w:hAnsi="Arial" w:cs="Arial"/>
                <w:color w:val="000000"/>
                <w:sz w:val="24"/>
                <w:szCs w:val="24"/>
                <w:lang w:val="en-GB"/>
              </w:rPr>
              <w:t>,</w:t>
            </w:r>
            <w:r>
              <w:rPr>
                <w:rFonts w:ascii="Arial" w:hAnsi="Arial" w:cs="Arial"/>
                <w:color w:val="000000"/>
                <w:sz w:val="24"/>
                <w:szCs w:val="24"/>
                <w:lang w:val="en-GB"/>
              </w:rPr>
              <w:t xml:space="preserve"> 2021</w:t>
            </w:r>
          </w:p>
        </w:tc>
      </w:tr>
      <w:tr w:rsidR="0088042E" w:rsidRPr="0088042E" w14:paraId="0C48C495" w14:textId="77777777" w:rsidTr="0088042E">
        <w:trPr>
          <w:trHeight w:val="70"/>
        </w:trPr>
        <w:tc>
          <w:tcPr>
            <w:tcW w:w="4536" w:type="dxa"/>
            <w:vAlign w:val="center"/>
          </w:tcPr>
          <w:p w14:paraId="589D8A69" w14:textId="1A210627"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Grant Amount:</w:t>
            </w:r>
          </w:p>
        </w:tc>
        <w:tc>
          <w:tcPr>
            <w:tcW w:w="4536" w:type="dxa"/>
            <w:vAlign w:val="center"/>
          </w:tcPr>
          <w:p w14:paraId="2ED3BEBA" w14:textId="6E99D94E"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 xml:space="preserve">USD </w:t>
            </w:r>
            <w:r w:rsidR="003B3B09">
              <w:rPr>
                <w:rFonts w:ascii="Arial" w:hAnsi="Arial" w:cs="Arial"/>
                <w:color w:val="000000"/>
                <w:sz w:val="24"/>
                <w:szCs w:val="24"/>
                <w:lang w:val="en-GB"/>
              </w:rPr>
              <w:t>8,400</w:t>
            </w:r>
            <w:r w:rsidR="001677F0">
              <w:rPr>
                <w:rFonts w:ascii="Arial" w:hAnsi="Arial" w:cs="Arial"/>
                <w:color w:val="000000"/>
                <w:sz w:val="24"/>
                <w:szCs w:val="24"/>
                <w:lang w:val="en-GB"/>
              </w:rPr>
              <w:t>,000</w:t>
            </w:r>
            <w:proofErr w:type="gramStart"/>
            <w:r w:rsidR="000C423F">
              <w:rPr>
                <w:rFonts w:ascii="Arial" w:hAnsi="Arial" w:cs="Arial"/>
                <w:color w:val="000000"/>
                <w:sz w:val="24"/>
                <w:szCs w:val="24"/>
                <w:lang w:val="en-GB"/>
              </w:rPr>
              <w:t xml:space="preserve">  </w:t>
            </w:r>
            <w:r w:rsidR="000C423F" w:rsidRPr="0088042E">
              <w:rPr>
                <w:rFonts w:ascii="Arial" w:hAnsi="Arial" w:cs="Arial"/>
                <w:color w:val="000000"/>
                <w:sz w:val="24"/>
                <w:szCs w:val="24"/>
                <w:lang w:val="en-GB"/>
              </w:rPr>
              <w:t xml:space="preserve"> </w:t>
            </w:r>
            <w:r w:rsidR="000C423F">
              <w:rPr>
                <w:rFonts w:ascii="Arial" w:hAnsi="Arial" w:cs="Arial"/>
                <w:color w:val="000000"/>
                <w:sz w:val="24"/>
                <w:szCs w:val="24"/>
                <w:lang w:val="en-GB"/>
              </w:rPr>
              <w:t>(</w:t>
            </w:r>
            <w:proofErr w:type="gramEnd"/>
            <w:r w:rsidRPr="0088042E">
              <w:rPr>
                <w:rFonts w:ascii="Arial" w:hAnsi="Arial" w:cs="Arial"/>
                <w:color w:val="000000"/>
                <w:sz w:val="24"/>
                <w:szCs w:val="24"/>
                <w:lang w:val="en-GB"/>
              </w:rPr>
              <w:t>Euro</w:t>
            </w:r>
            <w:r w:rsidR="00A415F1">
              <w:rPr>
                <w:rFonts w:ascii="Arial" w:hAnsi="Arial" w:cs="Arial"/>
                <w:color w:val="000000"/>
                <w:sz w:val="24"/>
                <w:szCs w:val="24"/>
                <w:lang w:val="en-GB"/>
              </w:rPr>
              <w:t xml:space="preserve"> 7,000,000</w:t>
            </w:r>
            <w:r w:rsidRPr="0088042E">
              <w:rPr>
                <w:rFonts w:ascii="Arial" w:hAnsi="Arial" w:cs="Arial"/>
                <w:color w:val="000000"/>
                <w:sz w:val="24"/>
                <w:szCs w:val="24"/>
                <w:lang w:val="en-GB"/>
              </w:rPr>
              <w:t>)</w:t>
            </w:r>
          </w:p>
        </w:tc>
      </w:tr>
      <w:tr w:rsidR="0088042E" w:rsidRPr="0088042E" w14:paraId="61C3A07E" w14:textId="77777777" w:rsidTr="0088042E">
        <w:trPr>
          <w:trHeight w:val="70"/>
        </w:trPr>
        <w:tc>
          <w:tcPr>
            <w:tcW w:w="4536" w:type="dxa"/>
            <w:vAlign w:val="center"/>
          </w:tcPr>
          <w:p w14:paraId="0E3D1E96" w14:textId="7FF5D597"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Disbursed before current year:</w:t>
            </w:r>
            <w:r w:rsidRPr="0088042E">
              <w:rPr>
                <w:rFonts w:ascii="Arial" w:hAnsi="Arial" w:cs="Arial"/>
                <w:color w:val="000000"/>
                <w:sz w:val="24"/>
                <w:szCs w:val="24"/>
                <w:lang w:val="en-GB"/>
              </w:rPr>
              <w:t xml:space="preserve"> (2019)</w:t>
            </w:r>
          </w:p>
        </w:tc>
        <w:tc>
          <w:tcPr>
            <w:tcW w:w="4536" w:type="dxa"/>
            <w:vAlign w:val="center"/>
          </w:tcPr>
          <w:p w14:paraId="59CB27D3" w14:textId="53EEAC77"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 xml:space="preserve">USD </w:t>
            </w:r>
            <w:r w:rsidR="00BD6B8D">
              <w:rPr>
                <w:rFonts w:ascii="Arial" w:hAnsi="Arial" w:cs="Arial"/>
                <w:color w:val="000000"/>
                <w:sz w:val="24"/>
                <w:szCs w:val="24"/>
                <w:lang w:val="en-GB"/>
              </w:rPr>
              <w:t>2,136,798</w:t>
            </w:r>
            <w:proofErr w:type="gramStart"/>
            <w:r w:rsidR="000C423F" w:rsidRPr="0088042E">
              <w:rPr>
                <w:rFonts w:ascii="Arial" w:hAnsi="Arial" w:cs="Arial"/>
                <w:color w:val="000000"/>
                <w:sz w:val="24"/>
                <w:szCs w:val="24"/>
                <w:lang w:val="en-GB"/>
              </w:rPr>
              <w:t xml:space="preserve"> </w:t>
            </w:r>
            <w:r w:rsidR="000C423F">
              <w:rPr>
                <w:rFonts w:ascii="Arial" w:hAnsi="Arial" w:cs="Arial"/>
                <w:color w:val="000000"/>
                <w:sz w:val="24"/>
                <w:szCs w:val="24"/>
                <w:lang w:val="en-GB"/>
              </w:rPr>
              <w:t xml:space="preserve">  (</w:t>
            </w:r>
            <w:proofErr w:type="gramEnd"/>
            <w:r w:rsidRPr="0088042E">
              <w:rPr>
                <w:rFonts w:ascii="Arial" w:hAnsi="Arial" w:cs="Arial"/>
                <w:color w:val="000000"/>
                <w:sz w:val="24"/>
                <w:szCs w:val="24"/>
                <w:lang w:val="en-GB"/>
              </w:rPr>
              <w:t xml:space="preserve">Euro </w:t>
            </w:r>
            <w:r w:rsidR="001677F0">
              <w:rPr>
                <w:rFonts w:ascii="Arial" w:hAnsi="Arial" w:cs="Arial"/>
                <w:color w:val="000000"/>
                <w:sz w:val="24"/>
                <w:szCs w:val="24"/>
                <w:lang w:val="en-GB"/>
              </w:rPr>
              <w:t>1,780,665</w:t>
            </w:r>
            <w:r w:rsidRPr="0088042E">
              <w:rPr>
                <w:rFonts w:ascii="Arial" w:hAnsi="Arial" w:cs="Arial"/>
                <w:color w:val="000000"/>
                <w:sz w:val="24"/>
                <w:szCs w:val="24"/>
                <w:lang w:val="en-GB"/>
              </w:rPr>
              <w:t>)</w:t>
            </w:r>
          </w:p>
        </w:tc>
      </w:tr>
      <w:tr w:rsidR="0088042E" w:rsidRPr="0088042E" w14:paraId="70FD73D1" w14:textId="77777777" w:rsidTr="0088042E">
        <w:trPr>
          <w:trHeight w:val="70"/>
        </w:trPr>
        <w:tc>
          <w:tcPr>
            <w:tcW w:w="4536" w:type="dxa"/>
            <w:vAlign w:val="center"/>
          </w:tcPr>
          <w:p w14:paraId="59346465" w14:textId="150FF061"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Balance:</w:t>
            </w:r>
          </w:p>
        </w:tc>
        <w:tc>
          <w:tcPr>
            <w:tcW w:w="4536" w:type="dxa"/>
            <w:vAlign w:val="center"/>
          </w:tcPr>
          <w:p w14:paraId="49FC595F" w14:textId="27923C05"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 xml:space="preserve">USD </w:t>
            </w:r>
            <w:r w:rsidR="00C7170A">
              <w:rPr>
                <w:rFonts w:ascii="Arial" w:hAnsi="Arial" w:cs="Arial"/>
                <w:color w:val="000000"/>
                <w:sz w:val="24"/>
                <w:szCs w:val="24"/>
                <w:lang w:val="en-GB"/>
              </w:rPr>
              <w:t>6,263,202</w:t>
            </w:r>
            <w:proofErr w:type="gramStart"/>
            <w:r w:rsidR="00C7170A">
              <w:rPr>
                <w:rFonts w:ascii="Arial" w:hAnsi="Arial" w:cs="Arial"/>
                <w:color w:val="000000"/>
                <w:sz w:val="24"/>
                <w:szCs w:val="24"/>
                <w:lang w:val="en-GB"/>
              </w:rPr>
              <w:t xml:space="preserve">   </w:t>
            </w:r>
            <w:r w:rsidR="000C423F">
              <w:rPr>
                <w:color w:val="000000"/>
                <w:lang w:val="en-GB"/>
              </w:rPr>
              <w:t>(</w:t>
            </w:r>
            <w:proofErr w:type="gramEnd"/>
            <w:r w:rsidRPr="0088042E">
              <w:rPr>
                <w:rFonts w:ascii="Arial" w:hAnsi="Arial" w:cs="Arial"/>
                <w:color w:val="000000"/>
                <w:sz w:val="24"/>
                <w:szCs w:val="24"/>
                <w:lang w:val="en-GB"/>
              </w:rPr>
              <w:t xml:space="preserve">Euro </w:t>
            </w:r>
            <w:r w:rsidR="004F3B32">
              <w:rPr>
                <w:rFonts w:ascii="Arial" w:hAnsi="Arial" w:cs="Arial"/>
                <w:color w:val="000000"/>
                <w:sz w:val="24"/>
                <w:szCs w:val="24"/>
                <w:lang w:val="en-GB"/>
              </w:rPr>
              <w:t>5</w:t>
            </w:r>
            <w:r w:rsidR="00CE7366">
              <w:rPr>
                <w:rFonts w:ascii="Arial" w:hAnsi="Arial" w:cs="Arial"/>
                <w:color w:val="000000"/>
                <w:sz w:val="24"/>
                <w:szCs w:val="24"/>
                <w:lang w:val="en-GB"/>
              </w:rPr>
              <w:t>,219,335</w:t>
            </w:r>
            <w:r w:rsidRPr="0088042E">
              <w:rPr>
                <w:rFonts w:ascii="Arial" w:hAnsi="Arial" w:cs="Arial"/>
                <w:color w:val="000000"/>
                <w:sz w:val="24"/>
                <w:szCs w:val="24"/>
                <w:lang w:val="en-GB"/>
              </w:rPr>
              <w:t>)</w:t>
            </w:r>
          </w:p>
        </w:tc>
      </w:tr>
      <w:tr w:rsidR="0088042E" w:rsidRPr="0088042E" w14:paraId="542C5901" w14:textId="77777777" w:rsidTr="0088042E">
        <w:trPr>
          <w:trHeight w:val="70"/>
        </w:trPr>
        <w:tc>
          <w:tcPr>
            <w:tcW w:w="4536" w:type="dxa"/>
            <w:vAlign w:val="center"/>
          </w:tcPr>
          <w:p w14:paraId="5C6A47F4" w14:textId="1F8569B8"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Disbursed in 2019</w:t>
            </w:r>
            <w:r w:rsidRPr="0088042E">
              <w:rPr>
                <w:rFonts w:ascii="Arial" w:hAnsi="Arial" w:cs="Arial"/>
                <w:color w:val="000000"/>
                <w:sz w:val="24"/>
                <w:szCs w:val="24"/>
                <w:lang w:val="en-GB"/>
              </w:rPr>
              <w:t xml:space="preserve">: </w:t>
            </w:r>
          </w:p>
        </w:tc>
        <w:tc>
          <w:tcPr>
            <w:tcW w:w="4536" w:type="dxa"/>
            <w:vAlign w:val="center"/>
          </w:tcPr>
          <w:p w14:paraId="74574CDB" w14:textId="770D6510"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 xml:space="preserve">USD </w:t>
            </w:r>
            <w:r w:rsidR="00E7699B">
              <w:rPr>
                <w:rFonts w:ascii="Arial" w:hAnsi="Arial" w:cs="Arial"/>
                <w:color w:val="000000"/>
                <w:sz w:val="24"/>
                <w:szCs w:val="24"/>
                <w:lang w:val="en-GB"/>
              </w:rPr>
              <w:t>3,</w:t>
            </w:r>
            <w:r w:rsidR="006E0FE0">
              <w:rPr>
                <w:rFonts w:ascii="Arial" w:hAnsi="Arial" w:cs="Arial"/>
                <w:color w:val="000000"/>
                <w:sz w:val="24"/>
                <w:szCs w:val="24"/>
                <w:lang w:val="en-GB"/>
              </w:rPr>
              <w:t>776,822</w:t>
            </w:r>
            <w:r w:rsidR="000C423F">
              <w:rPr>
                <w:color w:val="000000"/>
                <w:lang w:val="en-GB"/>
              </w:rPr>
              <w:t xml:space="preserve"> </w:t>
            </w:r>
            <w:proofErr w:type="gramStart"/>
            <w:r w:rsidR="000C423F">
              <w:rPr>
                <w:color w:val="000000"/>
                <w:lang w:val="en-GB"/>
              </w:rPr>
              <w:t xml:space="preserve">   </w:t>
            </w:r>
            <w:r w:rsidR="000C423F" w:rsidRPr="0088042E">
              <w:rPr>
                <w:rFonts w:ascii="Arial" w:hAnsi="Arial" w:cs="Arial"/>
                <w:color w:val="000000"/>
                <w:sz w:val="24"/>
                <w:szCs w:val="24"/>
                <w:lang w:val="en-GB"/>
              </w:rPr>
              <w:t>(</w:t>
            </w:r>
            <w:proofErr w:type="gramEnd"/>
            <w:r w:rsidRPr="0088042E">
              <w:rPr>
                <w:rFonts w:ascii="Arial" w:hAnsi="Arial" w:cs="Arial"/>
                <w:color w:val="000000"/>
                <w:sz w:val="24"/>
                <w:szCs w:val="24"/>
                <w:lang w:val="en-GB"/>
              </w:rPr>
              <w:t xml:space="preserve">Euro </w:t>
            </w:r>
            <w:r w:rsidR="00C815D3">
              <w:rPr>
                <w:rFonts w:ascii="Arial" w:hAnsi="Arial" w:cs="Arial"/>
                <w:color w:val="000000"/>
                <w:sz w:val="24"/>
                <w:szCs w:val="24"/>
                <w:lang w:val="en-GB"/>
              </w:rPr>
              <w:t>3,147,352</w:t>
            </w:r>
            <w:r w:rsidRPr="0088042E">
              <w:rPr>
                <w:rFonts w:ascii="Arial" w:hAnsi="Arial" w:cs="Arial"/>
                <w:color w:val="000000"/>
                <w:sz w:val="24"/>
                <w:szCs w:val="24"/>
                <w:lang w:val="en-GB"/>
              </w:rPr>
              <w:t>)</w:t>
            </w:r>
          </w:p>
        </w:tc>
      </w:tr>
      <w:tr w:rsidR="0088042E" w:rsidRPr="0088042E" w14:paraId="522A9FE2" w14:textId="77777777" w:rsidTr="0088042E">
        <w:trPr>
          <w:trHeight w:val="70"/>
        </w:trPr>
        <w:tc>
          <w:tcPr>
            <w:tcW w:w="4536" w:type="dxa"/>
            <w:vAlign w:val="center"/>
          </w:tcPr>
          <w:p w14:paraId="3F3E1030" w14:textId="5C357F53"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Balance yet to be disbursed:</w:t>
            </w:r>
          </w:p>
        </w:tc>
        <w:tc>
          <w:tcPr>
            <w:tcW w:w="4536" w:type="dxa"/>
            <w:vAlign w:val="center"/>
          </w:tcPr>
          <w:p w14:paraId="4AFFCB64" w14:textId="45797464"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USD</w:t>
            </w:r>
            <w:r w:rsidR="00CF658A">
              <w:rPr>
                <w:rFonts w:ascii="Arial" w:hAnsi="Arial" w:cs="Arial"/>
                <w:color w:val="000000"/>
                <w:sz w:val="24"/>
                <w:szCs w:val="24"/>
                <w:lang w:val="en-GB"/>
              </w:rPr>
              <w:t xml:space="preserve"> 2,486,380</w:t>
            </w:r>
            <w:r w:rsidR="000C423F">
              <w:rPr>
                <w:color w:val="000000"/>
                <w:lang w:val="en-GB"/>
              </w:rPr>
              <w:t xml:space="preserve"> </w:t>
            </w:r>
            <w:proofErr w:type="gramStart"/>
            <w:r w:rsidR="000C423F">
              <w:rPr>
                <w:color w:val="000000"/>
                <w:lang w:val="en-GB"/>
              </w:rPr>
              <w:t xml:space="preserve">   (</w:t>
            </w:r>
            <w:proofErr w:type="gramEnd"/>
            <w:r w:rsidRPr="0088042E">
              <w:rPr>
                <w:rFonts w:ascii="Arial" w:hAnsi="Arial" w:cs="Arial"/>
                <w:color w:val="000000"/>
                <w:sz w:val="24"/>
                <w:szCs w:val="24"/>
                <w:lang w:val="en-GB"/>
              </w:rPr>
              <w:t xml:space="preserve">Euro </w:t>
            </w:r>
            <w:r w:rsidR="00CD18A0">
              <w:rPr>
                <w:rFonts w:ascii="Arial" w:hAnsi="Arial" w:cs="Arial"/>
                <w:color w:val="000000"/>
                <w:sz w:val="24"/>
                <w:szCs w:val="24"/>
                <w:lang w:val="en-GB"/>
              </w:rPr>
              <w:t>2,071</w:t>
            </w:r>
            <w:r w:rsidR="002D686D">
              <w:rPr>
                <w:rFonts w:ascii="Arial" w:hAnsi="Arial" w:cs="Arial"/>
                <w:color w:val="000000"/>
                <w:sz w:val="24"/>
                <w:szCs w:val="24"/>
                <w:lang w:val="en-GB"/>
              </w:rPr>
              <w:t>,983</w:t>
            </w:r>
            <w:r w:rsidRPr="0088042E">
              <w:rPr>
                <w:rFonts w:ascii="Arial" w:hAnsi="Arial" w:cs="Arial"/>
                <w:color w:val="000000"/>
                <w:sz w:val="24"/>
                <w:szCs w:val="24"/>
                <w:lang w:val="en-GB"/>
              </w:rPr>
              <w:t>)</w:t>
            </w:r>
          </w:p>
        </w:tc>
      </w:tr>
    </w:tbl>
    <w:p w14:paraId="53F367F0" w14:textId="27317155" w:rsidR="00E20F23" w:rsidRDefault="00E20F23">
      <w:pPr>
        <w:rPr>
          <w:rFonts w:ascii="Arial" w:hAnsi="Arial" w:cs="Arial"/>
          <w:sz w:val="24"/>
          <w:szCs w:val="24"/>
        </w:rPr>
      </w:pPr>
    </w:p>
    <w:p w14:paraId="2ED59209" w14:textId="3BB087D8" w:rsidR="0088042E" w:rsidRDefault="0088042E" w:rsidP="0088042E">
      <w:pPr>
        <w:pStyle w:val="ListParagraph"/>
        <w:numPr>
          <w:ilvl w:val="0"/>
          <w:numId w:val="3"/>
        </w:numPr>
        <w:rPr>
          <w:rFonts w:ascii="Arial" w:hAnsi="Arial" w:cs="Arial"/>
          <w:b/>
          <w:bCs/>
          <w:sz w:val="24"/>
          <w:szCs w:val="24"/>
          <w:lang w:val="en-GB"/>
        </w:rPr>
      </w:pPr>
      <w:r w:rsidRPr="0088042E">
        <w:rPr>
          <w:rFonts w:ascii="Arial" w:hAnsi="Arial" w:cs="Arial"/>
          <w:b/>
          <w:bCs/>
          <w:sz w:val="24"/>
          <w:szCs w:val="24"/>
          <w:lang w:val="en-GB"/>
        </w:rPr>
        <w:t>Brief about the programme</w:t>
      </w:r>
    </w:p>
    <w:p w14:paraId="4583C94E" w14:textId="77777777" w:rsidR="00852CDB" w:rsidRDefault="00852CDB" w:rsidP="00096214">
      <w:pPr>
        <w:pStyle w:val="DefaultText"/>
        <w:tabs>
          <w:tab w:val="clear" w:pos="-709"/>
        </w:tabs>
        <w:spacing w:line="240" w:lineRule="auto"/>
        <w:ind w:left="360"/>
        <w:rPr>
          <w:rFonts w:ascii="Arial" w:eastAsiaTheme="minorHAnsi" w:hAnsi="Arial" w:cs="Arial"/>
          <w:lang w:val="x-none" w:eastAsia="en-US"/>
        </w:rPr>
      </w:pPr>
    </w:p>
    <w:p w14:paraId="22360244" w14:textId="77777777" w:rsidR="00003C69" w:rsidRPr="00096214" w:rsidRDefault="00003C69" w:rsidP="00096214">
      <w:pPr>
        <w:spacing w:after="0" w:line="240" w:lineRule="auto"/>
        <w:jc w:val="both"/>
        <w:rPr>
          <w:rFonts w:ascii="Arial" w:hAnsi="Arial" w:cs="Arial"/>
          <w:lang w:val="en-GB"/>
        </w:rPr>
      </w:pPr>
      <w:bookmarkStart w:id="1" w:name="_Hlk520388545"/>
      <w:r w:rsidRPr="00096214">
        <w:rPr>
          <w:rFonts w:ascii="Arial" w:hAnsi="Arial" w:cs="Arial"/>
          <w:lang w:val="en-GB"/>
        </w:rPr>
        <w:t xml:space="preserve">The </w:t>
      </w:r>
      <w:bookmarkStart w:id="2" w:name="_Hlk520205587"/>
      <w:r w:rsidRPr="00096214">
        <w:rPr>
          <w:rFonts w:ascii="Arial" w:hAnsi="Arial" w:cs="Arial"/>
          <w:lang w:val="en-GB"/>
        </w:rPr>
        <w:t>11</w:t>
      </w:r>
      <w:r w:rsidRPr="00096214">
        <w:rPr>
          <w:rFonts w:ascii="Arial" w:hAnsi="Arial" w:cs="Arial"/>
          <w:vertAlign w:val="superscript"/>
          <w:lang w:val="en-GB"/>
        </w:rPr>
        <w:t>th</w:t>
      </w:r>
      <w:r w:rsidRPr="00096214">
        <w:rPr>
          <w:rFonts w:ascii="Arial" w:hAnsi="Arial" w:cs="Arial"/>
          <w:lang w:val="en-GB"/>
        </w:rPr>
        <w:t xml:space="preserve"> EDF</w:t>
      </w:r>
      <w:bookmarkEnd w:id="2"/>
      <w:r w:rsidRPr="00096214">
        <w:rPr>
          <w:rFonts w:ascii="Arial" w:hAnsi="Arial" w:cs="Arial"/>
          <w:lang w:val="en-GB"/>
        </w:rPr>
        <w:t xml:space="preserve"> cross-regional envelop on soft infrastructure support on energy provides through the Action, the development of further regulatory frameworks to nurture regional energy markets that are efficient, sustainable, harmonized and able to attract investments.  </w:t>
      </w:r>
    </w:p>
    <w:p w14:paraId="0D01A72C" w14:textId="77777777" w:rsidR="00003C69" w:rsidRPr="00F347C9" w:rsidRDefault="00003C69" w:rsidP="00096214">
      <w:pPr>
        <w:rPr>
          <w:rFonts w:ascii="Arial" w:hAnsi="Arial" w:cs="Arial"/>
        </w:rPr>
      </w:pPr>
    </w:p>
    <w:p w14:paraId="13770CDE" w14:textId="77777777" w:rsidR="00003C69" w:rsidRPr="00096214" w:rsidRDefault="00003C69" w:rsidP="00096214">
      <w:pPr>
        <w:spacing w:after="0" w:line="240" w:lineRule="auto"/>
        <w:jc w:val="both"/>
        <w:rPr>
          <w:rFonts w:ascii="Arial" w:hAnsi="Arial" w:cs="Arial"/>
          <w:lang w:val="en-GB"/>
        </w:rPr>
      </w:pPr>
      <w:r w:rsidRPr="00096214">
        <w:rPr>
          <w:rFonts w:ascii="Arial" w:hAnsi="Arial" w:cs="Arial"/>
          <w:lang w:val="en-GB"/>
        </w:rPr>
        <w:t>This programme focuses mainly on the electricity sector and is relevant for the Agenda 2030. It contributes primarily to the progressive achievement of Sustainable Development Goal (SDG) 7 of ensuring access to affordable, reliable, sustainable and modern energy for all, but also promotes progress towards SDG 5 of achieving gender equality and empowering all women and girls and SDG 12 of ensuring sustainable consumption and production patterns.</w:t>
      </w:r>
    </w:p>
    <w:p w14:paraId="593557DF" w14:textId="77777777" w:rsidR="00003C69" w:rsidRPr="00F347C9" w:rsidRDefault="00003C69" w:rsidP="00096214">
      <w:pPr>
        <w:widowControl w:val="0"/>
        <w:jc w:val="both"/>
        <w:rPr>
          <w:rFonts w:ascii="Arial" w:hAnsi="Arial" w:cs="Arial"/>
          <w:b/>
          <w:noProof/>
          <w:color w:val="000000"/>
          <w:w w:val="96"/>
        </w:rPr>
      </w:pPr>
    </w:p>
    <w:p w14:paraId="6E78DAD4" w14:textId="77777777" w:rsidR="00003C69" w:rsidRPr="00096214" w:rsidRDefault="00003C69" w:rsidP="00096214">
      <w:pPr>
        <w:spacing w:after="0" w:line="240" w:lineRule="auto"/>
        <w:jc w:val="both"/>
        <w:rPr>
          <w:rFonts w:ascii="Arial" w:hAnsi="Arial" w:cs="Arial"/>
          <w:noProof/>
          <w:color w:val="000000"/>
          <w:w w:val="96"/>
          <w:lang w:val="en-GB"/>
        </w:rPr>
      </w:pPr>
      <w:r w:rsidRPr="00096214">
        <w:rPr>
          <w:rFonts w:ascii="Arial" w:hAnsi="Arial" w:cs="Arial"/>
          <w:noProof/>
          <w:color w:val="000000"/>
          <w:w w:val="96"/>
          <w:lang w:val="en-GB"/>
        </w:rPr>
        <w:t xml:space="preserve">The overall objective of </w:t>
      </w:r>
      <w:r w:rsidRPr="00096214">
        <w:rPr>
          <w:rFonts w:ascii="Arial" w:hAnsi="Arial" w:cs="Arial"/>
          <w:bCs/>
          <w:iCs/>
          <w:noProof/>
          <w:color w:val="000000"/>
          <w:w w:val="96"/>
          <w:lang w:val="en-GB"/>
        </w:rPr>
        <w:t xml:space="preserve">ACTION </w:t>
      </w:r>
      <w:r w:rsidRPr="00096214">
        <w:rPr>
          <w:rFonts w:ascii="Arial" w:hAnsi="Arial" w:cs="Arial"/>
          <w:noProof/>
          <w:color w:val="000000"/>
          <w:w w:val="96"/>
          <w:lang w:val="en-GB"/>
        </w:rPr>
        <w:t>is</w:t>
      </w:r>
      <w:r w:rsidRPr="00096214">
        <w:rPr>
          <w:rFonts w:ascii="Arial" w:hAnsi="Arial" w:cs="Arial"/>
          <w:b/>
          <w:noProof/>
          <w:color w:val="000000"/>
          <w:w w:val="96"/>
          <w:lang w:val="en-GB"/>
        </w:rPr>
        <w:t>: “to enhance a sustainable regional energy market in the EA-SA-IO region, which is conducive to investment and promoting sustainable development”.</w:t>
      </w:r>
    </w:p>
    <w:p w14:paraId="2D6FE889" w14:textId="77777777" w:rsidR="00003C69" w:rsidRPr="000E2797" w:rsidRDefault="00003C69" w:rsidP="00096214">
      <w:pPr>
        <w:widowControl w:val="0"/>
        <w:jc w:val="both"/>
        <w:rPr>
          <w:rFonts w:ascii="Arial" w:hAnsi="Arial" w:cs="Arial"/>
          <w:b/>
          <w:noProof/>
          <w:color w:val="000000"/>
          <w:w w:val="96"/>
        </w:rPr>
      </w:pPr>
    </w:p>
    <w:p w14:paraId="39388A70" w14:textId="77777777" w:rsidR="00003C69" w:rsidRPr="00096214" w:rsidRDefault="00003C69" w:rsidP="00096214">
      <w:pPr>
        <w:spacing w:after="0" w:line="240" w:lineRule="auto"/>
        <w:jc w:val="both"/>
        <w:rPr>
          <w:rFonts w:ascii="Arial" w:hAnsi="Arial" w:cs="Arial"/>
          <w:noProof/>
          <w:color w:val="000000"/>
          <w:w w:val="96"/>
          <w:lang w:val="en-GB"/>
        </w:rPr>
      </w:pPr>
      <w:r w:rsidRPr="00096214">
        <w:rPr>
          <w:rFonts w:ascii="Arial" w:hAnsi="Arial" w:cs="Arial"/>
          <w:noProof/>
          <w:color w:val="000000"/>
          <w:w w:val="96"/>
          <w:lang w:val="en-GB"/>
        </w:rPr>
        <w:t>The specific objective is</w:t>
      </w:r>
      <w:r w:rsidRPr="00096214">
        <w:rPr>
          <w:rFonts w:ascii="Arial" w:hAnsi="Arial" w:cs="Arial"/>
          <w:b/>
          <w:noProof/>
          <w:color w:val="000000"/>
          <w:w w:val="96"/>
          <w:lang w:val="en-GB"/>
        </w:rPr>
        <w:t>: “to achieve an enhanced harmonised, efficient and gender-sensitive regulatory environment in the EA-SA-IO region; and Capacitate  regional regulatory associations  and power pools to more effectively oversee and stimulate increased regional power trade”.</w:t>
      </w:r>
    </w:p>
    <w:p w14:paraId="4923CD25" w14:textId="77777777" w:rsidR="00003C69" w:rsidRPr="000E2797" w:rsidRDefault="00003C69" w:rsidP="00096214">
      <w:pPr>
        <w:rPr>
          <w:rFonts w:ascii="Arial" w:hAnsi="Arial" w:cs="Arial"/>
          <w:noProof/>
          <w:color w:val="000000"/>
          <w:w w:val="96"/>
        </w:rPr>
      </w:pPr>
    </w:p>
    <w:p w14:paraId="7D81D1D7" w14:textId="77777777" w:rsidR="00003C69" w:rsidRPr="00F347C9" w:rsidRDefault="00003C69" w:rsidP="00CF42B6">
      <w:pPr>
        <w:pStyle w:val="ListParagraph"/>
        <w:spacing w:after="0" w:line="240" w:lineRule="auto"/>
        <w:ind w:left="0"/>
        <w:jc w:val="both"/>
        <w:rPr>
          <w:rFonts w:ascii="Arial" w:hAnsi="Arial" w:cs="Arial"/>
          <w:noProof/>
          <w:color w:val="000000"/>
          <w:w w:val="96"/>
          <w:lang w:val="en-GB"/>
        </w:rPr>
      </w:pPr>
      <w:r w:rsidRPr="00F347C9">
        <w:rPr>
          <w:rFonts w:ascii="Arial" w:hAnsi="Arial" w:cs="Arial"/>
          <w:noProof/>
          <w:color w:val="000000"/>
          <w:w w:val="96"/>
          <w:lang w:val="en-GB"/>
        </w:rPr>
        <w:t>The programme thus specifically supports actions to:</w:t>
      </w:r>
    </w:p>
    <w:p w14:paraId="785C174B" w14:textId="77777777" w:rsidR="00003C69" w:rsidRPr="00F347C9" w:rsidRDefault="00003C69" w:rsidP="00003C69">
      <w:pPr>
        <w:widowControl w:val="0"/>
        <w:jc w:val="both"/>
        <w:rPr>
          <w:rFonts w:ascii="Arial" w:hAnsi="Arial" w:cs="Arial"/>
          <w:noProof/>
          <w:color w:val="000000"/>
          <w:w w:val="96"/>
        </w:rPr>
      </w:pPr>
    </w:p>
    <w:p w14:paraId="7FF6918D" w14:textId="77777777" w:rsidR="00003C69" w:rsidRPr="00F347C9" w:rsidRDefault="00003C69" w:rsidP="00003C69">
      <w:pPr>
        <w:pStyle w:val="ListParagraph"/>
        <w:numPr>
          <w:ilvl w:val="0"/>
          <w:numId w:val="15"/>
        </w:numPr>
        <w:spacing w:after="0" w:line="240" w:lineRule="auto"/>
        <w:ind w:left="1440" w:hanging="720"/>
        <w:jc w:val="both"/>
        <w:rPr>
          <w:rFonts w:ascii="Arial" w:hAnsi="Arial" w:cs="Arial"/>
          <w:noProof/>
          <w:color w:val="000000"/>
          <w:w w:val="96"/>
          <w:lang w:val="en-GB"/>
        </w:rPr>
      </w:pPr>
      <w:r w:rsidRPr="00F347C9">
        <w:rPr>
          <w:rFonts w:ascii="Arial" w:hAnsi="Arial" w:cs="Arial"/>
          <w:noProof/>
          <w:color w:val="000000"/>
          <w:w w:val="96"/>
          <w:lang w:val="en-GB"/>
        </w:rPr>
        <w:t>Develop regionally harmonized regulatory frameworks to nurture a regional energy market that is efficient, sustainable, harmonised and able to attract investments as well as promote universal access;</w:t>
      </w:r>
    </w:p>
    <w:p w14:paraId="313AD16C" w14:textId="77777777" w:rsidR="00003C69" w:rsidRPr="00F347C9" w:rsidRDefault="00003C69" w:rsidP="00003C69">
      <w:pPr>
        <w:pStyle w:val="ListParagraph"/>
        <w:numPr>
          <w:ilvl w:val="0"/>
          <w:numId w:val="15"/>
        </w:numPr>
        <w:spacing w:after="0" w:line="240" w:lineRule="auto"/>
        <w:ind w:left="1440" w:hanging="720"/>
        <w:jc w:val="both"/>
        <w:rPr>
          <w:rFonts w:ascii="Arial" w:hAnsi="Arial" w:cs="Arial"/>
          <w:noProof/>
          <w:color w:val="000000"/>
          <w:w w:val="96"/>
          <w:lang w:val="en-GB"/>
        </w:rPr>
      </w:pPr>
      <w:r w:rsidRPr="00F347C9">
        <w:rPr>
          <w:rFonts w:ascii="Arial" w:hAnsi="Arial" w:cs="Arial"/>
          <w:noProof/>
          <w:color w:val="000000"/>
          <w:w w:val="96"/>
          <w:lang w:val="en-GB"/>
        </w:rPr>
        <w:t>Develop frameworks that enhance efficient energy management from the supply and demand side;</w:t>
      </w:r>
    </w:p>
    <w:p w14:paraId="3880F82C" w14:textId="77777777" w:rsidR="00003C69" w:rsidRPr="00F347C9" w:rsidRDefault="00003C69" w:rsidP="00003C69">
      <w:pPr>
        <w:pStyle w:val="ListParagraph"/>
        <w:numPr>
          <w:ilvl w:val="0"/>
          <w:numId w:val="15"/>
        </w:numPr>
        <w:spacing w:after="0" w:line="240" w:lineRule="auto"/>
        <w:ind w:left="1440" w:hanging="720"/>
        <w:jc w:val="both"/>
        <w:rPr>
          <w:rFonts w:ascii="Arial" w:hAnsi="Arial" w:cs="Arial"/>
          <w:noProof/>
          <w:color w:val="000000"/>
          <w:w w:val="96"/>
          <w:lang w:val="en-GB"/>
        </w:rPr>
      </w:pPr>
      <w:r w:rsidRPr="00F347C9">
        <w:rPr>
          <w:rFonts w:ascii="Arial" w:hAnsi="Arial" w:cs="Arial"/>
          <w:noProof/>
          <w:color w:val="000000"/>
          <w:w w:val="96"/>
          <w:lang w:val="en-GB"/>
        </w:rPr>
        <w:t>Develop model frameworks that enhance the integration of gender perspectives in energy policy and regulation;</w:t>
      </w:r>
    </w:p>
    <w:p w14:paraId="46BD84F4" w14:textId="77777777" w:rsidR="00003C69" w:rsidRPr="00F347C9" w:rsidRDefault="00003C69" w:rsidP="00003C69">
      <w:pPr>
        <w:pStyle w:val="ListParagraph"/>
        <w:numPr>
          <w:ilvl w:val="0"/>
          <w:numId w:val="15"/>
        </w:numPr>
        <w:spacing w:after="0" w:line="240" w:lineRule="auto"/>
        <w:ind w:left="1440" w:hanging="720"/>
        <w:jc w:val="both"/>
        <w:rPr>
          <w:rFonts w:ascii="Arial" w:hAnsi="Arial" w:cs="Arial"/>
          <w:noProof/>
          <w:color w:val="000000"/>
          <w:w w:val="96"/>
          <w:lang w:val="en-GB"/>
        </w:rPr>
      </w:pPr>
      <w:r w:rsidRPr="00F347C9">
        <w:rPr>
          <w:rFonts w:ascii="Arial" w:hAnsi="Arial" w:cs="Arial"/>
          <w:lang w:val="en-GB"/>
        </w:rPr>
        <w:t>Enhance</w:t>
      </w:r>
      <w:r w:rsidRPr="00F347C9">
        <w:rPr>
          <w:rFonts w:ascii="Arial" w:hAnsi="Arial" w:cs="Arial"/>
          <w:noProof/>
          <w:color w:val="000000"/>
          <w:w w:val="96"/>
          <w:lang w:val="en-GB"/>
        </w:rPr>
        <w:t xml:space="preserve"> the capacity of regulators in providing and enforcing regulations that enhance the regional market; and</w:t>
      </w:r>
    </w:p>
    <w:p w14:paraId="6FA25DBA" w14:textId="77777777" w:rsidR="00003C69" w:rsidRDefault="00003C69" w:rsidP="00003C69">
      <w:pPr>
        <w:pStyle w:val="ListParagraph"/>
        <w:numPr>
          <w:ilvl w:val="0"/>
          <w:numId w:val="15"/>
        </w:numPr>
        <w:spacing w:after="0" w:line="240" w:lineRule="auto"/>
        <w:ind w:left="1440" w:hanging="720"/>
        <w:jc w:val="both"/>
        <w:rPr>
          <w:rFonts w:ascii="Arial" w:hAnsi="Arial" w:cs="Arial"/>
          <w:noProof/>
          <w:color w:val="000000"/>
          <w:w w:val="96"/>
          <w:lang w:val="en-GB"/>
        </w:rPr>
      </w:pPr>
      <w:r w:rsidRPr="00F347C9">
        <w:rPr>
          <w:rFonts w:ascii="Arial" w:hAnsi="Arial" w:cs="Arial"/>
          <w:noProof/>
          <w:color w:val="000000"/>
          <w:w w:val="96"/>
          <w:lang w:val="en-GB"/>
        </w:rPr>
        <w:lastRenderedPageBreak/>
        <w:t>Enhance the renewable energy regulatory frameworks to promote investment in renewable energy.</w:t>
      </w:r>
    </w:p>
    <w:p w14:paraId="42F2A7A6" w14:textId="77777777" w:rsidR="00003C69" w:rsidRPr="00F347C9" w:rsidRDefault="00003C69" w:rsidP="00003C69">
      <w:pPr>
        <w:pStyle w:val="ListParagraph"/>
        <w:spacing w:after="0" w:line="240" w:lineRule="auto"/>
        <w:ind w:left="1440"/>
        <w:jc w:val="both"/>
        <w:rPr>
          <w:rFonts w:ascii="Arial" w:hAnsi="Arial" w:cs="Arial"/>
          <w:noProof/>
          <w:color w:val="000000"/>
          <w:w w:val="96"/>
          <w:lang w:val="en-GB"/>
        </w:rPr>
      </w:pPr>
    </w:p>
    <w:p w14:paraId="7216678A" w14:textId="77777777" w:rsidR="00003C69" w:rsidRPr="00CF42B6" w:rsidRDefault="00003C69" w:rsidP="00CF42B6">
      <w:pPr>
        <w:spacing w:after="0" w:line="240" w:lineRule="auto"/>
        <w:jc w:val="both"/>
        <w:rPr>
          <w:rFonts w:ascii="Arial" w:hAnsi="Arial" w:cs="Arial"/>
          <w:noProof/>
          <w:color w:val="000000"/>
          <w:w w:val="96"/>
          <w:lang w:val="en-GB"/>
        </w:rPr>
      </w:pPr>
      <w:r w:rsidRPr="00CF42B6">
        <w:rPr>
          <w:rFonts w:ascii="Arial" w:hAnsi="Arial" w:cs="Arial"/>
          <w:noProof/>
          <w:color w:val="000000"/>
          <w:w w:val="96"/>
          <w:lang w:val="en-GB"/>
        </w:rPr>
        <w:t>The beneficiaries of the Programme include all the Regional Economic Communities (RECs) in Eastern Africa, Southern Africa and Indian Ocean region including their energy regulatory associations and power pools.</w:t>
      </w:r>
    </w:p>
    <w:p w14:paraId="608F09F9" w14:textId="77777777" w:rsidR="00003C69" w:rsidRDefault="00003C69" w:rsidP="00CF42B6">
      <w:pPr>
        <w:widowControl w:val="0"/>
        <w:jc w:val="both"/>
        <w:rPr>
          <w:rFonts w:ascii="Arial" w:hAnsi="Arial" w:cs="Arial"/>
          <w:noProof/>
          <w:color w:val="000000"/>
          <w:w w:val="96"/>
          <w:szCs w:val="24"/>
        </w:rPr>
      </w:pPr>
    </w:p>
    <w:p w14:paraId="6A7E8493" w14:textId="77777777" w:rsidR="00003C69" w:rsidRPr="00CF42B6" w:rsidRDefault="00003C69" w:rsidP="00CF42B6">
      <w:pPr>
        <w:spacing w:after="0" w:line="240" w:lineRule="auto"/>
        <w:ind w:right="141"/>
        <w:jc w:val="both"/>
        <w:rPr>
          <w:rFonts w:ascii="Arial" w:hAnsi="Arial" w:cs="Arial"/>
          <w:noProof/>
          <w:color w:val="000000"/>
          <w:w w:val="96"/>
          <w:szCs w:val="24"/>
          <w:lang w:val="en-GB"/>
        </w:rPr>
      </w:pPr>
      <w:r w:rsidRPr="00CF42B6">
        <w:rPr>
          <w:rFonts w:ascii="Arial" w:hAnsi="Arial" w:cs="Arial"/>
          <w:noProof/>
          <w:color w:val="000000"/>
          <w:w w:val="96"/>
          <w:szCs w:val="24"/>
          <w:lang w:val="en-GB"/>
        </w:rPr>
        <w:t>Under this support spanning a period of 48 Months, commencing on 31</w:t>
      </w:r>
      <w:r w:rsidRPr="00CF42B6">
        <w:rPr>
          <w:rFonts w:ascii="Arial" w:hAnsi="Arial" w:cs="Arial"/>
          <w:noProof/>
          <w:color w:val="000000"/>
          <w:w w:val="96"/>
          <w:szCs w:val="24"/>
          <w:vertAlign w:val="superscript"/>
          <w:lang w:val="en-GB"/>
        </w:rPr>
        <w:t>st</w:t>
      </w:r>
      <w:r w:rsidRPr="00CF42B6">
        <w:rPr>
          <w:rFonts w:ascii="Arial" w:hAnsi="Arial" w:cs="Arial"/>
          <w:noProof/>
          <w:color w:val="000000"/>
          <w:w w:val="96"/>
          <w:szCs w:val="24"/>
          <w:lang w:val="en-GB"/>
        </w:rPr>
        <w:t xml:space="preserve"> May 2017, a total of Euro 7 million has been allocated to assist the EA-SA-IO region achieve the intended results as highlighted in Box 1 below. </w:t>
      </w:r>
    </w:p>
    <w:p w14:paraId="12B0E38E" w14:textId="77777777" w:rsidR="00003C69" w:rsidRDefault="00003C69" w:rsidP="00003C69">
      <w:pPr>
        <w:pStyle w:val="ListParagraph"/>
        <w:spacing w:after="0" w:line="240" w:lineRule="auto"/>
        <w:ind w:left="0"/>
        <w:jc w:val="both"/>
        <w:rPr>
          <w:rFonts w:ascii="Arial" w:hAnsi="Arial" w:cs="Arial"/>
          <w:noProof/>
          <w:color w:val="000000"/>
          <w:w w:val="96"/>
          <w:szCs w:val="24"/>
          <w:lang w:val="en-GB"/>
        </w:rPr>
      </w:pPr>
    </w:p>
    <w:tbl>
      <w:tblPr>
        <w:tblStyle w:val="TableGrid"/>
        <w:tblW w:w="9072" w:type="dxa"/>
        <w:tblInd w:w="-5" w:type="dxa"/>
        <w:tblLook w:val="04A0" w:firstRow="1" w:lastRow="0" w:firstColumn="1" w:lastColumn="0" w:noHBand="0" w:noVBand="1"/>
      </w:tblPr>
      <w:tblGrid>
        <w:gridCol w:w="1289"/>
        <w:gridCol w:w="7783"/>
      </w:tblGrid>
      <w:tr w:rsidR="00670EF2" w:rsidRPr="00587908" w14:paraId="7A43AC89" w14:textId="56E9C0EE" w:rsidTr="00670EF2">
        <w:tc>
          <w:tcPr>
            <w:tcW w:w="9072" w:type="dxa"/>
            <w:gridSpan w:val="2"/>
            <w:shd w:val="clear" w:color="auto" w:fill="9CC2E5" w:themeFill="accent5" w:themeFillTint="99"/>
          </w:tcPr>
          <w:p w14:paraId="76714A86" w14:textId="77777777" w:rsidR="00670EF2" w:rsidRPr="00AC2959" w:rsidRDefault="00670EF2" w:rsidP="00DD3EEC">
            <w:pPr>
              <w:rPr>
                <w:rFonts w:ascii="Arial" w:hAnsi="Arial" w:cs="Arial"/>
                <w:b/>
                <w:noProof/>
                <w:color w:val="000000"/>
                <w:w w:val="96"/>
              </w:rPr>
            </w:pPr>
            <w:r>
              <w:rPr>
                <w:rFonts w:ascii="Arial" w:hAnsi="Arial" w:cs="Arial"/>
                <w:b/>
                <w:noProof/>
                <w:color w:val="000000"/>
                <w:w w:val="96"/>
                <w:sz w:val="20"/>
              </w:rPr>
              <w:t xml:space="preserve">                                                            </w:t>
            </w:r>
            <w:r w:rsidRPr="00AC2959">
              <w:rPr>
                <w:rFonts w:ascii="Arial" w:hAnsi="Arial" w:cs="Arial"/>
                <w:b/>
                <w:noProof/>
                <w:color w:val="000000"/>
                <w:w w:val="96"/>
              </w:rPr>
              <w:t>Box 1:  ACTION Results</w:t>
            </w:r>
          </w:p>
          <w:p w14:paraId="609B53C5" w14:textId="77777777" w:rsidR="00670EF2" w:rsidRDefault="00670EF2" w:rsidP="00DD3EEC">
            <w:pPr>
              <w:rPr>
                <w:rFonts w:ascii="Arial" w:hAnsi="Arial" w:cs="Arial"/>
                <w:b/>
                <w:noProof/>
                <w:color w:val="000000"/>
                <w:w w:val="96"/>
                <w:sz w:val="20"/>
              </w:rPr>
            </w:pPr>
          </w:p>
        </w:tc>
      </w:tr>
      <w:tr w:rsidR="00670EF2" w:rsidRPr="00AC2959" w14:paraId="7E1E4B37" w14:textId="1FF43608" w:rsidTr="00670EF2">
        <w:trPr>
          <w:trHeight w:val="1020"/>
        </w:trPr>
        <w:tc>
          <w:tcPr>
            <w:tcW w:w="1289" w:type="dxa"/>
            <w:shd w:val="clear" w:color="auto" w:fill="9CC2E5" w:themeFill="accent5" w:themeFillTint="99"/>
          </w:tcPr>
          <w:p w14:paraId="3211588B" w14:textId="7D8249F5" w:rsidR="00670EF2" w:rsidRPr="00AC2959" w:rsidRDefault="00670EF2" w:rsidP="00670EF2">
            <w:pPr>
              <w:pStyle w:val="ListParagraph"/>
              <w:widowControl w:val="0"/>
              <w:ind w:left="885" w:hanging="885"/>
              <w:contextualSpacing w:val="0"/>
              <w:jc w:val="both"/>
              <w:rPr>
                <w:rFonts w:ascii="Arial" w:hAnsi="Arial" w:cs="Arial"/>
                <w:noProof/>
                <w:color w:val="000000"/>
                <w:w w:val="96"/>
                <w:lang w:val="en-GB"/>
              </w:rPr>
            </w:pPr>
            <w:r w:rsidRPr="00AC2959">
              <w:rPr>
                <w:rFonts w:ascii="Arial" w:hAnsi="Arial" w:cs="Arial"/>
                <w:b/>
                <w:noProof/>
                <w:color w:val="000000"/>
                <w:w w:val="96"/>
                <w:lang w:val="en-GB"/>
              </w:rPr>
              <w:t>Result 1:</w:t>
            </w:r>
            <w:r w:rsidRPr="00AC2959">
              <w:rPr>
                <w:rFonts w:ascii="Arial" w:hAnsi="Arial" w:cs="Arial"/>
                <w:noProof/>
                <w:color w:val="000000"/>
                <w:w w:val="96"/>
                <w:lang w:val="en-GB"/>
              </w:rPr>
              <w:t xml:space="preserve"> </w:t>
            </w:r>
            <w:r>
              <w:rPr>
                <w:rFonts w:ascii="Arial" w:hAnsi="Arial" w:cs="Arial"/>
                <w:noProof/>
                <w:color w:val="000000"/>
                <w:w w:val="96"/>
                <w:lang w:val="en-GB"/>
              </w:rPr>
              <w:t xml:space="preserve">  </w:t>
            </w:r>
          </w:p>
          <w:p w14:paraId="5E7EA596" w14:textId="77777777" w:rsidR="00670EF2" w:rsidRPr="00AC2959" w:rsidRDefault="00670EF2" w:rsidP="00CF42B6">
            <w:pPr>
              <w:pStyle w:val="ListParagraph"/>
              <w:widowControl w:val="0"/>
              <w:ind w:left="888"/>
              <w:contextualSpacing w:val="0"/>
              <w:jc w:val="both"/>
              <w:rPr>
                <w:rFonts w:ascii="Arial" w:hAnsi="Arial" w:cs="Arial"/>
                <w:noProof/>
                <w:color w:val="000000"/>
                <w:w w:val="96"/>
                <w:lang w:val="en-GB"/>
              </w:rPr>
            </w:pPr>
            <w:r w:rsidRPr="00AC2959">
              <w:rPr>
                <w:rFonts w:ascii="Arial" w:hAnsi="Arial" w:cs="Arial"/>
                <w:noProof/>
                <w:color w:val="000000"/>
                <w:w w:val="96"/>
                <w:lang w:val="en-GB"/>
              </w:rPr>
              <w:t xml:space="preserve"> </w:t>
            </w:r>
          </w:p>
          <w:p w14:paraId="017C817F" w14:textId="77777777" w:rsidR="00670EF2" w:rsidRPr="00AC2959" w:rsidRDefault="00670EF2" w:rsidP="00CF42B6">
            <w:pPr>
              <w:pStyle w:val="ListParagraph"/>
              <w:widowControl w:val="0"/>
              <w:ind w:left="888"/>
              <w:contextualSpacing w:val="0"/>
              <w:jc w:val="both"/>
              <w:rPr>
                <w:rFonts w:ascii="Arial" w:hAnsi="Arial" w:cs="Arial"/>
                <w:noProof/>
                <w:color w:val="000000"/>
                <w:w w:val="96"/>
                <w:lang w:val="en-GB"/>
              </w:rPr>
            </w:pPr>
          </w:p>
          <w:p w14:paraId="20808941" w14:textId="0FEF3F61" w:rsidR="00670EF2" w:rsidRPr="00AC2959" w:rsidRDefault="00670EF2" w:rsidP="00CF42B6">
            <w:pPr>
              <w:pStyle w:val="ListParagraph"/>
              <w:widowControl w:val="0"/>
              <w:ind w:left="888" w:hanging="888"/>
              <w:contextualSpacing w:val="0"/>
              <w:jc w:val="both"/>
              <w:rPr>
                <w:rFonts w:ascii="Arial" w:hAnsi="Arial" w:cs="Arial"/>
                <w:noProof/>
                <w:color w:val="000000"/>
                <w:w w:val="96"/>
                <w:lang w:val="en-GB"/>
              </w:rPr>
            </w:pPr>
          </w:p>
        </w:tc>
        <w:tc>
          <w:tcPr>
            <w:tcW w:w="7783" w:type="dxa"/>
            <w:shd w:val="clear" w:color="auto" w:fill="9CC2E5" w:themeFill="accent5" w:themeFillTint="99"/>
          </w:tcPr>
          <w:p w14:paraId="0A5C3504" w14:textId="77777777" w:rsidR="00670EF2" w:rsidRPr="00AC2959" w:rsidRDefault="00670EF2" w:rsidP="00670EF2">
            <w:pPr>
              <w:pStyle w:val="ListParagraph"/>
              <w:widowControl w:val="0"/>
              <w:ind w:left="0"/>
              <w:contextualSpacing w:val="0"/>
              <w:jc w:val="both"/>
              <w:rPr>
                <w:rFonts w:ascii="Arial" w:hAnsi="Arial" w:cs="Arial"/>
                <w:noProof/>
                <w:color w:val="000000"/>
                <w:w w:val="96"/>
                <w:lang w:val="en-GB"/>
              </w:rPr>
            </w:pPr>
            <w:r w:rsidRPr="00AC2959">
              <w:rPr>
                <w:rFonts w:ascii="Arial" w:hAnsi="Arial" w:cs="Arial"/>
                <w:noProof/>
                <w:color w:val="000000"/>
                <w:w w:val="96"/>
                <w:lang w:val="en-GB"/>
              </w:rPr>
              <w:t xml:space="preserve">A regionally harmonized energy regulatory framework adopted by regional and </w:t>
            </w:r>
            <w:r>
              <w:rPr>
                <w:rFonts w:ascii="Arial" w:hAnsi="Arial" w:cs="Arial"/>
                <w:noProof/>
                <w:color w:val="000000"/>
                <w:w w:val="96"/>
                <w:lang w:val="en-GB"/>
              </w:rPr>
              <w:t xml:space="preserve">     </w:t>
            </w:r>
            <w:r w:rsidRPr="00AC2959">
              <w:rPr>
                <w:rFonts w:ascii="Arial" w:hAnsi="Arial" w:cs="Arial"/>
                <w:noProof/>
                <w:color w:val="000000"/>
                <w:w w:val="96"/>
                <w:lang w:val="en-GB"/>
              </w:rPr>
              <w:t>national</w:t>
            </w:r>
            <w:r>
              <w:rPr>
                <w:rFonts w:ascii="Arial" w:hAnsi="Arial" w:cs="Arial"/>
                <w:noProof/>
                <w:color w:val="000000"/>
                <w:w w:val="96"/>
                <w:lang w:val="en-GB"/>
              </w:rPr>
              <w:t xml:space="preserve"> </w:t>
            </w:r>
            <w:r w:rsidRPr="00AC2959">
              <w:rPr>
                <w:rFonts w:ascii="Arial" w:hAnsi="Arial" w:cs="Arial"/>
                <w:noProof/>
                <w:color w:val="000000"/>
                <w:w w:val="96"/>
                <w:lang w:val="en-GB"/>
              </w:rPr>
              <w:t>regulatory institutions, with particular emphasis on cross border issues to encourage</w:t>
            </w:r>
            <w:r>
              <w:rPr>
                <w:rFonts w:ascii="Arial" w:hAnsi="Arial" w:cs="Arial"/>
                <w:noProof/>
                <w:color w:val="000000"/>
                <w:w w:val="96"/>
                <w:lang w:val="en-GB"/>
              </w:rPr>
              <w:t xml:space="preserve"> </w:t>
            </w:r>
            <w:r w:rsidRPr="00AC2959">
              <w:rPr>
                <w:rFonts w:ascii="Arial" w:hAnsi="Arial" w:cs="Arial"/>
                <w:noProof/>
                <w:color w:val="000000"/>
                <w:w w:val="96"/>
                <w:lang w:val="en-GB"/>
              </w:rPr>
              <w:t>investments in the region.</w:t>
            </w:r>
          </w:p>
          <w:p w14:paraId="76C99E28" w14:textId="77777777" w:rsidR="00670EF2" w:rsidRPr="00AC2959" w:rsidRDefault="00670EF2" w:rsidP="00670EF2">
            <w:pPr>
              <w:pStyle w:val="ListParagraph"/>
              <w:widowControl w:val="0"/>
              <w:ind w:left="0" w:hanging="885"/>
              <w:contextualSpacing w:val="0"/>
              <w:jc w:val="both"/>
              <w:rPr>
                <w:rFonts w:ascii="Arial" w:hAnsi="Arial" w:cs="Arial"/>
                <w:b/>
                <w:noProof/>
                <w:color w:val="000000"/>
                <w:w w:val="96"/>
                <w:lang w:val="en-GB"/>
              </w:rPr>
            </w:pPr>
          </w:p>
        </w:tc>
      </w:tr>
      <w:tr w:rsidR="00670EF2" w:rsidRPr="00AC2959" w14:paraId="71E0D019" w14:textId="77777777" w:rsidTr="00670EF2">
        <w:trPr>
          <w:trHeight w:val="992"/>
        </w:trPr>
        <w:tc>
          <w:tcPr>
            <w:tcW w:w="1289" w:type="dxa"/>
            <w:shd w:val="clear" w:color="auto" w:fill="9CC2E5" w:themeFill="accent5" w:themeFillTint="99"/>
          </w:tcPr>
          <w:p w14:paraId="672952F1" w14:textId="349DD3AC" w:rsidR="00670EF2" w:rsidRPr="00AC2959" w:rsidRDefault="00670EF2" w:rsidP="00670EF2">
            <w:pPr>
              <w:pStyle w:val="ListParagraph"/>
              <w:widowControl w:val="0"/>
              <w:ind w:left="885" w:hanging="885"/>
              <w:contextualSpacing w:val="0"/>
              <w:jc w:val="both"/>
              <w:rPr>
                <w:rFonts w:ascii="Arial" w:hAnsi="Arial" w:cs="Arial"/>
                <w:b/>
                <w:noProof/>
                <w:color w:val="000000"/>
                <w:w w:val="96"/>
                <w:lang w:val="en-GB"/>
              </w:rPr>
            </w:pPr>
            <w:r>
              <w:rPr>
                <w:rFonts w:ascii="Arial" w:hAnsi="Arial" w:cs="Arial"/>
                <w:b/>
                <w:noProof/>
                <w:color w:val="000000"/>
                <w:w w:val="96"/>
                <w:lang w:val="en-GB"/>
              </w:rPr>
              <w:t xml:space="preserve">Result </w:t>
            </w:r>
            <w:r w:rsidRPr="00AC2959">
              <w:rPr>
                <w:rFonts w:ascii="Arial" w:hAnsi="Arial" w:cs="Arial"/>
                <w:b/>
                <w:noProof/>
                <w:color w:val="000000"/>
                <w:w w:val="96"/>
                <w:lang w:val="en-GB"/>
              </w:rPr>
              <w:t>2:</w:t>
            </w:r>
          </w:p>
        </w:tc>
        <w:tc>
          <w:tcPr>
            <w:tcW w:w="7783" w:type="dxa"/>
            <w:shd w:val="clear" w:color="auto" w:fill="9CC2E5" w:themeFill="accent5" w:themeFillTint="99"/>
          </w:tcPr>
          <w:p w14:paraId="47868EEF" w14:textId="77777777" w:rsidR="00670EF2" w:rsidRPr="00AC2959" w:rsidRDefault="00670EF2" w:rsidP="00670EF2">
            <w:pPr>
              <w:pStyle w:val="ListParagraph"/>
              <w:widowControl w:val="0"/>
              <w:ind w:left="0"/>
              <w:contextualSpacing w:val="0"/>
              <w:jc w:val="both"/>
              <w:rPr>
                <w:rFonts w:ascii="Arial" w:hAnsi="Arial" w:cs="Arial"/>
                <w:noProof/>
                <w:color w:val="000000"/>
                <w:w w:val="96"/>
                <w:lang w:val="en-GB"/>
              </w:rPr>
            </w:pPr>
            <w:r w:rsidRPr="00AC2959">
              <w:rPr>
                <w:rFonts w:ascii="Arial" w:hAnsi="Arial" w:cs="Arial"/>
                <w:noProof/>
                <w:color w:val="000000"/>
                <w:w w:val="96"/>
                <w:lang w:val="en-GB"/>
              </w:rPr>
              <w:t>Enhancement of Regulatory Capacity of the National Regulatory Authorities and strengthening capacity of the Regional Associations and Power Pools so that they can proactively influence developments in the energy sector.</w:t>
            </w:r>
          </w:p>
          <w:p w14:paraId="375FD0FA" w14:textId="77777777" w:rsidR="00670EF2" w:rsidRPr="00670EF2" w:rsidRDefault="00670EF2" w:rsidP="00670EF2">
            <w:pPr>
              <w:pStyle w:val="ListParagraph"/>
              <w:widowControl w:val="0"/>
              <w:ind w:left="0"/>
              <w:contextualSpacing w:val="0"/>
              <w:jc w:val="both"/>
              <w:rPr>
                <w:rFonts w:ascii="Arial" w:hAnsi="Arial" w:cs="Arial"/>
                <w:noProof/>
                <w:color w:val="000000"/>
                <w:w w:val="96"/>
                <w:lang w:val="en-GB"/>
              </w:rPr>
            </w:pPr>
          </w:p>
        </w:tc>
      </w:tr>
      <w:tr w:rsidR="00670EF2" w:rsidRPr="00AC2959" w14:paraId="192F2AE2" w14:textId="77777777" w:rsidTr="00670EF2">
        <w:trPr>
          <w:trHeight w:val="826"/>
        </w:trPr>
        <w:tc>
          <w:tcPr>
            <w:tcW w:w="1289" w:type="dxa"/>
            <w:shd w:val="clear" w:color="auto" w:fill="9CC2E5" w:themeFill="accent5" w:themeFillTint="99"/>
          </w:tcPr>
          <w:p w14:paraId="7FC203F3" w14:textId="17CDA00C" w:rsidR="00670EF2" w:rsidRPr="00AC2959" w:rsidRDefault="00670EF2" w:rsidP="00670EF2">
            <w:pPr>
              <w:pStyle w:val="ListParagraph"/>
              <w:widowControl w:val="0"/>
              <w:ind w:left="885" w:hanging="885"/>
              <w:contextualSpacing w:val="0"/>
              <w:jc w:val="both"/>
              <w:rPr>
                <w:rFonts w:ascii="Arial" w:hAnsi="Arial" w:cs="Arial"/>
                <w:b/>
                <w:noProof/>
                <w:color w:val="000000"/>
                <w:w w:val="96"/>
                <w:lang w:val="en-GB"/>
              </w:rPr>
            </w:pPr>
            <w:r w:rsidRPr="00AC2959">
              <w:rPr>
                <w:rFonts w:ascii="Arial" w:hAnsi="Arial" w:cs="Arial"/>
                <w:b/>
                <w:noProof/>
                <w:color w:val="000000"/>
                <w:w w:val="96"/>
                <w:lang w:val="en-GB"/>
              </w:rPr>
              <w:t>Result 3:</w:t>
            </w:r>
          </w:p>
        </w:tc>
        <w:tc>
          <w:tcPr>
            <w:tcW w:w="7783" w:type="dxa"/>
            <w:shd w:val="clear" w:color="auto" w:fill="9CC2E5" w:themeFill="accent5" w:themeFillTint="99"/>
          </w:tcPr>
          <w:p w14:paraId="511E79B0" w14:textId="685F149F" w:rsidR="00670EF2" w:rsidRPr="00670EF2" w:rsidRDefault="00670EF2" w:rsidP="00670EF2">
            <w:pPr>
              <w:pStyle w:val="ListParagraph"/>
              <w:widowControl w:val="0"/>
              <w:ind w:left="0"/>
              <w:contextualSpacing w:val="0"/>
              <w:jc w:val="both"/>
              <w:rPr>
                <w:rFonts w:ascii="Arial" w:hAnsi="Arial" w:cs="Arial"/>
                <w:noProof/>
                <w:color w:val="000000"/>
                <w:w w:val="96"/>
                <w:lang w:val="en-GB"/>
              </w:rPr>
            </w:pPr>
            <w:r w:rsidRPr="00AC2959">
              <w:rPr>
                <w:rFonts w:ascii="Arial" w:hAnsi="Arial" w:cs="Arial"/>
                <w:noProof/>
                <w:color w:val="000000"/>
                <w:w w:val="96"/>
                <w:lang w:val="en-GB"/>
              </w:rPr>
              <w:t>Development and harmonizing the strategy on RES and EE for EA, SA and IO regions.</w:t>
            </w:r>
          </w:p>
        </w:tc>
      </w:tr>
      <w:bookmarkEnd w:id="1"/>
    </w:tbl>
    <w:p w14:paraId="6B38890E" w14:textId="77777777" w:rsidR="00003C69" w:rsidRDefault="00003C69" w:rsidP="00003C69">
      <w:pPr>
        <w:spacing w:after="200" w:line="276" w:lineRule="auto"/>
        <w:ind w:right="-266"/>
        <w:rPr>
          <w:rFonts w:ascii="Arial" w:hAnsi="Arial" w:cs="Arial"/>
          <w:b/>
        </w:rPr>
      </w:pPr>
    </w:p>
    <w:p w14:paraId="72EEE148" w14:textId="77777777" w:rsidR="00003C69" w:rsidRPr="00AC2959" w:rsidRDefault="00003C69" w:rsidP="00003C69">
      <w:pPr>
        <w:spacing w:after="200" w:line="276" w:lineRule="auto"/>
        <w:ind w:right="-266"/>
        <w:rPr>
          <w:rFonts w:ascii="Arial" w:hAnsi="Arial" w:cs="Arial"/>
          <w:b/>
        </w:rPr>
      </w:pPr>
    </w:p>
    <w:p w14:paraId="4011F139" w14:textId="0D57CCB0" w:rsidR="0088042E" w:rsidRPr="004061ED" w:rsidRDefault="0088042E" w:rsidP="004061ED">
      <w:pPr>
        <w:pStyle w:val="ListParagraph"/>
        <w:numPr>
          <w:ilvl w:val="0"/>
          <w:numId w:val="3"/>
        </w:numPr>
        <w:rPr>
          <w:rFonts w:ascii="Arial" w:hAnsi="Arial" w:cs="Arial"/>
          <w:sz w:val="24"/>
          <w:szCs w:val="24"/>
          <w:lang w:val="en-GB"/>
        </w:rPr>
      </w:pPr>
      <w:r w:rsidRPr="004061ED">
        <w:rPr>
          <w:rFonts w:ascii="Arial" w:hAnsi="Arial" w:cs="Arial"/>
          <w:b/>
          <w:bCs/>
          <w:sz w:val="24"/>
          <w:szCs w:val="24"/>
          <w:lang w:val="en-GB"/>
        </w:rPr>
        <w:t>Overview of 2019 programme and expenditure implementation</w:t>
      </w:r>
    </w:p>
    <w:p w14:paraId="4D5AEA4F" w14:textId="77777777" w:rsidR="00033AFA" w:rsidRPr="00033AFA" w:rsidRDefault="00033AFA" w:rsidP="00033AFA">
      <w:pPr>
        <w:jc w:val="both"/>
        <w:rPr>
          <w:rFonts w:ascii="Arial" w:hAnsi="Arial" w:cs="Arial"/>
          <w:i/>
          <w:sz w:val="24"/>
          <w:szCs w:val="24"/>
        </w:rPr>
      </w:pPr>
      <w:r w:rsidRPr="00033AFA">
        <w:rPr>
          <w:rFonts w:ascii="Arial" w:hAnsi="Arial" w:cs="Arial"/>
          <w:i/>
          <w:sz w:val="24"/>
          <w:szCs w:val="24"/>
        </w:rPr>
        <w:t xml:space="preserve">Result 1: A Regionally Harmonized Energy Regulatory Framework </w:t>
      </w:r>
    </w:p>
    <w:p w14:paraId="702EDEDE" w14:textId="77777777" w:rsidR="006A5ED8" w:rsidRDefault="006A5ED8" w:rsidP="0051591C">
      <w:pPr>
        <w:pStyle w:val="ListParagraph"/>
        <w:spacing w:after="0" w:line="240" w:lineRule="auto"/>
        <w:ind w:left="0" w:right="141"/>
        <w:jc w:val="both"/>
        <w:rPr>
          <w:rFonts w:ascii="Arial" w:hAnsi="Arial" w:cs="Arial"/>
          <w:lang w:val="en-GB"/>
        </w:rPr>
      </w:pPr>
    </w:p>
    <w:p w14:paraId="48CCF71F" w14:textId="2DA6B9B3" w:rsidR="001D7851" w:rsidRDefault="001D7851" w:rsidP="0051591C">
      <w:pPr>
        <w:pStyle w:val="ListParagraph"/>
        <w:spacing w:after="0" w:line="240" w:lineRule="auto"/>
        <w:ind w:left="0" w:right="141"/>
        <w:jc w:val="both"/>
        <w:rPr>
          <w:rFonts w:ascii="Arial" w:hAnsi="Arial" w:cs="Arial"/>
          <w:lang w:val="en-GB"/>
        </w:rPr>
      </w:pPr>
      <w:r>
        <w:rPr>
          <w:rFonts w:ascii="Arial" w:hAnsi="Arial" w:cs="Arial"/>
          <w:lang w:val="en-GB"/>
        </w:rPr>
        <w:t>The overall objective of this activity was to develop a harmonized framework for regulatory oversight of the regional energy market which should be adopted by regional and national regulatory institutions to promote investments and power trading in the EA-SA-IO region. The following activities were undertaken in the period under review:</w:t>
      </w:r>
    </w:p>
    <w:p w14:paraId="52017793" w14:textId="1D55301A" w:rsidR="00B53D26" w:rsidRDefault="00B53D26" w:rsidP="0051591C">
      <w:pPr>
        <w:pStyle w:val="ListParagraph"/>
        <w:spacing w:after="0" w:line="240" w:lineRule="auto"/>
        <w:ind w:left="0" w:right="141"/>
        <w:jc w:val="both"/>
        <w:rPr>
          <w:rFonts w:ascii="Arial" w:hAnsi="Arial" w:cs="Arial"/>
          <w:lang w:val="en-GB"/>
        </w:rPr>
      </w:pPr>
    </w:p>
    <w:p w14:paraId="22A71C95" w14:textId="77777777" w:rsidR="00B53D26" w:rsidRDefault="00B53D26" w:rsidP="00B53D26">
      <w:pPr>
        <w:pStyle w:val="ListParagraph"/>
        <w:numPr>
          <w:ilvl w:val="0"/>
          <w:numId w:val="18"/>
        </w:numPr>
        <w:spacing w:after="0" w:line="240" w:lineRule="auto"/>
        <w:ind w:right="142" w:hanging="720"/>
        <w:jc w:val="both"/>
        <w:rPr>
          <w:rFonts w:ascii="Arial" w:hAnsi="Arial" w:cs="Arial"/>
          <w:b/>
          <w:lang w:val="en-GB"/>
        </w:rPr>
      </w:pPr>
      <w:r>
        <w:rPr>
          <w:rFonts w:ascii="Arial" w:hAnsi="Arial" w:cs="Arial"/>
          <w:b/>
          <w:lang w:val="en-GB"/>
        </w:rPr>
        <w:t xml:space="preserve">Framework for a Harmonized Regulatory Oversight of the Regional Energy Market </w:t>
      </w:r>
    </w:p>
    <w:p w14:paraId="25AEF2F9" w14:textId="6B441AC9" w:rsidR="00B53D26" w:rsidRDefault="00B53D26" w:rsidP="00B53D26">
      <w:pPr>
        <w:pStyle w:val="ListParagraph"/>
        <w:spacing w:after="0" w:line="240" w:lineRule="auto"/>
        <w:ind w:right="-266"/>
        <w:jc w:val="both"/>
        <w:rPr>
          <w:rFonts w:ascii="Arial" w:hAnsi="Arial" w:cs="Arial"/>
          <w:sz w:val="24"/>
          <w:szCs w:val="24"/>
          <w:lang w:val="en-GB"/>
        </w:rPr>
      </w:pPr>
    </w:p>
    <w:p w14:paraId="440A2037" w14:textId="4BB0BF8E" w:rsidR="00C37F60" w:rsidRDefault="00AC150D" w:rsidP="00C37F60">
      <w:pPr>
        <w:pStyle w:val="ListParagraph"/>
        <w:numPr>
          <w:ilvl w:val="0"/>
          <w:numId w:val="23"/>
        </w:numPr>
        <w:spacing w:after="0" w:line="240" w:lineRule="auto"/>
        <w:ind w:right="142"/>
        <w:jc w:val="both"/>
        <w:rPr>
          <w:rFonts w:ascii="Arial" w:hAnsi="Arial" w:cs="Arial"/>
          <w:lang w:val="en-GB"/>
        </w:rPr>
      </w:pPr>
      <w:r>
        <w:rPr>
          <w:rFonts w:ascii="Arial" w:hAnsi="Arial" w:cs="Arial"/>
          <w:lang w:val="en-GB"/>
        </w:rPr>
        <w:t>Tender launched for the p</w:t>
      </w:r>
      <w:r w:rsidR="00C37F60">
        <w:rPr>
          <w:rFonts w:ascii="Arial" w:hAnsi="Arial" w:cs="Arial"/>
          <w:lang w:val="en-GB"/>
        </w:rPr>
        <w:t xml:space="preserve">rocurement of non-key experts to develop a harmonized framework for regulatory oversight of the regional energy market </w:t>
      </w:r>
    </w:p>
    <w:p w14:paraId="5382BABE" w14:textId="77777777" w:rsidR="00C37F60" w:rsidRDefault="00C37F60" w:rsidP="00C37F60">
      <w:pPr>
        <w:pStyle w:val="ListParagraph"/>
        <w:spacing w:after="0" w:line="240" w:lineRule="auto"/>
        <w:ind w:hanging="720"/>
        <w:jc w:val="both"/>
        <w:rPr>
          <w:rFonts w:ascii="Arial" w:hAnsi="Arial" w:cs="Arial"/>
          <w:lang w:val="en-GB"/>
        </w:rPr>
      </w:pPr>
    </w:p>
    <w:p w14:paraId="02F3C11A" w14:textId="493C83E5" w:rsidR="00184E05" w:rsidRPr="00184E05" w:rsidRDefault="00184E05" w:rsidP="00184E05">
      <w:pPr>
        <w:pStyle w:val="ListParagraph"/>
        <w:numPr>
          <w:ilvl w:val="0"/>
          <w:numId w:val="23"/>
        </w:numPr>
        <w:spacing w:after="0" w:line="240" w:lineRule="auto"/>
        <w:ind w:right="142"/>
        <w:jc w:val="both"/>
        <w:rPr>
          <w:rFonts w:ascii="Arial" w:hAnsi="Arial" w:cs="Arial"/>
          <w:lang w:val="en-GB"/>
        </w:rPr>
      </w:pPr>
      <w:r w:rsidRPr="00184E05">
        <w:rPr>
          <w:rFonts w:ascii="Arial" w:hAnsi="Arial" w:cs="Arial"/>
          <w:lang w:val="en-GB"/>
        </w:rPr>
        <w:t xml:space="preserve">Procurement </w:t>
      </w:r>
      <w:r w:rsidR="00FF6456">
        <w:rPr>
          <w:rFonts w:ascii="Arial" w:hAnsi="Arial" w:cs="Arial"/>
          <w:lang w:val="en-GB"/>
        </w:rPr>
        <w:t>ECA UK</w:t>
      </w:r>
      <w:r w:rsidRPr="00184E05">
        <w:rPr>
          <w:rFonts w:ascii="Arial" w:hAnsi="Arial" w:cs="Arial"/>
          <w:lang w:val="en-GB"/>
        </w:rPr>
        <w:t xml:space="preserve"> to develop a detailed transformation roadmap for the transformation of RERA into a Regional Regulatory Authority </w:t>
      </w:r>
    </w:p>
    <w:p w14:paraId="2ECF28D3" w14:textId="77777777" w:rsidR="00B53D26" w:rsidRPr="00F57EE4" w:rsidRDefault="00B53D26" w:rsidP="00B53D26">
      <w:pPr>
        <w:pStyle w:val="ListParagraph"/>
        <w:spacing w:after="0" w:line="240" w:lineRule="auto"/>
        <w:ind w:left="1440" w:right="141"/>
        <w:jc w:val="both"/>
        <w:rPr>
          <w:rFonts w:ascii="Arial" w:hAnsi="Arial" w:cs="Arial"/>
          <w:sz w:val="24"/>
          <w:szCs w:val="24"/>
          <w:lang w:val="en-GB"/>
        </w:rPr>
      </w:pPr>
    </w:p>
    <w:p w14:paraId="553256C0" w14:textId="6B6F1A07" w:rsidR="002C18F2" w:rsidRDefault="002C18F2" w:rsidP="002C18F2">
      <w:pPr>
        <w:pStyle w:val="ListParagraph"/>
        <w:numPr>
          <w:ilvl w:val="0"/>
          <w:numId w:val="23"/>
        </w:numPr>
        <w:spacing w:after="0" w:line="240" w:lineRule="auto"/>
        <w:jc w:val="both"/>
        <w:rPr>
          <w:rFonts w:ascii="Arial" w:hAnsi="Arial" w:cs="Arial"/>
          <w:lang w:val="en-GB"/>
        </w:rPr>
      </w:pPr>
      <w:bookmarkStart w:id="3" w:name="_Hlk528850497"/>
      <w:r>
        <w:rPr>
          <w:rFonts w:ascii="Arial" w:hAnsi="Arial" w:cs="Arial"/>
        </w:rPr>
        <w:t>Memorandum of Understanding (MoU)</w:t>
      </w:r>
      <w:r>
        <w:rPr>
          <w:rFonts w:ascii="Arial" w:hAnsi="Arial" w:cs="Arial"/>
          <w:lang w:val="en-GB"/>
        </w:rPr>
        <w:t xml:space="preserve"> signed </w:t>
      </w:r>
      <w:r>
        <w:rPr>
          <w:rFonts w:ascii="Arial" w:hAnsi="Arial" w:cs="Arial"/>
        </w:rPr>
        <w:t xml:space="preserve">with </w:t>
      </w:r>
      <w:r>
        <w:rPr>
          <w:rFonts w:ascii="Arial" w:hAnsi="Arial" w:cs="Arial"/>
          <w:lang w:val="fr-BE"/>
        </w:rPr>
        <w:t xml:space="preserve">the Council of </w:t>
      </w:r>
      <w:r>
        <w:rPr>
          <w:rFonts w:ascii="Arial" w:hAnsi="Arial" w:cs="Arial"/>
          <w:lang w:val="en-GB"/>
        </w:rPr>
        <w:t>European</w:t>
      </w:r>
      <w:r>
        <w:rPr>
          <w:rFonts w:ascii="Arial" w:hAnsi="Arial" w:cs="Arial"/>
          <w:lang w:val="fr-BE"/>
        </w:rPr>
        <w:t xml:space="preserve"> Energy </w:t>
      </w:r>
      <w:r>
        <w:rPr>
          <w:rFonts w:ascii="Arial" w:hAnsi="Arial" w:cs="Arial"/>
          <w:lang w:val="en-GB"/>
        </w:rPr>
        <w:t>Regulators</w:t>
      </w:r>
      <w:r>
        <w:rPr>
          <w:rFonts w:ascii="Arial" w:hAnsi="Arial" w:cs="Arial"/>
          <w:lang w:val="fr-BE"/>
        </w:rPr>
        <w:t xml:space="preserve"> (CEER) </w:t>
      </w:r>
      <w:r>
        <w:rPr>
          <w:rFonts w:ascii="Arial" w:hAnsi="Arial" w:cs="Arial"/>
          <w:lang w:val="en-GB"/>
        </w:rPr>
        <w:t xml:space="preserve">to enable a </w:t>
      </w:r>
      <w:r>
        <w:rPr>
          <w:rFonts w:ascii="Arial" w:hAnsi="Arial" w:cs="Arial"/>
        </w:rPr>
        <w:t xml:space="preserve">framework for </w:t>
      </w:r>
      <w:r>
        <w:rPr>
          <w:rFonts w:ascii="Arial" w:hAnsi="Arial" w:cs="Arial"/>
          <w:lang w:val="en-GB"/>
        </w:rPr>
        <w:t>cooperation</w:t>
      </w:r>
      <w:r>
        <w:rPr>
          <w:rFonts w:ascii="Arial" w:hAnsi="Arial" w:cs="Arial"/>
          <w:lang w:val="fr-BE"/>
        </w:rPr>
        <w:t xml:space="preserve"> and </w:t>
      </w:r>
      <w:r>
        <w:rPr>
          <w:rFonts w:ascii="Arial" w:hAnsi="Arial" w:cs="Arial"/>
          <w:lang w:val="en-ZA"/>
        </w:rPr>
        <w:t>to expose</w:t>
      </w:r>
      <w:r>
        <w:rPr>
          <w:rFonts w:ascii="Arial" w:hAnsi="Arial" w:cs="Arial"/>
          <w:lang w:val="fr-BE"/>
        </w:rPr>
        <w:t xml:space="preserve"> </w:t>
      </w:r>
      <w:r>
        <w:rPr>
          <w:rFonts w:ascii="Arial" w:hAnsi="Arial" w:cs="Arial"/>
          <w:lang w:val="en-GB"/>
        </w:rPr>
        <w:t xml:space="preserve">the Regional Regulatory Associations (RRAs) and their member regulators in the EA-SA-IO region to international best practices regarding regulating regional energy </w:t>
      </w:r>
      <w:r w:rsidR="00762648">
        <w:rPr>
          <w:rFonts w:ascii="Arial" w:hAnsi="Arial" w:cs="Arial"/>
          <w:lang w:val="en-GB"/>
        </w:rPr>
        <w:t>where:</w:t>
      </w:r>
    </w:p>
    <w:p w14:paraId="4914F2C1" w14:textId="77777777" w:rsidR="00F14F90" w:rsidRPr="00F14F90" w:rsidRDefault="00F14F90" w:rsidP="00F14F90">
      <w:pPr>
        <w:pStyle w:val="ListParagraph"/>
        <w:rPr>
          <w:rFonts w:ascii="Arial" w:hAnsi="Arial" w:cs="Arial"/>
          <w:lang w:val="en-GB"/>
        </w:rPr>
      </w:pPr>
    </w:p>
    <w:p w14:paraId="397703B5" w14:textId="77777777" w:rsidR="00F14F90" w:rsidRPr="00F06E87" w:rsidRDefault="00F14F90" w:rsidP="00F06E87">
      <w:pPr>
        <w:pStyle w:val="ListParagraph"/>
        <w:numPr>
          <w:ilvl w:val="1"/>
          <w:numId w:val="23"/>
        </w:numPr>
        <w:spacing w:after="0" w:line="240" w:lineRule="auto"/>
        <w:jc w:val="both"/>
        <w:rPr>
          <w:rFonts w:ascii="Arial" w:hAnsi="Arial" w:cs="Arial"/>
        </w:rPr>
      </w:pPr>
      <w:r w:rsidRPr="00F06E87">
        <w:rPr>
          <w:rFonts w:ascii="Arial" w:hAnsi="Arial" w:cs="Arial"/>
        </w:rPr>
        <w:lastRenderedPageBreak/>
        <w:t>Study Tour and Specialized Training on Wholesale and Retail Market Monitoring with participation of 12 senior regulatory officers of member regulatory institutions in the EA-SA-IO region was implemented in Brussels, Belgium</w:t>
      </w:r>
    </w:p>
    <w:p w14:paraId="20466ECA" w14:textId="77777777" w:rsidR="00F14F90" w:rsidRDefault="00F14F90" w:rsidP="00F06E87">
      <w:pPr>
        <w:pStyle w:val="ListParagraph"/>
        <w:spacing w:after="0" w:line="240" w:lineRule="auto"/>
        <w:ind w:left="1080"/>
        <w:jc w:val="both"/>
        <w:rPr>
          <w:rFonts w:ascii="Arial" w:hAnsi="Arial" w:cs="Arial"/>
          <w:lang w:val="en-GB"/>
        </w:rPr>
      </w:pPr>
    </w:p>
    <w:p w14:paraId="0736E277" w14:textId="7547D0C4" w:rsidR="002C18F2" w:rsidRDefault="002C18F2" w:rsidP="0064391F">
      <w:pPr>
        <w:pStyle w:val="ListParagraph"/>
        <w:numPr>
          <w:ilvl w:val="1"/>
          <w:numId w:val="23"/>
        </w:numPr>
        <w:spacing w:after="0" w:line="240" w:lineRule="auto"/>
        <w:jc w:val="both"/>
        <w:rPr>
          <w:rFonts w:ascii="Arial" w:hAnsi="Arial" w:cs="Arial"/>
          <w:lang w:val="en-US"/>
        </w:rPr>
      </w:pPr>
      <w:r>
        <w:rPr>
          <w:rFonts w:ascii="Arial" w:hAnsi="Arial" w:cs="Arial"/>
        </w:rPr>
        <w:t>A high-level seminar for Member States without autonomous energy regulator was held for Senior government</w:t>
      </w:r>
      <w:r>
        <w:rPr>
          <w:rFonts w:ascii="Arial" w:hAnsi="Arial" w:cs="Arial"/>
          <w:lang w:val="fr-BE"/>
        </w:rPr>
        <w:t xml:space="preserve"> </w:t>
      </w:r>
      <w:r>
        <w:rPr>
          <w:rFonts w:ascii="Arial" w:hAnsi="Arial" w:cs="Arial"/>
          <w:lang w:val="en-GB"/>
        </w:rPr>
        <w:t>officials</w:t>
      </w:r>
      <w:r>
        <w:rPr>
          <w:rFonts w:ascii="Arial" w:hAnsi="Arial" w:cs="Arial"/>
          <w:lang w:val="fr-BE"/>
        </w:rPr>
        <w:t xml:space="preserve"> </w:t>
      </w:r>
      <w:r w:rsidR="00E337EF">
        <w:rPr>
          <w:rFonts w:ascii="Arial" w:hAnsi="Arial" w:cs="Arial"/>
          <w:lang w:val="en-GB"/>
        </w:rPr>
        <w:t xml:space="preserve">from Comoros, the Democratic Republic of Congo, Djibouti, Somalia and South Sudan, </w:t>
      </w:r>
      <w:r w:rsidR="00E337EF">
        <w:rPr>
          <w:rFonts w:ascii="Arial" w:hAnsi="Arial" w:cs="Arial"/>
          <w:lang w:val="fr-BE"/>
        </w:rPr>
        <w:t xml:space="preserve">to </w:t>
      </w:r>
      <w:r w:rsidR="00E337EF">
        <w:rPr>
          <w:rFonts w:ascii="Arial" w:hAnsi="Arial" w:cs="Arial"/>
          <w:lang w:val="en-GB"/>
        </w:rPr>
        <w:t>provide</w:t>
      </w:r>
      <w:r w:rsidR="00E337EF">
        <w:rPr>
          <w:rFonts w:ascii="Arial" w:hAnsi="Arial" w:cs="Arial"/>
          <w:lang w:val="fr-BE"/>
        </w:rPr>
        <w:t xml:space="preserve"> the five (5) </w:t>
      </w:r>
      <w:r w:rsidR="00E337EF">
        <w:rPr>
          <w:rFonts w:ascii="Arial" w:hAnsi="Arial" w:cs="Arial"/>
          <w:lang w:val="en-GB"/>
        </w:rPr>
        <w:t>Member</w:t>
      </w:r>
      <w:r w:rsidR="00E337EF">
        <w:rPr>
          <w:rFonts w:ascii="Arial" w:hAnsi="Arial" w:cs="Arial"/>
          <w:lang w:val="fr-BE"/>
        </w:rPr>
        <w:t xml:space="preserve"> States an </w:t>
      </w:r>
      <w:r w:rsidR="00E337EF">
        <w:rPr>
          <w:rFonts w:ascii="Arial" w:hAnsi="Arial" w:cs="Arial"/>
          <w:lang w:val="en-GB"/>
        </w:rPr>
        <w:t>appreciation</w:t>
      </w:r>
      <w:r w:rsidR="00E337EF">
        <w:rPr>
          <w:rFonts w:ascii="Arial" w:hAnsi="Arial" w:cs="Arial"/>
          <w:lang w:val="fr-BE"/>
        </w:rPr>
        <w:t xml:space="preserve"> of the importance of </w:t>
      </w:r>
      <w:r w:rsidR="00E337EF">
        <w:rPr>
          <w:rFonts w:ascii="Arial" w:hAnsi="Arial" w:cs="Arial"/>
          <w:lang w:val="en-GB"/>
        </w:rPr>
        <w:t>establishing</w:t>
      </w:r>
      <w:r w:rsidR="00E337EF">
        <w:rPr>
          <w:rFonts w:ascii="Arial" w:hAnsi="Arial" w:cs="Arial"/>
          <w:lang w:val="fr-BE"/>
        </w:rPr>
        <w:t xml:space="preserve"> </w:t>
      </w:r>
      <w:r w:rsidR="00E337EF">
        <w:rPr>
          <w:rFonts w:ascii="Arial" w:hAnsi="Arial" w:cs="Arial"/>
          <w:lang w:val="en-GB"/>
        </w:rPr>
        <w:t>energy</w:t>
      </w:r>
      <w:r w:rsidR="00E337EF">
        <w:rPr>
          <w:rFonts w:ascii="Arial" w:hAnsi="Arial" w:cs="Arial"/>
          <w:lang w:val="fr-BE"/>
        </w:rPr>
        <w:t xml:space="preserve"> </w:t>
      </w:r>
      <w:r w:rsidR="00E337EF">
        <w:rPr>
          <w:rFonts w:ascii="Arial" w:hAnsi="Arial" w:cs="Arial"/>
          <w:lang w:val="en-GB"/>
        </w:rPr>
        <w:t>regulatory</w:t>
      </w:r>
      <w:r w:rsidR="00E337EF">
        <w:rPr>
          <w:rFonts w:ascii="Arial" w:hAnsi="Arial" w:cs="Arial"/>
          <w:lang w:val="fr-BE"/>
        </w:rPr>
        <w:t xml:space="preserve"> and </w:t>
      </w:r>
      <w:r w:rsidR="00E337EF">
        <w:rPr>
          <w:rFonts w:ascii="Arial" w:hAnsi="Arial" w:cs="Arial"/>
          <w:lang w:val="en-GB"/>
        </w:rPr>
        <w:t>institutional</w:t>
      </w:r>
      <w:r w:rsidR="00E337EF">
        <w:rPr>
          <w:rFonts w:ascii="Arial" w:hAnsi="Arial" w:cs="Arial"/>
          <w:lang w:val="fr-BE"/>
        </w:rPr>
        <w:t xml:space="preserve"> </w:t>
      </w:r>
      <w:r w:rsidR="00E337EF">
        <w:rPr>
          <w:rFonts w:ascii="Arial" w:hAnsi="Arial" w:cs="Arial"/>
          <w:lang w:val="en-GB"/>
        </w:rPr>
        <w:t>frameworks</w:t>
      </w:r>
      <w:r w:rsidR="00E337EF">
        <w:rPr>
          <w:rFonts w:ascii="Arial" w:hAnsi="Arial" w:cs="Arial"/>
          <w:lang w:val="fr-BE"/>
        </w:rPr>
        <w:t xml:space="preserve"> and </w:t>
      </w:r>
      <w:r w:rsidR="00E337EF">
        <w:rPr>
          <w:rFonts w:ascii="Arial" w:hAnsi="Arial" w:cs="Arial"/>
          <w:lang w:val="en-GB"/>
        </w:rPr>
        <w:t>their</w:t>
      </w:r>
      <w:r w:rsidR="00E337EF">
        <w:rPr>
          <w:rFonts w:ascii="Arial" w:hAnsi="Arial" w:cs="Arial"/>
          <w:lang w:val="fr-BE"/>
        </w:rPr>
        <w:t xml:space="preserve"> </w:t>
      </w:r>
      <w:r w:rsidR="00E337EF">
        <w:rPr>
          <w:rFonts w:ascii="Arial" w:hAnsi="Arial" w:cs="Arial"/>
          <w:lang w:val="en-GB"/>
        </w:rPr>
        <w:t>role</w:t>
      </w:r>
      <w:r w:rsidR="00E337EF">
        <w:rPr>
          <w:rFonts w:ascii="Arial" w:hAnsi="Arial" w:cs="Arial"/>
          <w:lang w:val="fr-BE"/>
        </w:rPr>
        <w:t xml:space="preserve"> in </w:t>
      </w:r>
      <w:r w:rsidR="00E337EF">
        <w:rPr>
          <w:rFonts w:ascii="Arial" w:hAnsi="Arial" w:cs="Arial"/>
          <w:lang w:val="en-GB"/>
        </w:rPr>
        <w:t>supporting</w:t>
      </w:r>
      <w:r w:rsidR="00E337EF">
        <w:rPr>
          <w:rFonts w:ascii="Arial" w:hAnsi="Arial" w:cs="Arial"/>
          <w:lang w:val="fr-BE"/>
        </w:rPr>
        <w:t xml:space="preserve"> National </w:t>
      </w:r>
      <w:r w:rsidR="00E337EF">
        <w:rPr>
          <w:rFonts w:ascii="Arial" w:hAnsi="Arial" w:cs="Arial"/>
          <w:lang w:val="en-GB"/>
        </w:rPr>
        <w:t>Governments</w:t>
      </w:r>
      <w:r w:rsidR="00E337EF">
        <w:rPr>
          <w:rFonts w:ascii="Arial" w:hAnsi="Arial" w:cs="Arial"/>
          <w:lang w:val="fr-BE"/>
        </w:rPr>
        <w:t>’ long-</w:t>
      </w:r>
      <w:r w:rsidR="00E337EF">
        <w:rPr>
          <w:rFonts w:ascii="Arial" w:hAnsi="Arial" w:cs="Arial"/>
          <w:lang w:val="en-GB"/>
        </w:rPr>
        <w:t>term</w:t>
      </w:r>
      <w:r w:rsidR="00E337EF">
        <w:rPr>
          <w:rFonts w:ascii="Arial" w:hAnsi="Arial" w:cs="Arial"/>
          <w:lang w:val="fr-BE"/>
        </w:rPr>
        <w:t xml:space="preserve"> objectives of </w:t>
      </w:r>
      <w:r w:rsidR="00E337EF">
        <w:rPr>
          <w:rFonts w:ascii="Arial" w:hAnsi="Arial" w:cs="Arial"/>
          <w:lang w:val="en-GB"/>
        </w:rPr>
        <w:t>providing</w:t>
      </w:r>
      <w:r w:rsidR="00E337EF">
        <w:rPr>
          <w:rFonts w:ascii="Arial" w:hAnsi="Arial" w:cs="Arial"/>
          <w:lang w:val="fr-BE"/>
        </w:rPr>
        <w:t xml:space="preserve"> </w:t>
      </w:r>
      <w:r w:rsidR="00E337EF">
        <w:rPr>
          <w:rFonts w:ascii="Arial" w:hAnsi="Arial" w:cs="Arial"/>
          <w:lang w:val="en-GB"/>
        </w:rPr>
        <w:t>affordable</w:t>
      </w:r>
      <w:r w:rsidR="00E337EF">
        <w:rPr>
          <w:rFonts w:ascii="Arial" w:hAnsi="Arial" w:cs="Arial"/>
          <w:lang w:val="fr-BE"/>
        </w:rPr>
        <w:t xml:space="preserve"> and reliable </w:t>
      </w:r>
      <w:r w:rsidR="00E337EF">
        <w:rPr>
          <w:rFonts w:ascii="Arial" w:hAnsi="Arial" w:cs="Arial"/>
          <w:lang w:val="en-GB"/>
        </w:rPr>
        <w:t>energy</w:t>
      </w:r>
      <w:r w:rsidR="00E337EF">
        <w:rPr>
          <w:rFonts w:ascii="Arial" w:hAnsi="Arial" w:cs="Arial"/>
          <w:lang w:val="fr-BE"/>
        </w:rPr>
        <w:t xml:space="preserve"> </w:t>
      </w:r>
      <w:r w:rsidR="00E337EF">
        <w:rPr>
          <w:rFonts w:ascii="Arial" w:hAnsi="Arial" w:cs="Arial"/>
          <w:lang w:val="en-GB"/>
        </w:rPr>
        <w:t>supply</w:t>
      </w:r>
      <w:r w:rsidR="00E337EF">
        <w:rPr>
          <w:rFonts w:ascii="Arial" w:hAnsi="Arial" w:cs="Arial"/>
          <w:lang w:val="fr-BE"/>
        </w:rPr>
        <w:t xml:space="preserve"> and services to </w:t>
      </w:r>
      <w:r w:rsidR="00E337EF">
        <w:rPr>
          <w:rFonts w:ascii="Arial" w:hAnsi="Arial" w:cs="Arial"/>
          <w:lang w:val="en-GB"/>
        </w:rPr>
        <w:t>its</w:t>
      </w:r>
      <w:r w:rsidR="00E337EF">
        <w:rPr>
          <w:rFonts w:ascii="Arial" w:hAnsi="Arial" w:cs="Arial"/>
          <w:lang w:val="fr-BE"/>
        </w:rPr>
        <w:t xml:space="preserve"> </w:t>
      </w:r>
      <w:r w:rsidR="00E337EF">
        <w:rPr>
          <w:rFonts w:ascii="Arial" w:hAnsi="Arial" w:cs="Arial"/>
          <w:lang w:val="en-GB"/>
        </w:rPr>
        <w:t>citizens</w:t>
      </w:r>
      <w:r>
        <w:rPr>
          <w:rFonts w:ascii="Arial" w:hAnsi="Arial" w:cs="Arial"/>
        </w:rPr>
        <w:t>.</w:t>
      </w:r>
    </w:p>
    <w:p w14:paraId="3C570B63" w14:textId="6A79CC3F" w:rsidR="001D7851" w:rsidRPr="00A51E20" w:rsidRDefault="001D7851" w:rsidP="00A51E20">
      <w:pPr>
        <w:pStyle w:val="ListParagraph"/>
        <w:numPr>
          <w:ilvl w:val="1"/>
          <w:numId w:val="23"/>
        </w:numPr>
        <w:spacing w:after="0" w:line="240" w:lineRule="auto"/>
        <w:jc w:val="both"/>
        <w:rPr>
          <w:rFonts w:ascii="Arial" w:hAnsi="Arial" w:cs="Arial"/>
        </w:rPr>
      </w:pPr>
      <w:bookmarkStart w:id="4" w:name="_Hlk519521419"/>
      <w:bookmarkEnd w:id="3"/>
      <w:r w:rsidRPr="00A51E20">
        <w:rPr>
          <w:rFonts w:ascii="Arial" w:hAnsi="Arial" w:cs="Arial"/>
        </w:rPr>
        <w:t>Comoros</w:t>
      </w:r>
      <w:r w:rsidR="00A51E20">
        <w:rPr>
          <w:rFonts w:ascii="Arial" w:hAnsi="Arial" w:cs="Arial"/>
          <w:lang w:val="en-ZA"/>
        </w:rPr>
        <w:t xml:space="preserve">, </w:t>
      </w:r>
      <w:r w:rsidRPr="00A51E20">
        <w:rPr>
          <w:rFonts w:ascii="Arial" w:hAnsi="Arial" w:cs="Arial"/>
        </w:rPr>
        <w:t xml:space="preserve">Democratic Republic of Congo </w:t>
      </w:r>
      <w:r w:rsidR="00A51E20">
        <w:rPr>
          <w:rFonts w:ascii="Arial" w:hAnsi="Arial" w:cs="Arial"/>
          <w:lang w:val="en-ZA"/>
        </w:rPr>
        <w:t xml:space="preserve">and Djibouti </w:t>
      </w:r>
      <w:r w:rsidRPr="00A51E20">
        <w:rPr>
          <w:rFonts w:ascii="Arial" w:hAnsi="Arial" w:cs="Arial"/>
        </w:rPr>
        <w:t>were identified as the t</w:t>
      </w:r>
      <w:r w:rsidR="00A51E20">
        <w:rPr>
          <w:rFonts w:ascii="Arial" w:hAnsi="Arial" w:cs="Arial"/>
          <w:lang w:val="en-ZA"/>
        </w:rPr>
        <w:t>hree</w:t>
      </w:r>
      <w:r w:rsidRPr="00A51E20">
        <w:rPr>
          <w:rFonts w:ascii="Arial" w:hAnsi="Arial" w:cs="Arial"/>
        </w:rPr>
        <w:t xml:space="preserve"> countries to be supported in enacting legislation to enable them establish energy regulators. </w:t>
      </w:r>
    </w:p>
    <w:bookmarkEnd w:id="4"/>
    <w:p w14:paraId="47C198BC" w14:textId="77777777" w:rsidR="002A2DCF" w:rsidRDefault="002A2DCF" w:rsidP="001D7851">
      <w:pPr>
        <w:jc w:val="both"/>
        <w:rPr>
          <w:rFonts w:ascii="Arial" w:hAnsi="Arial" w:cs="Arial"/>
          <w:b/>
          <w:color w:val="44546A" w:themeColor="text2"/>
        </w:rPr>
      </w:pPr>
    </w:p>
    <w:p w14:paraId="37D2AC4A" w14:textId="27DC414B" w:rsidR="001D7851" w:rsidRPr="002C09F8" w:rsidRDefault="001D7851" w:rsidP="001D7851">
      <w:pPr>
        <w:jc w:val="both"/>
        <w:rPr>
          <w:rFonts w:ascii="Arial" w:hAnsi="Arial" w:cs="Arial"/>
          <w:i/>
          <w:sz w:val="24"/>
          <w:szCs w:val="24"/>
        </w:rPr>
      </w:pPr>
      <w:r w:rsidRPr="002C09F8">
        <w:rPr>
          <w:rFonts w:ascii="Arial" w:hAnsi="Arial" w:cs="Arial"/>
          <w:i/>
          <w:sz w:val="24"/>
          <w:szCs w:val="24"/>
        </w:rPr>
        <w:t>Result 2: Enhancement of Regulatory Capacity of the National Regulatory Authorities</w:t>
      </w:r>
      <w:r>
        <w:rPr>
          <w:rFonts w:ascii="Arial" w:hAnsi="Arial" w:cs="Arial"/>
          <w:b/>
          <w:color w:val="44546A" w:themeColor="text2"/>
        </w:rPr>
        <w:t xml:space="preserve"> </w:t>
      </w:r>
      <w:r w:rsidRPr="002C09F8">
        <w:rPr>
          <w:rFonts w:ascii="Arial" w:hAnsi="Arial" w:cs="Arial"/>
          <w:i/>
          <w:sz w:val="24"/>
          <w:szCs w:val="24"/>
        </w:rPr>
        <w:t>and Strengthening Capacity of the Regional Regulatory Associations and Power Pools.</w:t>
      </w:r>
    </w:p>
    <w:p w14:paraId="28285E56" w14:textId="77777777" w:rsidR="001D7851" w:rsidRDefault="001D7851" w:rsidP="001D7851">
      <w:pPr>
        <w:jc w:val="both"/>
        <w:rPr>
          <w:rFonts w:ascii="Arial" w:hAnsi="Arial" w:cs="Arial"/>
          <w:b/>
          <w:caps/>
          <w:color w:val="44546A" w:themeColor="text2"/>
        </w:rPr>
      </w:pPr>
    </w:p>
    <w:p w14:paraId="2FB7DFB6" w14:textId="36958620" w:rsidR="001D7851" w:rsidRDefault="001D7851" w:rsidP="002A2DCF">
      <w:pPr>
        <w:pStyle w:val="ListParagraph"/>
        <w:spacing w:after="0" w:line="240" w:lineRule="auto"/>
        <w:ind w:left="0" w:right="141"/>
        <w:jc w:val="both"/>
        <w:rPr>
          <w:rFonts w:ascii="Arial" w:hAnsi="Arial" w:cs="Arial"/>
          <w:lang w:val="en-GB"/>
        </w:rPr>
      </w:pPr>
      <w:r>
        <w:rPr>
          <w:rFonts w:ascii="Arial" w:hAnsi="Arial" w:cs="Arial"/>
          <w:lang w:val="en-GB"/>
        </w:rPr>
        <w:t>The main objective of Result 2 is to enhance the capacity of the National Regulatory Institutions and strengthen the capacity of the Regional Regulatory Associations (RAERESA, EREA and RERA) and Power Pools (EAPP and SAPP) so that they can proactively influence developments in the energy sector in the EA-SA-IO region. The following activities were undertaken in the period under review:</w:t>
      </w:r>
    </w:p>
    <w:p w14:paraId="3C0E141F" w14:textId="77777777" w:rsidR="001D7851" w:rsidRDefault="001D7851" w:rsidP="001D7851">
      <w:pPr>
        <w:pStyle w:val="ListParagraph"/>
        <w:spacing w:after="0" w:line="240" w:lineRule="auto"/>
        <w:ind w:left="0" w:right="-1"/>
        <w:jc w:val="both"/>
        <w:rPr>
          <w:rFonts w:ascii="Arial" w:hAnsi="Arial" w:cs="Arial"/>
          <w:lang w:val="en-GB"/>
        </w:rPr>
      </w:pPr>
    </w:p>
    <w:p w14:paraId="0011F9E4" w14:textId="69CD43C6" w:rsidR="001D7851" w:rsidRPr="00486D2D" w:rsidRDefault="001D7851" w:rsidP="00486D2D">
      <w:pPr>
        <w:pStyle w:val="ListParagraph"/>
        <w:numPr>
          <w:ilvl w:val="0"/>
          <w:numId w:val="23"/>
        </w:numPr>
        <w:spacing w:after="120" w:line="240" w:lineRule="auto"/>
        <w:ind w:right="142"/>
        <w:jc w:val="both"/>
        <w:rPr>
          <w:rFonts w:ascii="Arial" w:hAnsi="Arial" w:cs="Arial"/>
          <w:bCs/>
          <w:lang w:val="en-US"/>
        </w:rPr>
      </w:pPr>
      <w:r w:rsidRPr="00486D2D">
        <w:rPr>
          <w:rFonts w:ascii="Arial" w:hAnsi="Arial" w:cs="Arial"/>
          <w:bCs/>
          <w:lang w:val="en-GB"/>
        </w:rPr>
        <w:t>Cooperation with the International Confederation of Energy Regulators (ICER) in their Women in Energy (WIE) Program</w:t>
      </w:r>
      <w:r w:rsidR="00486D2D" w:rsidRPr="00486D2D">
        <w:rPr>
          <w:rFonts w:ascii="Arial" w:hAnsi="Arial" w:cs="Arial"/>
          <w:bCs/>
          <w:lang w:val="en-ZA"/>
        </w:rPr>
        <w:t xml:space="preserve"> with</w:t>
      </w:r>
      <w:r w:rsidRPr="00486D2D">
        <w:rPr>
          <w:rFonts w:ascii="Arial" w:hAnsi="Arial" w:cs="Arial"/>
          <w:bCs/>
          <w:lang w:val="en-GB"/>
        </w:rPr>
        <w:t xml:space="preserve"> total of 9 women members of staff from 8 different Member States including Burundi, Kenya, Malawi, Namibia, Rwanda, South Africa, Sudan and Zimbabwe.15-member regulators are currently participating in ICER mentorship.</w:t>
      </w:r>
    </w:p>
    <w:p w14:paraId="4CAC4A3D" w14:textId="77777777" w:rsidR="001D7851" w:rsidRPr="00486D2D" w:rsidRDefault="001D7851" w:rsidP="001D7851">
      <w:pPr>
        <w:pStyle w:val="ListParagraph"/>
        <w:spacing w:after="0" w:line="240" w:lineRule="auto"/>
        <w:ind w:hanging="720"/>
        <w:jc w:val="both"/>
        <w:rPr>
          <w:rFonts w:ascii="Arial" w:hAnsi="Arial" w:cs="Arial"/>
          <w:bCs/>
          <w:lang w:val="en-GB"/>
        </w:rPr>
      </w:pPr>
    </w:p>
    <w:p w14:paraId="209D7026" w14:textId="3F71B45C" w:rsidR="001D7851" w:rsidRPr="002E5A56" w:rsidRDefault="001D7851" w:rsidP="002E5A56">
      <w:pPr>
        <w:pStyle w:val="ListParagraph"/>
        <w:numPr>
          <w:ilvl w:val="0"/>
          <w:numId w:val="23"/>
        </w:numPr>
        <w:spacing w:after="0" w:line="240" w:lineRule="auto"/>
        <w:ind w:right="142"/>
        <w:jc w:val="both"/>
        <w:rPr>
          <w:rFonts w:ascii="Arial" w:hAnsi="Arial" w:cs="Arial"/>
          <w:lang w:val="en-US"/>
        </w:rPr>
      </w:pPr>
      <w:r w:rsidRPr="00486D2D">
        <w:rPr>
          <w:rFonts w:ascii="Arial" w:hAnsi="Arial" w:cs="Arial"/>
          <w:bCs/>
          <w:lang w:val="en-GB"/>
        </w:rPr>
        <w:t>Capacitation of Regional Power Pools</w:t>
      </w:r>
      <w:r w:rsidR="00486D2D" w:rsidRPr="00486D2D">
        <w:rPr>
          <w:rFonts w:ascii="Arial" w:hAnsi="Arial" w:cs="Arial"/>
          <w:bCs/>
          <w:lang w:val="en-GB"/>
        </w:rPr>
        <w:t xml:space="preserve"> in</w:t>
      </w:r>
      <w:r w:rsidR="00486D2D">
        <w:rPr>
          <w:rFonts w:ascii="Arial" w:hAnsi="Arial" w:cs="Arial"/>
          <w:b/>
          <w:lang w:val="en-GB"/>
        </w:rPr>
        <w:t xml:space="preserve"> </w:t>
      </w:r>
      <w:r w:rsidR="00486D2D" w:rsidRPr="00486D2D">
        <w:rPr>
          <w:rFonts w:ascii="Arial" w:hAnsi="Arial" w:cs="Arial"/>
          <w:bCs/>
          <w:lang w:val="en-GB"/>
        </w:rPr>
        <w:t xml:space="preserve">which </w:t>
      </w:r>
      <w:r w:rsidRPr="00486D2D">
        <w:rPr>
          <w:rFonts w:ascii="Arial" w:hAnsi="Arial" w:cs="Arial"/>
          <w:bCs/>
        </w:rPr>
        <w:t>n</w:t>
      </w:r>
      <w:r w:rsidRPr="00486D2D">
        <w:rPr>
          <w:rFonts w:ascii="Arial" w:hAnsi="Arial" w:cs="Arial"/>
        </w:rPr>
        <w:t xml:space="preserve">ine (9) </w:t>
      </w:r>
      <w:r w:rsidRPr="00486D2D">
        <w:rPr>
          <w:rFonts w:ascii="Arial" w:hAnsi="Arial" w:cs="Arial"/>
          <w:lang w:val="fr-BE"/>
        </w:rPr>
        <w:t xml:space="preserve">senior </w:t>
      </w:r>
      <w:r w:rsidRPr="00486D2D">
        <w:rPr>
          <w:rFonts w:ascii="Arial" w:hAnsi="Arial" w:cs="Arial"/>
          <w:lang w:val="en-GB"/>
        </w:rPr>
        <w:t>members</w:t>
      </w:r>
      <w:r w:rsidRPr="00486D2D">
        <w:rPr>
          <w:rFonts w:ascii="Arial" w:hAnsi="Arial" w:cs="Arial"/>
          <w:lang w:val="fr-BE"/>
        </w:rPr>
        <w:t xml:space="preserve"> of staff </w:t>
      </w:r>
      <w:r w:rsidRPr="00486D2D">
        <w:rPr>
          <w:rFonts w:ascii="Arial" w:hAnsi="Arial" w:cs="Arial"/>
          <w:lang w:val="en-GB"/>
        </w:rPr>
        <w:t>from</w:t>
      </w:r>
      <w:r w:rsidRPr="00486D2D">
        <w:rPr>
          <w:rFonts w:ascii="Arial" w:hAnsi="Arial" w:cs="Arial"/>
          <w:lang w:val="fr-BE"/>
        </w:rPr>
        <w:t xml:space="preserve"> the </w:t>
      </w:r>
      <w:r w:rsidRPr="00486D2D">
        <w:rPr>
          <w:rFonts w:ascii="Arial" w:hAnsi="Arial" w:cs="Arial"/>
          <w:lang w:val="en-GB"/>
        </w:rPr>
        <w:t>Eastern</w:t>
      </w:r>
      <w:r w:rsidRPr="00486D2D">
        <w:rPr>
          <w:rFonts w:ascii="Arial" w:hAnsi="Arial" w:cs="Arial"/>
          <w:lang w:val="fr-BE"/>
        </w:rPr>
        <w:t xml:space="preserve"> </w:t>
      </w:r>
      <w:r w:rsidRPr="00486D2D">
        <w:rPr>
          <w:rFonts w:ascii="Arial" w:hAnsi="Arial" w:cs="Arial"/>
          <w:lang w:val="en-GB"/>
        </w:rPr>
        <w:t>Africa</w:t>
      </w:r>
      <w:r w:rsidRPr="00486D2D">
        <w:rPr>
          <w:rFonts w:ascii="Arial" w:hAnsi="Arial" w:cs="Arial"/>
          <w:lang w:val="fr-BE"/>
        </w:rPr>
        <w:t xml:space="preserve"> Power Pool (EAPP) and the </w:t>
      </w:r>
      <w:r w:rsidRPr="00486D2D">
        <w:rPr>
          <w:rFonts w:ascii="Arial" w:hAnsi="Arial" w:cs="Arial"/>
          <w:lang w:val="en-GB"/>
        </w:rPr>
        <w:t>Southern</w:t>
      </w:r>
      <w:r w:rsidRPr="00486D2D">
        <w:rPr>
          <w:rFonts w:ascii="Arial" w:hAnsi="Arial" w:cs="Arial"/>
          <w:lang w:val="fr-BE"/>
        </w:rPr>
        <w:t xml:space="preserve"> </w:t>
      </w:r>
      <w:r w:rsidRPr="00486D2D">
        <w:rPr>
          <w:rFonts w:ascii="Arial" w:hAnsi="Arial" w:cs="Arial"/>
          <w:lang w:val="en-GB"/>
        </w:rPr>
        <w:t>African</w:t>
      </w:r>
      <w:r w:rsidRPr="00486D2D">
        <w:rPr>
          <w:rFonts w:ascii="Arial" w:hAnsi="Arial" w:cs="Arial"/>
          <w:lang w:val="fr-BE"/>
        </w:rPr>
        <w:t xml:space="preserve"> Power Pool (SAPP) and relevant </w:t>
      </w:r>
      <w:r w:rsidRPr="00486D2D">
        <w:rPr>
          <w:rFonts w:ascii="Arial" w:hAnsi="Arial" w:cs="Arial"/>
          <w:lang w:val="en-GB"/>
        </w:rPr>
        <w:t>Regional</w:t>
      </w:r>
      <w:r w:rsidRPr="00486D2D">
        <w:rPr>
          <w:rFonts w:ascii="Arial" w:hAnsi="Arial" w:cs="Arial"/>
          <w:lang w:val="fr-BE"/>
        </w:rPr>
        <w:t xml:space="preserve"> </w:t>
      </w:r>
      <w:r w:rsidRPr="00486D2D">
        <w:rPr>
          <w:rFonts w:ascii="Arial" w:hAnsi="Arial" w:cs="Arial"/>
          <w:lang w:val="en-GB"/>
        </w:rPr>
        <w:t>Economic</w:t>
      </w:r>
      <w:r w:rsidRPr="00486D2D">
        <w:rPr>
          <w:rFonts w:ascii="Arial" w:hAnsi="Arial" w:cs="Arial"/>
          <w:lang w:val="fr-BE"/>
        </w:rPr>
        <w:t xml:space="preserve"> </w:t>
      </w:r>
      <w:r w:rsidRPr="00486D2D">
        <w:rPr>
          <w:rFonts w:ascii="Arial" w:hAnsi="Arial" w:cs="Arial"/>
          <w:lang w:val="en-GB"/>
        </w:rPr>
        <w:t>Communities</w:t>
      </w:r>
      <w:r w:rsidRPr="00486D2D">
        <w:rPr>
          <w:rFonts w:ascii="Arial" w:hAnsi="Arial" w:cs="Arial"/>
          <w:lang w:val="fr-BE"/>
        </w:rPr>
        <w:t xml:space="preserve"> (</w:t>
      </w:r>
      <w:r w:rsidRPr="00486D2D">
        <w:rPr>
          <w:rFonts w:ascii="Arial" w:hAnsi="Arial" w:cs="Arial"/>
          <w:lang w:val="en-GB"/>
        </w:rPr>
        <w:t>RECs)</w:t>
      </w:r>
      <w:r w:rsidRPr="00486D2D">
        <w:rPr>
          <w:rFonts w:ascii="Arial" w:hAnsi="Arial" w:cs="Arial"/>
          <w:lang w:val="fr-BE"/>
        </w:rPr>
        <w:t xml:space="preserve"> </w:t>
      </w:r>
      <w:r w:rsidRPr="00486D2D">
        <w:rPr>
          <w:rFonts w:ascii="Arial" w:hAnsi="Arial" w:cs="Arial"/>
          <w:lang w:val="en-GB"/>
        </w:rPr>
        <w:t>participated</w:t>
      </w:r>
      <w:r w:rsidRPr="00486D2D">
        <w:rPr>
          <w:rFonts w:ascii="Arial" w:hAnsi="Arial" w:cs="Arial"/>
          <w:lang w:val="fr-BE"/>
        </w:rPr>
        <w:t xml:space="preserve"> in a t</w:t>
      </w:r>
      <w:r w:rsidRPr="00486D2D">
        <w:rPr>
          <w:rFonts w:ascii="Arial" w:hAnsi="Arial" w:cs="Arial"/>
        </w:rPr>
        <w:t>raining on comprehensive power market concepts conducted by the Nord Pool Academy</w:t>
      </w:r>
      <w:r w:rsidR="002E5A56">
        <w:rPr>
          <w:rFonts w:ascii="Arial" w:hAnsi="Arial" w:cs="Arial"/>
          <w:lang w:val="en-ZA"/>
        </w:rPr>
        <w:t xml:space="preserve"> the </w:t>
      </w:r>
      <w:r w:rsidRPr="002E5A56">
        <w:rPr>
          <w:rFonts w:ascii="Arial" w:hAnsi="Arial" w:cs="Arial"/>
          <w:bCs/>
          <w:lang w:val="en-GB"/>
        </w:rPr>
        <w:t>included case studies, practical exercises and panel discussions with leading experts and international faculty</w:t>
      </w:r>
      <w:r w:rsidR="002E5A56">
        <w:rPr>
          <w:rFonts w:ascii="Arial" w:hAnsi="Arial" w:cs="Arial"/>
          <w:bCs/>
          <w:lang w:val="en-GB"/>
        </w:rPr>
        <w:t xml:space="preserve">, </w:t>
      </w:r>
      <w:r w:rsidR="00CC1F18">
        <w:rPr>
          <w:rFonts w:ascii="Arial" w:hAnsi="Arial" w:cs="Arial"/>
          <w:bCs/>
          <w:lang w:val="en-GB"/>
        </w:rPr>
        <w:t>with f</w:t>
      </w:r>
      <w:r w:rsidRPr="002E5A56">
        <w:rPr>
          <w:rFonts w:ascii="Arial" w:hAnsi="Arial" w:cs="Arial"/>
          <w:bCs/>
          <w:lang w:val="en-GB"/>
        </w:rPr>
        <w:t>ield trips to the Nord Pool trading desk and the financial trading desk of NASDAQ commodities’ derivative market.</w:t>
      </w:r>
    </w:p>
    <w:p w14:paraId="52E41E6C" w14:textId="77777777" w:rsidR="001D7851" w:rsidRPr="00712E0B" w:rsidRDefault="001D7851" w:rsidP="001D7851">
      <w:pPr>
        <w:pStyle w:val="ListParagraph"/>
        <w:spacing w:after="0" w:line="240" w:lineRule="auto"/>
        <w:ind w:left="1080" w:right="142"/>
        <w:jc w:val="both"/>
        <w:rPr>
          <w:rFonts w:ascii="Arial" w:hAnsi="Arial" w:cs="Arial"/>
          <w:bCs/>
          <w:lang w:val="en-GB"/>
        </w:rPr>
      </w:pPr>
    </w:p>
    <w:p w14:paraId="24E5E111" w14:textId="73126780" w:rsidR="001D7851" w:rsidRPr="00712E0B" w:rsidRDefault="00795F09" w:rsidP="009E3895">
      <w:pPr>
        <w:pStyle w:val="ListParagraph"/>
        <w:numPr>
          <w:ilvl w:val="0"/>
          <w:numId w:val="23"/>
        </w:numPr>
        <w:spacing w:after="120" w:line="240" w:lineRule="auto"/>
        <w:ind w:right="142"/>
        <w:jc w:val="both"/>
        <w:rPr>
          <w:rFonts w:ascii="Arial" w:hAnsi="Arial" w:cs="Arial"/>
          <w:bCs/>
          <w:lang w:val="en-GB"/>
        </w:rPr>
      </w:pPr>
      <w:r>
        <w:rPr>
          <w:rFonts w:ascii="Arial" w:hAnsi="Arial" w:cs="Arial"/>
          <w:bCs/>
          <w:lang w:val="en-GB"/>
        </w:rPr>
        <w:t>P</w:t>
      </w:r>
      <w:r w:rsidR="001D7851" w:rsidRPr="00712E0B">
        <w:rPr>
          <w:rFonts w:ascii="Arial" w:hAnsi="Arial" w:cs="Arial"/>
          <w:bCs/>
          <w:lang w:val="en-GB"/>
        </w:rPr>
        <w:t xml:space="preserve">eer Review of Zanzibar Utilities Regulatory Authority (ZURA) under the Energy Regulators Association of East Africa (EREA) </w:t>
      </w:r>
      <w:r>
        <w:rPr>
          <w:rFonts w:ascii="Arial" w:hAnsi="Arial" w:cs="Arial"/>
          <w:bCs/>
          <w:lang w:val="en-GB"/>
        </w:rPr>
        <w:t>which</w:t>
      </w:r>
      <w:r w:rsidR="001D7851" w:rsidRPr="00712E0B">
        <w:rPr>
          <w:rFonts w:ascii="Arial" w:hAnsi="Arial" w:cs="Arial"/>
          <w:bCs/>
          <w:lang w:val="en-GB"/>
        </w:rPr>
        <w:t xml:space="preserve"> aimed at facilitating knowledge transfer and building the capacity of the </w:t>
      </w:r>
      <w:r>
        <w:rPr>
          <w:rFonts w:ascii="Arial" w:hAnsi="Arial" w:cs="Arial"/>
          <w:bCs/>
          <w:lang w:val="en-GB"/>
        </w:rPr>
        <w:t>N</w:t>
      </w:r>
      <w:r w:rsidR="001D7851" w:rsidRPr="00712E0B">
        <w:rPr>
          <w:rFonts w:ascii="Arial" w:hAnsi="Arial" w:cs="Arial"/>
          <w:bCs/>
          <w:lang w:val="en-GB"/>
        </w:rPr>
        <w:t xml:space="preserve">ational </w:t>
      </w:r>
      <w:r>
        <w:rPr>
          <w:rFonts w:ascii="Arial" w:hAnsi="Arial" w:cs="Arial"/>
          <w:bCs/>
          <w:lang w:val="en-GB"/>
        </w:rPr>
        <w:t>R</w:t>
      </w:r>
      <w:r w:rsidR="001D7851" w:rsidRPr="00712E0B">
        <w:rPr>
          <w:rFonts w:ascii="Arial" w:hAnsi="Arial" w:cs="Arial"/>
          <w:bCs/>
          <w:lang w:val="en-GB"/>
        </w:rPr>
        <w:t xml:space="preserve">egulatory </w:t>
      </w:r>
      <w:r w:rsidR="00A06EE3">
        <w:rPr>
          <w:rFonts w:ascii="Arial" w:hAnsi="Arial" w:cs="Arial"/>
          <w:bCs/>
          <w:lang w:val="en-GB"/>
        </w:rPr>
        <w:t>In</w:t>
      </w:r>
      <w:r w:rsidR="001D7851" w:rsidRPr="00712E0B">
        <w:rPr>
          <w:rFonts w:ascii="Arial" w:hAnsi="Arial" w:cs="Arial"/>
          <w:bCs/>
          <w:lang w:val="en-GB"/>
        </w:rPr>
        <w:t xml:space="preserve">stitution </w:t>
      </w:r>
      <w:r>
        <w:rPr>
          <w:rFonts w:ascii="Arial" w:hAnsi="Arial" w:cs="Arial"/>
          <w:bCs/>
          <w:lang w:val="en-GB"/>
        </w:rPr>
        <w:t xml:space="preserve">(NRI) </w:t>
      </w:r>
      <w:r w:rsidR="001D7851" w:rsidRPr="00712E0B">
        <w:rPr>
          <w:rFonts w:ascii="Arial" w:hAnsi="Arial" w:cs="Arial"/>
          <w:bCs/>
          <w:lang w:val="en-GB"/>
        </w:rPr>
        <w:t>through the peer learning, independent quality assessment and audit of internal systems.</w:t>
      </w:r>
    </w:p>
    <w:p w14:paraId="21F81EBF" w14:textId="77777777" w:rsidR="001D7851" w:rsidRDefault="001D7851" w:rsidP="001D7851">
      <w:pPr>
        <w:pStyle w:val="ListParagraph"/>
        <w:spacing w:after="0" w:line="240" w:lineRule="auto"/>
        <w:ind w:right="-1"/>
        <w:jc w:val="both"/>
        <w:rPr>
          <w:rFonts w:ascii="Arial" w:hAnsi="Arial" w:cs="Arial"/>
          <w:b/>
          <w:color w:val="44546A" w:themeColor="text2"/>
          <w:lang w:val="en-GB"/>
        </w:rPr>
      </w:pPr>
    </w:p>
    <w:p w14:paraId="06706FF6" w14:textId="77777777" w:rsidR="002F20BD" w:rsidRPr="002F20BD" w:rsidRDefault="008B27B4" w:rsidP="00750365">
      <w:pPr>
        <w:pStyle w:val="ListParagraph"/>
        <w:numPr>
          <w:ilvl w:val="0"/>
          <w:numId w:val="23"/>
        </w:numPr>
        <w:spacing w:after="120" w:line="240" w:lineRule="auto"/>
        <w:ind w:right="142"/>
        <w:jc w:val="both"/>
        <w:rPr>
          <w:rFonts w:ascii="Arial" w:hAnsi="Arial" w:cs="Arial"/>
          <w:b/>
          <w:color w:val="44546A" w:themeColor="text2"/>
          <w:lang w:val="en-GB"/>
        </w:rPr>
      </w:pPr>
      <w:r w:rsidRPr="003F7616">
        <w:rPr>
          <w:rFonts w:ascii="Arial" w:hAnsi="Arial" w:cs="Arial"/>
          <w:bCs/>
          <w:lang w:val="en-GB"/>
        </w:rPr>
        <w:t xml:space="preserve">Capacitation of Regional Regulatory Association and National Regulatory Institutions in which </w:t>
      </w:r>
      <w:r w:rsidR="001D7851" w:rsidRPr="003F7616">
        <w:rPr>
          <w:rFonts w:ascii="Arial" w:hAnsi="Arial" w:cs="Arial"/>
          <w:bCs/>
          <w:lang w:val="en-GB"/>
        </w:rPr>
        <w:t xml:space="preserve">Three </w:t>
      </w:r>
      <w:r w:rsidR="003F7616" w:rsidRPr="003F7616">
        <w:rPr>
          <w:rFonts w:ascii="Arial" w:hAnsi="Arial" w:cs="Arial"/>
          <w:bCs/>
          <w:lang w:val="en-GB"/>
        </w:rPr>
        <w:t xml:space="preserve">(3) </w:t>
      </w:r>
      <w:r w:rsidR="001D7851" w:rsidRPr="003F7616">
        <w:rPr>
          <w:rFonts w:ascii="Arial" w:hAnsi="Arial" w:cs="Arial"/>
          <w:bCs/>
          <w:lang w:val="en-GB"/>
        </w:rPr>
        <w:t>members of staff from member regulators of RAERESA, EREA and IRB attended short regulatory courses offered by the Public Utility Research Centre</w:t>
      </w:r>
      <w:r w:rsidR="001D7851" w:rsidRPr="008B27B4">
        <w:rPr>
          <w:rFonts w:ascii="Arial" w:hAnsi="Arial" w:cs="Arial"/>
          <w:lang w:val="en-GB"/>
        </w:rPr>
        <w:t xml:space="preserve"> of the University of Florida, USA and the Florence School of Regulation in Florence, Italy </w:t>
      </w:r>
      <w:bookmarkStart w:id="5" w:name="_Hlk519523228"/>
    </w:p>
    <w:p w14:paraId="2283E3FF" w14:textId="77777777" w:rsidR="002F20BD" w:rsidRPr="002F20BD" w:rsidRDefault="002F20BD" w:rsidP="002F20BD">
      <w:pPr>
        <w:pStyle w:val="ListParagraph"/>
        <w:rPr>
          <w:rFonts w:ascii="Arial" w:hAnsi="Arial" w:cs="Arial"/>
          <w:lang w:val="en-GB"/>
        </w:rPr>
      </w:pPr>
    </w:p>
    <w:p w14:paraId="41CB21A0" w14:textId="77777777" w:rsidR="00B3409C" w:rsidRPr="00B3409C" w:rsidRDefault="001D7851" w:rsidP="00B3409C">
      <w:pPr>
        <w:pStyle w:val="ListParagraph"/>
        <w:numPr>
          <w:ilvl w:val="0"/>
          <w:numId w:val="23"/>
        </w:numPr>
        <w:spacing w:after="120" w:line="240" w:lineRule="auto"/>
        <w:ind w:right="142"/>
        <w:jc w:val="both"/>
        <w:rPr>
          <w:rFonts w:ascii="Arial" w:hAnsi="Arial" w:cs="Arial"/>
          <w:b/>
          <w:color w:val="44546A" w:themeColor="text2"/>
          <w:lang w:val="en-GB"/>
        </w:rPr>
      </w:pPr>
      <w:r w:rsidRPr="002F20BD">
        <w:rPr>
          <w:rFonts w:ascii="Arial" w:hAnsi="Arial" w:cs="Arial"/>
          <w:lang w:val="en-GB"/>
        </w:rPr>
        <w:t xml:space="preserve">concept note for possible collaboration with the International Confederation of Energy Regulators (ICER) </w:t>
      </w:r>
      <w:r w:rsidRPr="00B3409C">
        <w:rPr>
          <w:rFonts w:ascii="Arial" w:hAnsi="Arial" w:cs="Arial"/>
          <w:lang w:val="en-GB"/>
        </w:rPr>
        <w:t xml:space="preserve">developed and submitted to ICER. </w:t>
      </w:r>
    </w:p>
    <w:p w14:paraId="28D5DE74" w14:textId="77777777" w:rsidR="00B3409C" w:rsidRPr="00B3409C" w:rsidRDefault="00B3409C" w:rsidP="00B3409C">
      <w:pPr>
        <w:pStyle w:val="ListParagraph"/>
        <w:rPr>
          <w:rFonts w:ascii="Arial" w:hAnsi="Arial" w:cs="Arial"/>
          <w:lang w:val="en-GB"/>
        </w:rPr>
      </w:pPr>
    </w:p>
    <w:p w14:paraId="248AC422" w14:textId="7C00CADA" w:rsidR="001D7851" w:rsidRPr="00B3409C" w:rsidRDefault="001D7851" w:rsidP="00B3409C">
      <w:pPr>
        <w:pStyle w:val="ListParagraph"/>
        <w:numPr>
          <w:ilvl w:val="0"/>
          <w:numId w:val="23"/>
        </w:numPr>
        <w:spacing w:after="120" w:line="240" w:lineRule="auto"/>
        <w:ind w:right="142"/>
        <w:jc w:val="both"/>
        <w:rPr>
          <w:rFonts w:ascii="Arial" w:hAnsi="Arial" w:cs="Arial"/>
          <w:b/>
          <w:color w:val="44546A" w:themeColor="text2"/>
          <w:lang w:val="en-GB"/>
        </w:rPr>
      </w:pPr>
      <w:r w:rsidRPr="00B3409C">
        <w:rPr>
          <w:rFonts w:ascii="Arial" w:hAnsi="Arial" w:cs="Arial"/>
          <w:lang w:val="en-GB"/>
        </w:rPr>
        <w:t xml:space="preserve">training needs assessment for women in energy in-conjunction with the RRAs in EA-SA-IO region undertaken to establish the baseline and training programs required to be implemented. </w:t>
      </w:r>
    </w:p>
    <w:p w14:paraId="7A930DFC" w14:textId="77777777" w:rsidR="001D7851" w:rsidRDefault="001D7851" w:rsidP="001D7851">
      <w:pPr>
        <w:pStyle w:val="ListParagraph"/>
        <w:spacing w:after="0" w:line="240" w:lineRule="auto"/>
        <w:ind w:left="0"/>
        <w:jc w:val="both"/>
        <w:rPr>
          <w:rFonts w:ascii="Arial" w:hAnsi="Arial" w:cs="Arial"/>
          <w:b/>
          <w:caps/>
          <w:lang w:val="en-GB"/>
        </w:rPr>
      </w:pPr>
    </w:p>
    <w:bookmarkEnd w:id="5"/>
    <w:p w14:paraId="239DD254" w14:textId="77777777" w:rsidR="001D7851" w:rsidRPr="002C09F8" w:rsidRDefault="001D7851" w:rsidP="001D7851">
      <w:pPr>
        <w:jc w:val="both"/>
        <w:rPr>
          <w:rFonts w:ascii="Arial" w:hAnsi="Arial" w:cs="Arial"/>
          <w:i/>
          <w:sz w:val="24"/>
          <w:szCs w:val="24"/>
        </w:rPr>
      </w:pPr>
      <w:r w:rsidRPr="002C09F8">
        <w:rPr>
          <w:rFonts w:ascii="Arial" w:hAnsi="Arial" w:cs="Arial"/>
          <w:i/>
          <w:sz w:val="24"/>
          <w:szCs w:val="24"/>
        </w:rPr>
        <w:t>Result 3: Development and Harmonization of the Strategy on Renewable Energy</w:t>
      </w:r>
      <w:r>
        <w:rPr>
          <w:rFonts w:ascii="Arial" w:hAnsi="Arial" w:cs="Arial"/>
          <w:b/>
          <w:color w:val="44546A" w:themeColor="text2"/>
        </w:rPr>
        <w:t xml:space="preserve"> </w:t>
      </w:r>
      <w:r w:rsidRPr="002C09F8">
        <w:rPr>
          <w:rFonts w:ascii="Arial" w:hAnsi="Arial" w:cs="Arial"/>
          <w:i/>
          <w:sz w:val="24"/>
          <w:szCs w:val="24"/>
        </w:rPr>
        <w:t>Systems and Energy Efficiency for EA, SA and IO Regions</w:t>
      </w:r>
    </w:p>
    <w:p w14:paraId="789A950A" w14:textId="77777777" w:rsidR="001D7851" w:rsidRDefault="001D7851" w:rsidP="001D7851">
      <w:pPr>
        <w:jc w:val="both"/>
        <w:rPr>
          <w:rFonts w:ascii="Arial" w:hAnsi="Arial" w:cs="Arial"/>
          <w:b/>
          <w:caps/>
          <w:color w:val="44546A" w:themeColor="text2"/>
        </w:rPr>
      </w:pPr>
    </w:p>
    <w:p w14:paraId="5D548722" w14:textId="5A7AB7F4" w:rsidR="001D7851" w:rsidRDefault="001D7851" w:rsidP="004C60E7">
      <w:pPr>
        <w:pStyle w:val="ListParagraph"/>
        <w:spacing w:after="0" w:line="240" w:lineRule="auto"/>
        <w:ind w:left="0"/>
        <w:jc w:val="both"/>
        <w:rPr>
          <w:rFonts w:ascii="Arial" w:hAnsi="Arial" w:cs="Arial"/>
          <w:lang w:val="en-GB"/>
        </w:rPr>
      </w:pPr>
      <w:r>
        <w:rPr>
          <w:rFonts w:ascii="Arial" w:hAnsi="Arial" w:cs="Arial"/>
          <w:lang w:val="en-GB"/>
        </w:rPr>
        <w:t xml:space="preserve">The objective of Result 3 is to develop Renewable Energy Systems (RES) and Energy Efficiency (EE) policies, strategies, and regulatory guidelines to attract investments and to build capacity in clean energy in the region as well as the domestication on a demand driven basis. The following activities were undertaken: </w:t>
      </w:r>
    </w:p>
    <w:p w14:paraId="78910AA8" w14:textId="77777777" w:rsidR="003D2D68" w:rsidRDefault="003D2D68" w:rsidP="001D7851">
      <w:pPr>
        <w:pStyle w:val="ListParagraph"/>
        <w:spacing w:after="0" w:line="240" w:lineRule="auto"/>
        <w:ind w:hanging="6"/>
        <w:jc w:val="both"/>
        <w:rPr>
          <w:rFonts w:ascii="Arial" w:hAnsi="Arial" w:cs="Arial"/>
          <w:b/>
          <w:lang w:val="en-GB"/>
        </w:rPr>
      </w:pPr>
    </w:p>
    <w:p w14:paraId="21A5119F" w14:textId="7F64AD08" w:rsidR="00EF6F0D" w:rsidRPr="00EF6F0D" w:rsidRDefault="003D2D68" w:rsidP="00EF6F0D">
      <w:pPr>
        <w:pStyle w:val="ListParagraph"/>
        <w:numPr>
          <w:ilvl w:val="0"/>
          <w:numId w:val="23"/>
        </w:numPr>
        <w:spacing w:after="0" w:line="240" w:lineRule="auto"/>
        <w:ind w:hanging="714"/>
        <w:jc w:val="both"/>
        <w:rPr>
          <w:rFonts w:ascii="Arial" w:hAnsi="Arial" w:cs="Arial"/>
        </w:rPr>
      </w:pPr>
      <w:r w:rsidRPr="007756F6">
        <w:rPr>
          <w:rFonts w:ascii="Arial" w:hAnsi="Arial" w:cs="Arial"/>
          <w:lang w:val="en-ZA"/>
        </w:rPr>
        <w:t xml:space="preserve">CEEEZ procured </w:t>
      </w:r>
      <w:r w:rsidR="00333C56" w:rsidRPr="007756F6">
        <w:rPr>
          <w:rFonts w:ascii="Arial" w:hAnsi="Arial" w:cs="Arial"/>
          <w:lang w:val="en-ZA"/>
        </w:rPr>
        <w:t>as consultant</w:t>
      </w:r>
      <w:r w:rsidR="001D7851" w:rsidRPr="007756F6">
        <w:rPr>
          <w:rFonts w:ascii="Arial" w:hAnsi="Arial" w:cs="Arial"/>
        </w:rPr>
        <w:t xml:space="preserve"> to review existing renewable energy systems policies, strategies, action plans, regulatory frameworks and standards in order to establish best practices to inform the development of a synthesized regional renewable energy and energy efficiency strategy and action plan</w:t>
      </w:r>
      <w:r w:rsidR="007756F6" w:rsidRPr="007756F6">
        <w:rPr>
          <w:rFonts w:ascii="Arial" w:hAnsi="Arial" w:cs="Arial"/>
          <w:lang w:val="en-ZA"/>
        </w:rPr>
        <w:t>, and c</w:t>
      </w:r>
      <w:proofErr w:type="spellStart"/>
      <w:r w:rsidR="001D7851" w:rsidRPr="007756F6">
        <w:rPr>
          <w:rFonts w:ascii="Arial" w:hAnsi="Arial" w:cs="Arial"/>
        </w:rPr>
        <w:t>ountry</w:t>
      </w:r>
      <w:proofErr w:type="spellEnd"/>
      <w:r w:rsidR="001D7851" w:rsidRPr="007756F6">
        <w:rPr>
          <w:rFonts w:ascii="Arial" w:hAnsi="Arial" w:cs="Arial"/>
        </w:rPr>
        <w:t xml:space="preserve"> visits and a consultative workshop were undertaken</w:t>
      </w:r>
      <w:r w:rsidR="007756F6">
        <w:rPr>
          <w:rFonts w:ascii="Arial" w:hAnsi="Arial" w:cs="Arial"/>
          <w:lang w:val="en-ZA"/>
        </w:rPr>
        <w:t>.</w:t>
      </w:r>
    </w:p>
    <w:p w14:paraId="5B9D6D8B" w14:textId="77777777" w:rsidR="00EF6F0D" w:rsidRPr="00EF6F0D" w:rsidRDefault="00EF6F0D" w:rsidP="00EF6F0D">
      <w:pPr>
        <w:pStyle w:val="ListParagraph"/>
        <w:spacing w:after="0" w:line="240" w:lineRule="auto"/>
        <w:ind w:left="1080"/>
        <w:jc w:val="both"/>
        <w:rPr>
          <w:rFonts w:ascii="Arial" w:hAnsi="Arial" w:cs="Arial"/>
        </w:rPr>
      </w:pPr>
    </w:p>
    <w:p w14:paraId="51A915C6" w14:textId="54A1BB5B" w:rsidR="00B30F9E" w:rsidRPr="00EF6F0D" w:rsidRDefault="00EF6F0D" w:rsidP="00EF6F0D">
      <w:pPr>
        <w:pStyle w:val="ListParagraph"/>
        <w:numPr>
          <w:ilvl w:val="0"/>
          <w:numId w:val="23"/>
        </w:numPr>
        <w:spacing w:after="0" w:line="240" w:lineRule="auto"/>
        <w:ind w:hanging="714"/>
        <w:jc w:val="both"/>
        <w:rPr>
          <w:rFonts w:ascii="Arial" w:hAnsi="Arial" w:cs="Arial"/>
        </w:rPr>
      </w:pPr>
      <w:r w:rsidRPr="00EF6F0D">
        <w:rPr>
          <w:rFonts w:ascii="Arial" w:hAnsi="Arial" w:cs="Arial"/>
          <w:lang w:val="en-ZA"/>
        </w:rPr>
        <w:t>fr</w:t>
      </w:r>
      <w:r w:rsidR="00B30F9E" w:rsidRPr="00EF6F0D">
        <w:rPr>
          <w:rFonts w:ascii="Arial" w:hAnsi="Arial" w:cs="Arial"/>
          <w:lang w:val="en-ZA"/>
        </w:rPr>
        <w:t xml:space="preserve">amework </w:t>
      </w:r>
      <w:r w:rsidR="001D7851" w:rsidRPr="00EF6F0D">
        <w:rPr>
          <w:rFonts w:ascii="Arial" w:hAnsi="Arial" w:cs="Arial"/>
        </w:rPr>
        <w:t xml:space="preserve">for </w:t>
      </w:r>
      <w:bookmarkStart w:id="6" w:name="_Hlk9322765"/>
      <w:r w:rsidR="001D7851" w:rsidRPr="00EF6F0D">
        <w:rPr>
          <w:rFonts w:ascii="Arial" w:hAnsi="Arial" w:cs="Arial"/>
        </w:rPr>
        <w:t>cooperation and</w:t>
      </w:r>
      <w:bookmarkEnd w:id="6"/>
      <w:r w:rsidR="001D7851" w:rsidRPr="00EF6F0D">
        <w:rPr>
          <w:rFonts w:ascii="Arial" w:hAnsi="Arial" w:cs="Arial"/>
        </w:rPr>
        <w:t xml:space="preserve"> collaboration with the Rocky Mountain Institute (RMI) to enable the development and implementation of regional energy efficiency programs in industry, transport and buildings for the EA-SA-IO region developed and MoU</w:t>
      </w:r>
      <w:r w:rsidR="007756F6" w:rsidRPr="00EF6F0D">
        <w:rPr>
          <w:rFonts w:ascii="Arial" w:hAnsi="Arial" w:cs="Arial"/>
          <w:lang w:val="en-ZA"/>
        </w:rPr>
        <w:t xml:space="preserve"> signed</w:t>
      </w:r>
      <w:r w:rsidR="001D7851" w:rsidRPr="00EF6F0D">
        <w:rPr>
          <w:rFonts w:ascii="Arial" w:hAnsi="Arial" w:cs="Arial"/>
        </w:rPr>
        <w:t xml:space="preserve">. </w:t>
      </w:r>
    </w:p>
    <w:p w14:paraId="5EB52CE9" w14:textId="77777777" w:rsidR="00B30F9E" w:rsidRPr="00B30F9E" w:rsidRDefault="00B30F9E" w:rsidP="00B30F9E">
      <w:pPr>
        <w:pStyle w:val="ListParagraph"/>
        <w:rPr>
          <w:rFonts w:ascii="Arial" w:hAnsi="Arial" w:cs="Arial"/>
        </w:rPr>
      </w:pPr>
    </w:p>
    <w:p w14:paraId="78C39EB1" w14:textId="77777777" w:rsidR="00D21207" w:rsidRPr="00D21207" w:rsidRDefault="001D7851" w:rsidP="00B30F9E">
      <w:pPr>
        <w:pStyle w:val="ListParagraph"/>
        <w:numPr>
          <w:ilvl w:val="0"/>
          <w:numId w:val="23"/>
        </w:numPr>
        <w:spacing w:after="0" w:line="240" w:lineRule="auto"/>
        <w:ind w:hanging="714"/>
        <w:jc w:val="both"/>
        <w:rPr>
          <w:rFonts w:ascii="Arial" w:hAnsi="Arial" w:cs="Arial"/>
          <w:b/>
          <w:lang w:val="en-GB"/>
        </w:rPr>
      </w:pPr>
      <w:r w:rsidRPr="00B30F9E">
        <w:rPr>
          <w:rFonts w:ascii="Arial" w:hAnsi="Arial" w:cs="Arial"/>
        </w:rPr>
        <w:t>framework for</w:t>
      </w:r>
      <w:r w:rsidRPr="00B30F9E">
        <w:rPr>
          <w:rFonts w:ascii="Arial" w:eastAsia="Times New Roman" w:hAnsi="Arial" w:cs="Arial"/>
          <w:snapToGrid w:val="0"/>
          <w:lang w:val="fr-BE"/>
        </w:rPr>
        <w:t xml:space="preserve"> </w:t>
      </w:r>
      <w:r w:rsidRPr="00B30F9E">
        <w:rPr>
          <w:rFonts w:ascii="Arial" w:hAnsi="Arial" w:cs="Arial"/>
          <w:lang w:val="en-GB"/>
        </w:rPr>
        <w:t>cooperation</w:t>
      </w:r>
      <w:r w:rsidRPr="00B30F9E">
        <w:rPr>
          <w:rFonts w:ascii="Arial" w:hAnsi="Arial" w:cs="Arial"/>
          <w:lang w:val="fr-BE"/>
        </w:rPr>
        <w:t xml:space="preserve"> and</w:t>
      </w:r>
      <w:r w:rsidRPr="00B30F9E">
        <w:rPr>
          <w:rFonts w:ascii="Arial" w:hAnsi="Arial" w:cs="Arial"/>
        </w:rPr>
        <w:t xml:space="preserve"> collaboration with the Collaborative </w:t>
      </w:r>
      <w:proofErr w:type="spellStart"/>
      <w:r w:rsidRPr="00B30F9E">
        <w:rPr>
          <w:rFonts w:ascii="Arial" w:hAnsi="Arial" w:cs="Arial"/>
        </w:rPr>
        <w:t>Labeling</w:t>
      </w:r>
      <w:proofErr w:type="spellEnd"/>
      <w:r w:rsidRPr="00B30F9E">
        <w:rPr>
          <w:rFonts w:ascii="Arial" w:hAnsi="Arial" w:cs="Arial"/>
        </w:rPr>
        <w:t xml:space="preserve"> and Appliances Standards Programme (CLASP) developed </w:t>
      </w:r>
      <w:r w:rsidRPr="00B30F9E">
        <w:rPr>
          <w:rFonts w:ascii="Arial" w:hAnsi="Arial" w:cs="Arial"/>
          <w:lang w:val="fr-BE"/>
        </w:rPr>
        <w:t xml:space="preserve">and </w:t>
      </w:r>
      <w:r w:rsidRPr="00B30F9E">
        <w:rPr>
          <w:rFonts w:ascii="Arial" w:hAnsi="Arial" w:cs="Arial"/>
          <w:lang w:val="en-GB"/>
        </w:rPr>
        <w:t>MoU</w:t>
      </w:r>
      <w:r w:rsidR="00EF6F0D">
        <w:rPr>
          <w:rFonts w:ascii="Arial" w:hAnsi="Arial" w:cs="Arial"/>
          <w:lang w:val="fr-BE"/>
        </w:rPr>
        <w:t xml:space="preserve"> </w:t>
      </w:r>
      <w:proofErr w:type="spellStart"/>
      <w:r w:rsidR="00EF6F0D">
        <w:rPr>
          <w:rFonts w:ascii="Arial" w:hAnsi="Arial" w:cs="Arial"/>
          <w:lang w:val="fr-BE"/>
        </w:rPr>
        <w:t>signed</w:t>
      </w:r>
      <w:proofErr w:type="spellEnd"/>
      <w:r w:rsidRPr="00B30F9E">
        <w:rPr>
          <w:rFonts w:ascii="Arial" w:hAnsi="Arial" w:cs="Arial"/>
          <w:lang w:val="fr-BE"/>
        </w:rPr>
        <w:t xml:space="preserve">. </w:t>
      </w:r>
      <w:r w:rsidRPr="00B30F9E">
        <w:rPr>
          <w:rFonts w:ascii="Arial" w:hAnsi="Arial" w:cs="Arial"/>
        </w:rPr>
        <w:t>This collaboration w</w:t>
      </w:r>
      <w:r w:rsidR="00D21207">
        <w:rPr>
          <w:rFonts w:ascii="Arial" w:hAnsi="Arial" w:cs="Arial"/>
          <w:lang w:val="en-ZA"/>
        </w:rPr>
        <w:t>ill</w:t>
      </w:r>
      <w:r w:rsidRPr="00B30F9E">
        <w:rPr>
          <w:rFonts w:ascii="Arial" w:hAnsi="Arial" w:cs="Arial"/>
        </w:rPr>
        <w:t xml:space="preserve"> enable the acceleration of the development and implementation of regional energy efficiency programs specifically regarding an appliance and equipment </w:t>
      </w:r>
      <w:proofErr w:type="spellStart"/>
      <w:r w:rsidRPr="00B30F9E">
        <w:rPr>
          <w:rFonts w:ascii="Arial" w:hAnsi="Arial" w:cs="Arial"/>
        </w:rPr>
        <w:t>labeling</w:t>
      </w:r>
      <w:proofErr w:type="spellEnd"/>
      <w:r w:rsidRPr="00B30F9E">
        <w:rPr>
          <w:rFonts w:ascii="Arial" w:hAnsi="Arial" w:cs="Arial"/>
        </w:rPr>
        <w:t xml:space="preserve"> framework for the EA-SA-IO region. </w:t>
      </w:r>
    </w:p>
    <w:p w14:paraId="03ABE850" w14:textId="77777777" w:rsidR="00D21207" w:rsidRPr="00D21207" w:rsidRDefault="00D21207" w:rsidP="00D21207">
      <w:pPr>
        <w:pStyle w:val="ListParagraph"/>
        <w:rPr>
          <w:rFonts w:ascii="Arial" w:hAnsi="Arial" w:cs="Arial"/>
          <w:lang w:val="en-GB"/>
        </w:rPr>
      </w:pPr>
    </w:p>
    <w:p w14:paraId="3450A604" w14:textId="77777777" w:rsidR="000E6545" w:rsidRDefault="001D7851" w:rsidP="000E6545">
      <w:pPr>
        <w:pStyle w:val="ListParagraph"/>
        <w:numPr>
          <w:ilvl w:val="0"/>
          <w:numId w:val="23"/>
        </w:numPr>
        <w:spacing w:after="0" w:line="240" w:lineRule="auto"/>
        <w:ind w:hanging="714"/>
        <w:jc w:val="both"/>
        <w:rPr>
          <w:rFonts w:ascii="Arial" w:hAnsi="Arial" w:cs="Arial"/>
          <w:b/>
          <w:lang w:val="en-GB"/>
        </w:rPr>
      </w:pPr>
      <w:r w:rsidRPr="00B30F9E">
        <w:rPr>
          <w:rFonts w:ascii="Arial" w:hAnsi="Arial" w:cs="Arial"/>
          <w:lang w:val="en-GB"/>
        </w:rPr>
        <w:t>COMESA/CLASP market assessment and product prioritization proposal was developed in the period under review.</w:t>
      </w:r>
    </w:p>
    <w:p w14:paraId="14FDA845" w14:textId="77777777" w:rsidR="000E6545" w:rsidRPr="000E6545" w:rsidRDefault="000E6545" w:rsidP="000E6545">
      <w:pPr>
        <w:pStyle w:val="ListParagraph"/>
        <w:rPr>
          <w:rFonts w:ascii="Arial" w:hAnsi="Arial" w:cs="Arial"/>
          <w:snapToGrid w:val="0"/>
          <w:lang w:val="en-GB"/>
        </w:rPr>
      </w:pPr>
    </w:p>
    <w:p w14:paraId="2F961112" w14:textId="77777777" w:rsidR="003D420F" w:rsidRDefault="000E6545" w:rsidP="003D420F">
      <w:pPr>
        <w:pStyle w:val="ListParagraph"/>
        <w:numPr>
          <w:ilvl w:val="0"/>
          <w:numId w:val="23"/>
        </w:numPr>
        <w:spacing w:after="0" w:line="240" w:lineRule="auto"/>
        <w:ind w:hanging="714"/>
        <w:jc w:val="both"/>
        <w:rPr>
          <w:rFonts w:ascii="Arial" w:hAnsi="Arial" w:cs="Arial"/>
          <w:b/>
          <w:lang w:val="en-GB"/>
        </w:rPr>
      </w:pPr>
      <w:r>
        <w:rPr>
          <w:rFonts w:ascii="Arial" w:hAnsi="Arial" w:cs="Arial"/>
          <w:snapToGrid w:val="0"/>
          <w:lang w:val="en-GB"/>
        </w:rPr>
        <w:t>T</w:t>
      </w:r>
      <w:r w:rsidR="001D7851" w:rsidRPr="000E6545">
        <w:rPr>
          <w:rFonts w:ascii="Arial" w:hAnsi="Arial" w:cs="Arial"/>
          <w:snapToGrid w:val="0"/>
          <w:lang w:val="en-GB"/>
        </w:rPr>
        <w:t>erms</w:t>
      </w:r>
      <w:r w:rsidR="001D7851" w:rsidRPr="000E6545">
        <w:rPr>
          <w:rFonts w:ascii="Arial" w:hAnsi="Arial" w:cs="Arial"/>
        </w:rPr>
        <w:t xml:space="preserve"> of reference for the development of a </w:t>
      </w:r>
      <w:r w:rsidR="001D7851" w:rsidRPr="000E6545">
        <w:rPr>
          <w:rFonts w:ascii="Arial" w:hAnsi="Arial" w:cs="Arial"/>
          <w:lang w:val="en-GB"/>
        </w:rPr>
        <w:t>market integration model for renewable energy was completed in the period under review</w:t>
      </w:r>
      <w:r w:rsidR="001D7851" w:rsidRPr="000E6545">
        <w:rPr>
          <w:rFonts w:ascii="Arial" w:hAnsi="Arial" w:cs="Arial"/>
        </w:rPr>
        <w:t>.</w:t>
      </w:r>
      <w:r w:rsidR="001D7851" w:rsidRPr="000E6545">
        <w:rPr>
          <w:rFonts w:ascii="Arial" w:hAnsi="Arial" w:cs="Arial"/>
          <w:snapToGrid w:val="0"/>
        </w:rPr>
        <w:t xml:space="preserve"> </w:t>
      </w:r>
      <w:r w:rsidR="001D7851" w:rsidRPr="000E6545">
        <w:rPr>
          <w:rFonts w:ascii="Arial" w:hAnsi="Arial" w:cs="Arial"/>
        </w:rPr>
        <w:t xml:space="preserve">Procurement of consultancy services to develop the </w:t>
      </w:r>
      <w:r w:rsidR="001D7851" w:rsidRPr="000E6545">
        <w:rPr>
          <w:rFonts w:ascii="Arial" w:hAnsi="Arial" w:cs="Arial"/>
          <w:lang w:val="en-GB"/>
        </w:rPr>
        <w:t>market integration model for renewable energy</w:t>
      </w:r>
      <w:r w:rsidR="001D7851" w:rsidRPr="000E6545">
        <w:rPr>
          <w:rFonts w:ascii="Arial" w:hAnsi="Arial" w:cs="Arial"/>
          <w:lang w:val="fr-BE"/>
        </w:rPr>
        <w:t xml:space="preserve"> </w:t>
      </w:r>
      <w:r w:rsidR="001D7851" w:rsidRPr="000E6545">
        <w:rPr>
          <w:rFonts w:ascii="Arial" w:hAnsi="Arial" w:cs="Arial"/>
        </w:rPr>
        <w:t>to be finalized in the subsequent reporting periods.</w:t>
      </w:r>
    </w:p>
    <w:p w14:paraId="2B19A333" w14:textId="77777777" w:rsidR="003D420F" w:rsidRPr="003D420F" w:rsidRDefault="003D420F" w:rsidP="003D420F">
      <w:pPr>
        <w:pStyle w:val="ListParagraph"/>
        <w:rPr>
          <w:rFonts w:ascii="Arial" w:hAnsi="Arial" w:cs="Arial"/>
          <w:lang w:val="en-GB"/>
        </w:rPr>
      </w:pPr>
    </w:p>
    <w:p w14:paraId="65762403" w14:textId="7A5322FD" w:rsidR="001D7851" w:rsidRPr="003D420F" w:rsidRDefault="001D7851" w:rsidP="003D420F">
      <w:pPr>
        <w:pStyle w:val="ListParagraph"/>
        <w:numPr>
          <w:ilvl w:val="0"/>
          <w:numId w:val="23"/>
        </w:numPr>
        <w:spacing w:after="0" w:line="240" w:lineRule="auto"/>
        <w:ind w:hanging="714"/>
        <w:jc w:val="both"/>
        <w:rPr>
          <w:rFonts w:ascii="Arial" w:hAnsi="Arial" w:cs="Arial"/>
          <w:b/>
          <w:lang w:val="en-GB"/>
        </w:rPr>
      </w:pPr>
      <w:r w:rsidRPr="003D420F">
        <w:rPr>
          <w:rFonts w:ascii="Arial" w:hAnsi="Arial" w:cs="Arial"/>
          <w:lang w:val="en-GB"/>
        </w:rPr>
        <w:t xml:space="preserve">development of regional common </w:t>
      </w:r>
      <w:r w:rsidR="00462303" w:rsidRPr="0026230A">
        <w:rPr>
          <w:rFonts w:ascii="Arial" w:hAnsi="Arial" w:cs="Arial"/>
          <w:bCs/>
          <w:noProof/>
          <w:color w:val="000000"/>
          <w:w w:val="96"/>
        </w:rPr>
        <w:t>Minimum Energy Performance Standards</w:t>
      </w:r>
      <w:r w:rsidR="00462303" w:rsidRPr="003D420F">
        <w:rPr>
          <w:rFonts w:ascii="Arial" w:hAnsi="Arial" w:cs="Arial"/>
        </w:rPr>
        <w:t xml:space="preserve"> </w:t>
      </w:r>
      <w:r w:rsidR="003D420F" w:rsidRPr="003D420F">
        <w:rPr>
          <w:rFonts w:ascii="Arial" w:hAnsi="Arial" w:cs="Arial"/>
          <w:lang w:val="en-ZA"/>
        </w:rPr>
        <w:t>(</w:t>
      </w:r>
      <w:r w:rsidRPr="003D420F">
        <w:rPr>
          <w:rFonts w:ascii="Arial" w:hAnsi="Arial" w:cs="Arial"/>
        </w:rPr>
        <w:t>MEPS</w:t>
      </w:r>
      <w:r w:rsidR="003D420F" w:rsidRPr="003D420F">
        <w:rPr>
          <w:rFonts w:ascii="Arial" w:hAnsi="Arial" w:cs="Arial"/>
          <w:lang w:val="en-ZA"/>
        </w:rPr>
        <w:t>)</w:t>
      </w:r>
      <w:r w:rsidR="003D420F" w:rsidRPr="003D420F">
        <w:rPr>
          <w:rFonts w:ascii="Arial" w:hAnsi="Arial" w:cs="Arial"/>
          <w:lang w:val="en-GB"/>
        </w:rPr>
        <w:t xml:space="preserve"> in-conjunction with the US based Collaborative Labelling and Appliance Standards Programme (CLASP) and the SADC Centre for the Renewable Energy and Energy Efficiency (SACREEE)</w:t>
      </w:r>
      <w:r>
        <w:t xml:space="preserve"> for </w:t>
      </w:r>
      <w:r w:rsidRPr="003D420F">
        <w:rPr>
          <w:rFonts w:ascii="Arial" w:hAnsi="Arial" w:cs="Arial"/>
        </w:rPr>
        <w:t>energy efficient lighting and appliances and identification and capacitating of testing facilities under SACREEE.</w:t>
      </w:r>
    </w:p>
    <w:p w14:paraId="0050777D" w14:textId="77777777" w:rsidR="001D7851" w:rsidRDefault="001D7851" w:rsidP="001D7851">
      <w:pPr>
        <w:jc w:val="both"/>
        <w:rPr>
          <w:rFonts w:ascii="Arial" w:hAnsi="Arial" w:cs="Arial"/>
          <w:lang w:val="fr-BE"/>
        </w:rPr>
      </w:pPr>
    </w:p>
    <w:p w14:paraId="53C48F30" w14:textId="77777777" w:rsidR="001D7851" w:rsidRDefault="001D7851" w:rsidP="001D7851">
      <w:pPr>
        <w:pStyle w:val="ListParagraph"/>
        <w:spacing w:after="0" w:line="240" w:lineRule="auto"/>
        <w:ind w:left="0"/>
        <w:jc w:val="both"/>
        <w:rPr>
          <w:rFonts w:ascii="Arial" w:hAnsi="Arial" w:cs="Arial"/>
          <w:lang w:val="en-US"/>
        </w:rPr>
      </w:pPr>
    </w:p>
    <w:p w14:paraId="41783B46" w14:textId="77777777" w:rsidR="001D7851" w:rsidRDefault="001D7851" w:rsidP="001D7851">
      <w:pPr>
        <w:pStyle w:val="ListParagraph"/>
        <w:spacing w:after="0" w:line="240" w:lineRule="auto"/>
        <w:ind w:left="0"/>
        <w:jc w:val="both"/>
        <w:rPr>
          <w:rFonts w:ascii="Arial" w:hAnsi="Arial" w:cs="Arial"/>
        </w:rPr>
      </w:pPr>
    </w:p>
    <w:p w14:paraId="14AD0FCF" w14:textId="4E442C93" w:rsidR="00C45CAA" w:rsidRDefault="00C45CAA" w:rsidP="000C423F">
      <w:pPr>
        <w:ind w:right="259"/>
        <w:jc w:val="both"/>
        <w:rPr>
          <w:rStyle w:val="mainactivitymainactivityname"/>
          <w:rFonts w:ascii="Arial" w:hAnsi="Arial" w:cs="Arial"/>
          <w:sz w:val="24"/>
          <w:szCs w:val="24"/>
        </w:rPr>
      </w:pPr>
    </w:p>
    <w:p w14:paraId="286EDBF8" w14:textId="2BB2CB9A" w:rsidR="00C45CAA" w:rsidRDefault="00C45CAA" w:rsidP="000C423F">
      <w:pPr>
        <w:ind w:right="259"/>
        <w:jc w:val="both"/>
        <w:rPr>
          <w:rStyle w:val="mainactivitymainactivityname"/>
          <w:rFonts w:ascii="Arial" w:hAnsi="Arial" w:cs="Arial"/>
          <w:sz w:val="24"/>
          <w:szCs w:val="24"/>
        </w:rPr>
      </w:pPr>
    </w:p>
    <w:p w14:paraId="568AA8CC" w14:textId="0CCFA8E4" w:rsidR="000C423F" w:rsidRDefault="00C15EE7" w:rsidP="000C423F">
      <w:pPr>
        <w:ind w:left="360"/>
        <w:rPr>
          <w:rFonts w:ascii="Arial" w:hAnsi="Arial" w:cs="Arial"/>
          <w:sz w:val="24"/>
          <w:szCs w:val="24"/>
          <w:lang w:val="en-GB"/>
        </w:rPr>
      </w:pPr>
      <w:r>
        <w:rPr>
          <w:rFonts w:ascii="Arial" w:hAnsi="Arial" w:cs="Arial"/>
          <w:sz w:val="24"/>
          <w:szCs w:val="24"/>
          <w:lang w:val="en-GB"/>
        </w:rPr>
        <w:lastRenderedPageBreak/>
        <w:t>Table 1, below presents expenditure incurred in the period in implementing the above activities</w:t>
      </w:r>
    </w:p>
    <w:p w14:paraId="4C3143F9" w14:textId="666E2A5E" w:rsidR="0013643D" w:rsidRDefault="00C21FAD" w:rsidP="006471A8">
      <w:pPr>
        <w:ind w:left="360" w:hanging="360"/>
      </w:pPr>
      <w:r w:rsidRPr="00C21FAD">
        <w:rPr>
          <w:noProof/>
        </w:rPr>
        <w:drawing>
          <wp:inline distT="0" distB="0" distL="0" distR="0" wp14:anchorId="523485DF" wp14:editId="4EC76079">
            <wp:extent cx="5731510" cy="3203043"/>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8984" cy="3212808"/>
                    </a:xfrm>
                    <a:prstGeom prst="rect">
                      <a:avLst/>
                    </a:prstGeom>
                    <a:noFill/>
                    <a:ln>
                      <a:noFill/>
                    </a:ln>
                  </pic:spPr>
                </pic:pic>
              </a:graphicData>
            </a:graphic>
          </wp:inline>
        </w:drawing>
      </w:r>
      <w:r w:rsidR="0013643D">
        <w:rPr>
          <w:lang w:val="en-GB"/>
        </w:rPr>
        <w:fldChar w:fldCharType="begin"/>
      </w:r>
      <w:r w:rsidR="0013643D">
        <w:rPr>
          <w:lang w:val="en-GB"/>
        </w:rPr>
        <w:instrText xml:space="preserve"> LINK Excel.Sheet.12 "https://comesaheadoffice-my.sharepoint.com/personal/kchelemu_comesa_int/Documents/Documents/Clement Kanyama/COMESA_Reports/Annex 1 2020 WP.xlsx" "EU _Annex 3 !R245C3:R256C12" \a \f 4 \h  \* MERGEFORMAT </w:instrText>
      </w:r>
      <w:r w:rsidR="0013643D">
        <w:rPr>
          <w:lang w:val="en-GB"/>
        </w:rPr>
        <w:fldChar w:fldCharType="separate"/>
      </w:r>
    </w:p>
    <w:p w14:paraId="158EE09D" w14:textId="2DA00457" w:rsidR="0013643D" w:rsidRDefault="0013643D" w:rsidP="001D4153">
      <w:pPr>
        <w:rPr>
          <w:rFonts w:ascii="Arial" w:hAnsi="Arial" w:cs="Arial"/>
          <w:sz w:val="24"/>
          <w:szCs w:val="24"/>
          <w:lang w:val="en-GB"/>
        </w:rPr>
      </w:pPr>
      <w:r>
        <w:rPr>
          <w:rFonts w:ascii="Arial" w:hAnsi="Arial" w:cs="Arial"/>
          <w:sz w:val="24"/>
          <w:szCs w:val="24"/>
          <w:lang w:val="en-GB"/>
        </w:rPr>
        <w:fldChar w:fldCharType="end"/>
      </w:r>
    </w:p>
    <w:p w14:paraId="20AC7F5C" w14:textId="51205696" w:rsidR="003A7C2F" w:rsidRDefault="00C15EE7" w:rsidP="00C15EE7">
      <w:pPr>
        <w:jc w:val="both"/>
        <w:rPr>
          <w:rFonts w:ascii="Arial" w:hAnsi="Arial" w:cs="Arial"/>
          <w:sz w:val="24"/>
          <w:szCs w:val="24"/>
          <w:lang w:val="en-GB"/>
        </w:rPr>
      </w:pPr>
      <w:r>
        <w:rPr>
          <w:rFonts w:ascii="Arial" w:hAnsi="Arial" w:cs="Arial"/>
          <w:sz w:val="24"/>
          <w:szCs w:val="24"/>
          <w:lang w:val="en-GB"/>
        </w:rPr>
        <w:t xml:space="preserve">As reflected in the above table, budget utilisation </w:t>
      </w:r>
      <w:r w:rsidRPr="0088042E">
        <w:rPr>
          <w:rFonts w:ascii="Arial" w:hAnsi="Arial" w:cs="Arial"/>
          <w:sz w:val="24"/>
          <w:szCs w:val="24"/>
          <w:lang w:val="en-GB"/>
        </w:rPr>
        <w:t>during</w:t>
      </w:r>
      <w:r w:rsidR="000E644B" w:rsidRPr="0088042E">
        <w:rPr>
          <w:rFonts w:ascii="Arial" w:hAnsi="Arial" w:cs="Arial"/>
          <w:sz w:val="24"/>
          <w:szCs w:val="24"/>
          <w:lang w:val="en-GB"/>
        </w:rPr>
        <w:t xml:space="preserve"> the first half of the year was </w:t>
      </w:r>
      <w:r>
        <w:rPr>
          <w:rFonts w:ascii="Arial" w:hAnsi="Arial" w:cs="Arial"/>
          <w:sz w:val="24"/>
          <w:szCs w:val="24"/>
          <w:lang w:val="en-GB"/>
        </w:rPr>
        <w:t xml:space="preserve">USD </w:t>
      </w:r>
      <w:r w:rsidR="005C29C2">
        <w:rPr>
          <w:rFonts w:ascii="Arial" w:hAnsi="Arial" w:cs="Arial"/>
          <w:sz w:val="24"/>
          <w:szCs w:val="24"/>
          <w:lang w:val="en-GB"/>
        </w:rPr>
        <w:t>689,977</w:t>
      </w:r>
      <w:r>
        <w:rPr>
          <w:rFonts w:ascii="Arial" w:hAnsi="Arial" w:cs="Arial"/>
          <w:sz w:val="24"/>
          <w:szCs w:val="24"/>
          <w:lang w:val="en-GB"/>
        </w:rPr>
        <w:t xml:space="preserve"> representing </w:t>
      </w:r>
      <w:r w:rsidR="00D532EC">
        <w:rPr>
          <w:rFonts w:ascii="Arial" w:hAnsi="Arial" w:cs="Arial"/>
          <w:sz w:val="24"/>
          <w:szCs w:val="24"/>
          <w:lang w:val="en-GB"/>
        </w:rPr>
        <w:t>3</w:t>
      </w:r>
      <w:r w:rsidR="005C29C2">
        <w:rPr>
          <w:rFonts w:ascii="Arial" w:hAnsi="Arial" w:cs="Arial"/>
          <w:sz w:val="24"/>
          <w:szCs w:val="24"/>
          <w:lang w:val="en-GB"/>
        </w:rPr>
        <w:t>2</w:t>
      </w:r>
      <w:r w:rsidR="000E644B" w:rsidRPr="0088042E">
        <w:rPr>
          <w:rFonts w:ascii="Arial" w:hAnsi="Arial" w:cs="Arial"/>
          <w:sz w:val="24"/>
          <w:szCs w:val="24"/>
          <w:lang w:val="en-GB"/>
        </w:rPr>
        <w:t>%</w:t>
      </w:r>
      <w:r w:rsidR="00145A9D">
        <w:rPr>
          <w:rFonts w:ascii="Arial" w:hAnsi="Arial" w:cs="Arial"/>
          <w:sz w:val="24"/>
          <w:szCs w:val="24"/>
          <w:lang w:val="en-GB"/>
        </w:rPr>
        <w:t xml:space="preserve"> of the 2019 </w:t>
      </w:r>
      <w:r w:rsidR="000D212A">
        <w:rPr>
          <w:rFonts w:ascii="Arial" w:hAnsi="Arial" w:cs="Arial"/>
          <w:sz w:val="24"/>
          <w:szCs w:val="24"/>
          <w:lang w:val="en-GB"/>
        </w:rPr>
        <w:t>budget. The</w:t>
      </w:r>
      <w:r w:rsidR="00D532EC">
        <w:rPr>
          <w:rFonts w:ascii="Arial" w:hAnsi="Arial" w:cs="Arial"/>
          <w:sz w:val="24"/>
          <w:szCs w:val="24"/>
          <w:lang w:val="en-GB"/>
        </w:rPr>
        <w:t xml:space="preserve"> low absorption is mainly because </w:t>
      </w:r>
      <w:r w:rsidR="00843FEB">
        <w:rPr>
          <w:rFonts w:ascii="Arial" w:hAnsi="Arial" w:cs="Arial"/>
          <w:sz w:val="24"/>
          <w:szCs w:val="24"/>
          <w:lang w:val="en-GB"/>
        </w:rPr>
        <w:t xml:space="preserve">procurement of experts was undertaken in the first quarter of 2019, with the commencement of </w:t>
      </w:r>
      <w:r w:rsidR="00C643F1">
        <w:rPr>
          <w:rFonts w:ascii="Arial" w:hAnsi="Arial" w:cs="Arial"/>
          <w:sz w:val="24"/>
          <w:szCs w:val="24"/>
          <w:lang w:val="en-GB"/>
        </w:rPr>
        <w:t xml:space="preserve">inception meetings </w:t>
      </w:r>
      <w:r w:rsidR="00563146">
        <w:rPr>
          <w:rFonts w:ascii="Arial" w:hAnsi="Arial" w:cs="Arial"/>
          <w:sz w:val="24"/>
          <w:szCs w:val="24"/>
          <w:lang w:val="en-GB"/>
        </w:rPr>
        <w:t>and studies in the first half of the year.</w:t>
      </w:r>
      <w:r w:rsidR="00C643F1">
        <w:rPr>
          <w:rFonts w:ascii="Arial" w:hAnsi="Arial" w:cs="Arial"/>
          <w:sz w:val="24"/>
          <w:szCs w:val="24"/>
          <w:lang w:val="en-GB"/>
        </w:rPr>
        <w:t xml:space="preserve">  </w:t>
      </w:r>
      <w:r w:rsidR="005C0D47">
        <w:rPr>
          <w:rFonts w:ascii="Arial" w:hAnsi="Arial" w:cs="Arial"/>
          <w:sz w:val="24"/>
          <w:szCs w:val="24"/>
          <w:lang w:val="en-GB"/>
        </w:rPr>
        <w:t>Subsequently</w:t>
      </w:r>
      <w:r w:rsidR="00C643F1">
        <w:rPr>
          <w:rFonts w:ascii="Arial" w:hAnsi="Arial" w:cs="Arial"/>
          <w:sz w:val="24"/>
          <w:szCs w:val="24"/>
          <w:lang w:val="en-GB"/>
        </w:rPr>
        <w:t xml:space="preserve"> major consultative </w:t>
      </w:r>
      <w:r w:rsidR="005C0D47">
        <w:rPr>
          <w:rFonts w:ascii="Arial" w:hAnsi="Arial" w:cs="Arial"/>
          <w:sz w:val="24"/>
          <w:szCs w:val="24"/>
          <w:lang w:val="en-GB"/>
        </w:rPr>
        <w:t xml:space="preserve">and validation </w:t>
      </w:r>
      <w:r w:rsidR="00C643F1">
        <w:rPr>
          <w:rFonts w:ascii="Arial" w:hAnsi="Arial" w:cs="Arial"/>
          <w:sz w:val="24"/>
          <w:szCs w:val="24"/>
          <w:lang w:val="en-GB"/>
        </w:rPr>
        <w:t xml:space="preserve">meetings </w:t>
      </w:r>
      <w:r w:rsidR="005C0D47">
        <w:rPr>
          <w:rFonts w:ascii="Arial" w:hAnsi="Arial" w:cs="Arial"/>
          <w:sz w:val="24"/>
          <w:szCs w:val="24"/>
          <w:lang w:val="en-GB"/>
        </w:rPr>
        <w:t xml:space="preserve">from the consultant </w:t>
      </w:r>
      <w:r w:rsidR="00614B23">
        <w:rPr>
          <w:rFonts w:ascii="Arial" w:hAnsi="Arial" w:cs="Arial"/>
          <w:sz w:val="24"/>
          <w:szCs w:val="24"/>
          <w:lang w:val="en-GB"/>
        </w:rPr>
        <w:t xml:space="preserve">studies </w:t>
      </w:r>
      <w:r w:rsidR="00C643F1">
        <w:rPr>
          <w:rFonts w:ascii="Arial" w:hAnsi="Arial" w:cs="Arial"/>
          <w:sz w:val="24"/>
          <w:szCs w:val="24"/>
          <w:lang w:val="en-GB"/>
        </w:rPr>
        <w:t xml:space="preserve">are hence planned </w:t>
      </w:r>
      <w:r w:rsidR="00614B23">
        <w:rPr>
          <w:rFonts w:ascii="Arial" w:hAnsi="Arial" w:cs="Arial"/>
          <w:sz w:val="24"/>
          <w:szCs w:val="24"/>
          <w:lang w:val="en-GB"/>
        </w:rPr>
        <w:t xml:space="preserve">to be </w:t>
      </w:r>
      <w:r w:rsidR="00FC4D07">
        <w:rPr>
          <w:rFonts w:ascii="Arial" w:hAnsi="Arial" w:cs="Arial"/>
          <w:sz w:val="24"/>
          <w:szCs w:val="24"/>
          <w:lang w:val="en-GB"/>
        </w:rPr>
        <w:t xml:space="preserve">undertaken from the </w:t>
      </w:r>
      <w:r w:rsidR="00614B23">
        <w:rPr>
          <w:rFonts w:ascii="Arial" w:hAnsi="Arial" w:cs="Arial"/>
          <w:sz w:val="24"/>
          <w:szCs w:val="24"/>
          <w:lang w:val="en-GB"/>
        </w:rPr>
        <w:t>third quarter of 2019</w:t>
      </w:r>
      <w:r w:rsidR="00FC4D07">
        <w:rPr>
          <w:rFonts w:ascii="Arial" w:hAnsi="Arial" w:cs="Arial"/>
          <w:sz w:val="24"/>
          <w:szCs w:val="24"/>
          <w:lang w:val="en-GB"/>
        </w:rPr>
        <w:t>, with the major activ</w:t>
      </w:r>
      <w:r w:rsidR="005C0D47">
        <w:rPr>
          <w:rFonts w:ascii="Arial" w:hAnsi="Arial" w:cs="Arial"/>
          <w:sz w:val="24"/>
          <w:szCs w:val="24"/>
          <w:lang w:val="en-GB"/>
        </w:rPr>
        <w:t>it</w:t>
      </w:r>
      <w:r w:rsidR="00FC4D07">
        <w:rPr>
          <w:rFonts w:ascii="Arial" w:hAnsi="Arial" w:cs="Arial"/>
          <w:sz w:val="24"/>
          <w:szCs w:val="24"/>
          <w:lang w:val="en-GB"/>
        </w:rPr>
        <w:t xml:space="preserve">ies earmarked for the second half of </w:t>
      </w:r>
      <w:r w:rsidR="003D7CE2">
        <w:rPr>
          <w:rFonts w:ascii="Arial" w:hAnsi="Arial" w:cs="Arial"/>
          <w:sz w:val="24"/>
          <w:szCs w:val="24"/>
          <w:lang w:val="en-GB"/>
        </w:rPr>
        <w:t>2019</w:t>
      </w:r>
      <w:r w:rsidR="00FC4D07">
        <w:rPr>
          <w:rFonts w:ascii="Arial" w:hAnsi="Arial" w:cs="Arial"/>
          <w:sz w:val="24"/>
          <w:szCs w:val="24"/>
          <w:lang w:val="en-GB"/>
        </w:rPr>
        <w:t xml:space="preserve">. </w:t>
      </w:r>
      <w:r w:rsidR="005C0D47">
        <w:rPr>
          <w:rFonts w:ascii="Arial" w:hAnsi="Arial" w:cs="Arial"/>
          <w:sz w:val="24"/>
          <w:szCs w:val="24"/>
          <w:lang w:val="en-GB"/>
        </w:rPr>
        <w:t>M</w:t>
      </w:r>
      <w:r w:rsidR="00D532EC">
        <w:rPr>
          <w:rFonts w:ascii="Arial" w:hAnsi="Arial" w:cs="Arial"/>
          <w:sz w:val="24"/>
          <w:szCs w:val="24"/>
          <w:lang w:val="en-GB"/>
        </w:rPr>
        <w:t xml:space="preserve">ost of the first half of the year was a preparatory phase for </w:t>
      </w:r>
      <w:r w:rsidR="004061ED">
        <w:rPr>
          <w:rFonts w:ascii="Arial" w:hAnsi="Arial" w:cs="Arial"/>
          <w:sz w:val="24"/>
          <w:szCs w:val="24"/>
          <w:lang w:val="en-GB"/>
        </w:rPr>
        <w:t xml:space="preserve">activities </w:t>
      </w:r>
      <w:r w:rsidR="00D532EC">
        <w:rPr>
          <w:rFonts w:ascii="Arial" w:hAnsi="Arial" w:cs="Arial"/>
          <w:sz w:val="24"/>
          <w:szCs w:val="24"/>
          <w:lang w:val="en-GB"/>
        </w:rPr>
        <w:t xml:space="preserve">to be undertaken in </w:t>
      </w:r>
      <w:r w:rsidR="005C0D47">
        <w:rPr>
          <w:rFonts w:ascii="Arial" w:hAnsi="Arial" w:cs="Arial"/>
          <w:sz w:val="24"/>
          <w:szCs w:val="24"/>
          <w:lang w:val="en-GB"/>
        </w:rPr>
        <w:t>the various RECS, NRA</w:t>
      </w:r>
      <w:r w:rsidR="003D7CE2">
        <w:rPr>
          <w:rFonts w:ascii="Arial" w:hAnsi="Arial" w:cs="Arial"/>
          <w:sz w:val="24"/>
          <w:szCs w:val="24"/>
          <w:lang w:val="en-GB"/>
        </w:rPr>
        <w:t>s</w:t>
      </w:r>
      <w:r w:rsidR="005C0D47">
        <w:rPr>
          <w:rFonts w:ascii="Arial" w:hAnsi="Arial" w:cs="Arial"/>
          <w:sz w:val="24"/>
          <w:szCs w:val="24"/>
          <w:lang w:val="en-GB"/>
        </w:rPr>
        <w:t xml:space="preserve"> and Power Pools.</w:t>
      </w:r>
      <w:r w:rsidR="00145A9D">
        <w:rPr>
          <w:rFonts w:ascii="Arial" w:hAnsi="Arial" w:cs="Arial"/>
          <w:sz w:val="24"/>
          <w:szCs w:val="24"/>
          <w:lang w:val="en-GB"/>
        </w:rPr>
        <w:t xml:space="preserve"> </w:t>
      </w:r>
    </w:p>
    <w:p w14:paraId="26999303" w14:textId="13FE2009" w:rsidR="003A7C2F" w:rsidRDefault="00145A9D" w:rsidP="00145A9D">
      <w:pPr>
        <w:jc w:val="both"/>
        <w:rPr>
          <w:rFonts w:ascii="Arial" w:hAnsi="Arial" w:cs="Arial"/>
          <w:sz w:val="24"/>
          <w:szCs w:val="24"/>
          <w:lang w:val="en-GB"/>
        </w:rPr>
      </w:pPr>
      <w:r>
        <w:rPr>
          <w:rFonts w:ascii="Arial" w:hAnsi="Arial" w:cs="Arial"/>
          <w:sz w:val="24"/>
          <w:szCs w:val="24"/>
          <w:lang w:val="en-GB"/>
        </w:rPr>
        <w:t xml:space="preserve">Further the project’s budget outturn is expected to be </w:t>
      </w:r>
      <w:r w:rsidR="00DE42FB">
        <w:rPr>
          <w:rFonts w:ascii="Arial" w:hAnsi="Arial" w:cs="Arial"/>
          <w:sz w:val="24"/>
          <w:szCs w:val="24"/>
          <w:lang w:val="en-GB"/>
        </w:rPr>
        <w:t>122</w:t>
      </w:r>
      <w:r w:rsidR="000D212A">
        <w:rPr>
          <w:rFonts w:ascii="Arial" w:hAnsi="Arial" w:cs="Arial"/>
          <w:sz w:val="24"/>
          <w:szCs w:val="24"/>
          <w:lang w:val="en-GB"/>
        </w:rPr>
        <w:t>%</w:t>
      </w:r>
      <w:r w:rsidR="004061ED">
        <w:rPr>
          <w:rFonts w:ascii="Arial" w:hAnsi="Arial" w:cs="Arial"/>
          <w:sz w:val="24"/>
          <w:szCs w:val="24"/>
          <w:lang w:val="en-GB"/>
        </w:rPr>
        <w:t xml:space="preserve"> </w:t>
      </w:r>
      <w:r w:rsidR="00DE42FB">
        <w:rPr>
          <w:rFonts w:ascii="Arial" w:hAnsi="Arial" w:cs="Arial"/>
          <w:sz w:val="24"/>
          <w:szCs w:val="24"/>
          <w:lang w:val="en-GB"/>
        </w:rPr>
        <w:t>and further pre-</w:t>
      </w:r>
      <w:r w:rsidR="007A7277">
        <w:rPr>
          <w:rFonts w:ascii="Arial" w:hAnsi="Arial" w:cs="Arial"/>
          <w:sz w:val="24"/>
          <w:szCs w:val="24"/>
          <w:lang w:val="en-GB"/>
        </w:rPr>
        <w:t>financing</w:t>
      </w:r>
      <w:r w:rsidR="00DE42FB">
        <w:rPr>
          <w:rFonts w:ascii="Arial" w:hAnsi="Arial" w:cs="Arial"/>
          <w:sz w:val="24"/>
          <w:szCs w:val="24"/>
          <w:lang w:val="en-GB"/>
        </w:rPr>
        <w:t xml:space="preserve"> of </w:t>
      </w:r>
      <w:r w:rsidR="00DE42FB" w:rsidRPr="009A15A8">
        <w:rPr>
          <w:rFonts w:ascii="Arial" w:hAnsi="Arial" w:cs="Arial"/>
          <w:sz w:val="24"/>
          <w:szCs w:val="24"/>
          <w:lang w:val="en-GB"/>
        </w:rPr>
        <w:t xml:space="preserve">USD 3,776,822 </w:t>
      </w:r>
      <w:r w:rsidR="00852BFC" w:rsidRPr="009A15A8">
        <w:rPr>
          <w:rFonts w:ascii="Arial" w:hAnsi="Arial" w:cs="Arial"/>
          <w:sz w:val="24"/>
          <w:szCs w:val="24"/>
          <w:lang w:val="en-GB"/>
        </w:rPr>
        <w:t>w</w:t>
      </w:r>
      <w:r w:rsidR="009A15A8" w:rsidRPr="009A15A8">
        <w:rPr>
          <w:rFonts w:ascii="Arial" w:hAnsi="Arial" w:cs="Arial"/>
          <w:sz w:val="24"/>
          <w:szCs w:val="24"/>
          <w:lang w:val="en-GB"/>
        </w:rPr>
        <w:t>a</w:t>
      </w:r>
      <w:r w:rsidR="00852BFC" w:rsidRPr="009A15A8">
        <w:rPr>
          <w:rFonts w:ascii="Arial" w:hAnsi="Arial" w:cs="Arial"/>
          <w:sz w:val="24"/>
          <w:szCs w:val="24"/>
          <w:lang w:val="en-GB"/>
        </w:rPr>
        <w:t xml:space="preserve">s </w:t>
      </w:r>
      <w:r w:rsidR="009A15A8" w:rsidRPr="009A15A8">
        <w:rPr>
          <w:rFonts w:ascii="Arial" w:hAnsi="Arial" w:cs="Arial"/>
          <w:sz w:val="24"/>
          <w:szCs w:val="24"/>
          <w:lang w:val="en-GB"/>
        </w:rPr>
        <w:t>disbursed by</w:t>
      </w:r>
      <w:r w:rsidR="0039103E" w:rsidRPr="009A15A8">
        <w:rPr>
          <w:rFonts w:ascii="Arial" w:hAnsi="Arial" w:cs="Arial"/>
          <w:sz w:val="24"/>
          <w:szCs w:val="24"/>
          <w:lang w:val="en-GB"/>
        </w:rPr>
        <w:t xml:space="preserve"> European </w:t>
      </w:r>
      <w:r w:rsidR="007A7277" w:rsidRPr="009A15A8">
        <w:rPr>
          <w:rFonts w:ascii="Arial" w:hAnsi="Arial" w:cs="Arial"/>
          <w:sz w:val="24"/>
          <w:szCs w:val="24"/>
          <w:lang w:val="en-GB"/>
        </w:rPr>
        <w:t xml:space="preserve">Commission, </w:t>
      </w:r>
      <w:r w:rsidR="007A7277">
        <w:rPr>
          <w:rFonts w:ascii="Arial" w:hAnsi="Arial" w:cs="Arial"/>
          <w:sz w:val="24"/>
          <w:szCs w:val="24"/>
          <w:lang w:val="en-GB"/>
        </w:rPr>
        <w:t>and</w:t>
      </w:r>
      <w:r w:rsidR="00C84E39">
        <w:rPr>
          <w:rFonts w:ascii="Arial" w:hAnsi="Arial" w:cs="Arial"/>
          <w:sz w:val="24"/>
          <w:szCs w:val="24"/>
          <w:lang w:val="en-GB"/>
        </w:rPr>
        <w:t xml:space="preserve"> funds received </w:t>
      </w:r>
      <w:r w:rsidR="0039103E" w:rsidRPr="009A15A8">
        <w:rPr>
          <w:rFonts w:ascii="Arial" w:hAnsi="Arial" w:cs="Arial"/>
          <w:sz w:val="24"/>
          <w:szCs w:val="24"/>
          <w:lang w:val="en-GB"/>
        </w:rPr>
        <w:t xml:space="preserve">on </w:t>
      </w:r>
      <w:r w:rsidR="00C84E39">
        <w:rPr>
          <w:rFonts w:ascii="Arial" w:hAnsi="Arial" w:cs="Arial"/>
          <w:sz w:val="24"/>
          <w:szCs w:val="24"/>
          <w:lang w:val="en-GB"/>
        </w:rPr>
        <w:t>1</w:t>
      </w:r>
      <w:r w:rsidR="009A15A8" w:rsidRPr="009A15A8">
        <w:rPr>
          <w:rFonts w:ascii="Arial" w:hAnsi="Arial" w:cs="Arial"/>
          <w:sz w:val="24"/>
          <w:szCs w:val="24"/>
          <w:lang w:val="en-GB"/>
        </w:rPr>
        <w:t>9 July 2019 to support the revised budget</w:t>
      </w:r>
      <w:r w:rsidR="009A15A8">
        <w:rPr>
          <w:color w:val="000000"/>
          <w:lang w:val="en-GB"/>
        </w:rPr>
        <w:t>.</w:t>
      </w:r>
      <w:r w:rsidR="000D212A">
        <w:rPr>
          <w:rFonts w:ascii="Arial" w:hAnsi="Arial" w:cs="Arial"/>
          <w:sz w:val="24"/>
          <w:szCs w:val="24"/>
          <w:lang w:val="en-GB"/>
        </w:rPr>
        <w:t xml:space="preserve"> </w:t>
      </w:r>
    </w:p>
    <w:p w14:paraId="0A2997D7" w14:textId="422D922B" w:rsidR="00852CDB" w:rsidRDefault="00852CDB" w:rsidP="00852CDB">
      <w:pPr>
        <w:pStyle w:val="ListParagraph"/>
        <w:rPr>
          <w:rFonts w:ascii="Arial" w:hAnsi="Arial" w:cs="Arial"/>
          <w:b/>
          <w:bCs/>
          <w:sz w:val="24"/>
          <w:szCs w:val="24"/>
          <w:lang w:val="en-GB"/>
        </w:rPr>
      </w:pPr>
    </w:p>
    <w:p w14:paraId="14D361CD" w14:textId="77777777" w:rsidR="003A7C2F" w:rsidRDefault="003A7C2F" w:rsidP="00852CDB">
      <w:pPr>
        <w:pStyle w:val="ListParagraph"/>
        <w:rPr>
          <w:rFonts w:ascii="Arial" w:hAnsi="Arial" w:cs="Arial"/>
          <w:b/>
          <w:bCs/>
          <w:sz w:val="24"/>
          <w:szCs w:val="24"/>
          <w:lang w:val="en-GB"/>
        </w:rPr>
      </w:pPr>
    </w:p>
    <w:p w14:paraId="7CB7C29A" w14:textId="174B312A" w:rsidR="00116C47" w:rsidRDefault="00116C47" w:rsidP="00145A9D">
      <w:pPr>
        <w:pStyle w:val="ListParagraph"/>
        <w:numPr>
          <w:ilvl w:val="0"/>
          <w:numId w:val="3"/>
        </w:numPr>
        <w:ind w:hanging="720"/>
        <w:rPr>
          <w:rFonts w:ascii="Arial" w:hAnsi="Arial" w:cs="Arial"/>
          <w:b/>
          <w:bCs/>
          <w:sz w:val="24"/>
          <w:szCs w:val="24"/>
          <w:lang w:val="en-GB"/>
        </w:rPr>
      </w:pPr>
      <w:r w:rsidRPr="00145A9D">
        <w:rPr>
          <w:rFonts w:ascii="Arial" w:hAnsi="Arial" w:cs="Arial"/>
          <w:b/>
          <w:bCs/>
          <w:sz w:val="24"/>
          <w:szCs w:val="24"/>
          <w:lang w:val="en-GB"/>
        </w:rPr>
        <w:t>Risk</w:t>
      </w:r>
      <w:r w:rsidR="00145A9D" w:rsidRPr="00145A9D">
        <w:rPr>
          <w:rFonts w:ascii="Arial" w:hAnsi="Arial" w:cs="Arial"/>
          <w:b/>
          <w:bCs/>
          <w:sz w:val="24"/>
          <w:szCs w:val="24"/>
          <w:lang w:val="en-GB"/>
        </w:rPr>
        <w:t xml:space="preserve"> Management</w:t>
      </w:r>
    </w:p>
    <w:p w14:paraId="3AA9DE04" w14:textId="48F4F4FE" w:rsidR="000D212A" w:rsidRPr="004061ED" w:rsidRDefault="000D212A" w:rsidP="000D212A">
      <w:pPr>
        <w:ind w:left="720"/>
        <w:rPr>
          <w:rFonts w:ascii="Arial" w:hAnsi="Arial" w:cs="Arial"/>
          <w:sz w:val="24"/>
          <w:szCs w:val="24"/>
          <w:lang w:val="en-GB"/>
        </w:rPr>
      </w:pPr>
      <w:r w:rsidRPr="004061ED">
        <w:rPr>
          <w:rFonts w:ascii="Arial" w:hAnsi="Arial" w:cs="Arial"/>
          <w:sz w:val="24"/>
          <w:szCs w:val="24"/>
          <w:lang w:val="en-GB"/>
        </w:rPr>
        <w:t>Major risks faced by the programme include;</w:t>
      </w:r>
    </w:p>
    <w:p w14:paraId="1D0DAB9B" w14:textId="5196D217" w:rsidR="008235E7" w:rsidRDefault="00DE5BD1" w:rsidP="003A7C2F">
      <w:pPr>
        <w:pStyle w:val="ListParagraph"/>
        <w:numPr>
          <w:ilvl w:val="0"/>
          <w:numId w:val="14"/>
        </w:numPr>
        <w:jc w:val="both"/>
        <w:rPr>
          <w:rFonts w:ascii="Arial" w:hAnsi="Arial" w:cs="Arial"/>
          <w:sz w:val="24"/>
          <w:szCs w:val="24"/>
          <w:lang w:val="en-GB"/>
        </w:rPr>
      </w:pPr>
      <w:r>
        <w:rPr>
          <w:rFonts w:ascii="Arial" w:hAnsi="Arial" w:cs="Arial"/>
          <w:sz w:val="24"/>
          <w:szCs w:val="24"/>
          <w:lang w:val="en-GB"/>
        </w:rPr>
        <w:t>D</w:t>
      </w:r>
      <w:r w:rsidR="00DA2FD3">
        <w:rPr>
          <w:rFonts w:ascii="Arial" w:hAnsi="Arial" w:cs="Arial"/>
          <w:sz w:val="24"/>
          <w:szCs w:val="24"/>
          <w:lang w:val="en-GB"/>
        </w:rPr>
        <w:t xml:space="preserve">+3 date of the project is 29 May 2020.   All </w:t>
      </w:r>
      <w:r w:rsidR="009A7E09">
        <w:rPr>
          <w:rFonts w:ascii="Arial" w:hAnsi="Arial" w:cs="Arial"/>
          <w:sz w:val="24"/>
          <w:szCs w:val="24"/>
          <w:lang w:val="en-GB"/>
        </w:rPr>
        <w:t xml:space="preserve">contracts should therefore be signed before this date, as no commitments can be </w:t>
      </w:r>
      <w:proofErr w:type="gramStart"/>
      <w:r w:rsidR="009A7E09">
        <w:rPr>
          <w:rFonts w:ascii="Arial" w:hAnsi="Arial" w:cs="Arial"/>
          <w:sz w:val="24"/>
          <w:szCs w:val="24"/>
          <w:lang w:val="en-GB"/>
        </w:rPr>
        <w:t>entered into</w:t>
      </w:r>
      <w:proofErr w:type="gramEnd"/>
      <w:r w:rsidR="009A7E09">
        <w:rPr>
          <w:rFonts w:ascii="Arial" w:hAnsi="Arial" w:cs="Arial"/>
          <w:sz w:val="24"/>
          <w:szCs w:val="24"/>
          <w:lang w:val="en-GB"/>
        </w:rPr>
        <w:t xml:space="preserve"> after that </w:t>
      </w:r>
      <w:r w:rsidR="00D30738">
        <w:rPr>
          <w:rFonts w:ascii="Arial" w:hAnsi="Arial" w:cs="Arial"/>
          <w:sz w:val="24"/>
          <w:szCs w:val="24"/>
          <w:lang w:val="en-GB"/>
        </w:rPr>
        <w:t>date.</w:t>
      </w:r>
      <w:r w:rsidR="00EB7794">
        <w:rPr>
          <w:rFonts w:ascii="Arial" w:hAnsi="Arial" w:cs="Arial"/>
          <w:sz w:val="24"/>
          <w:szCs w:val="24"/>
          <w:lang w:val="en-GB"/>
        </w:rPr>
        <w:t xml:space="preserve">  The budget line under which these commitm</w:t>
      </w:r>
      <w:r w:rsidR="00833C56">
        <w:rPr>
          <w:rFonts w:ascii="Arial" w:hAnsi="Arial" w:cs="Arial"/>
          <w:sz w:val="24"/>
          <w:szCs w:val="24"/>
          <w:lang w:val="en-GB"/>
        </w:rPr>
        <w:t>e</w:t>
      </w:r>
      <w:r w:rsidR="00EB7794">
        <w:rPr>
          <w:rFonts w:ascii="Arial" w:hAnsi="Arial" w:cs="Arial"/>
          <w:sz w:val="24"/>
          <w:szCs w:val="24"/>
          <w:lang w:val="en-GB"/>
        </w:rPr>
        <w:t xml:space="preserve">nts are required is the </w:t>
      </w:r>
      <w:r w:rsidR="00833C56">
        <w:rPr>
          <w:rFonts w:ascii="Arial" w:hAnsi="Arial" w:cs="Arial"/>
          <w:sz w:val="24"/>
          <w:szCs w:val="24"/>
          <w:lang w:val="en-GB"/>
        </w:rPr>
        <w:t>consultancy budget line.</w:t>
      </w:r>
    </w:p>
    <w:p w14:paraId="2206A58F" w14:textId="77777777" w:rsidR="008235E7" w:rsidRDefault="008235E7">
      <w:pPr>
        <w:rPr>
          <w:rFonts w:ascii="Arial" w:hAnsi="Arial" w:cs="Arial"/>
          <w:sz w:val="24"/>
          <w:szCs w:val="24"/>
          <w:lang w:val="en-GB"/>
        </w:rPr>
      </w:pPr>
      <w:r>
        <w:rPr>
          <w:rFonts w:ascii="Arial" w:hAnsi="Arial" w:cs="Arial"/>
          <w:sz w:val="24"/>
          <w:szCs w:val="24"/>
          <w:lang w:val="en-GB"/>
        </w:rPr>
        <w:br w:type="page"/>
      </w:r>
    </w:p>
    <w:p w14:paraId="5F0B5A5F" w14:textId="77777777" w:rsidR="000D212A" w:rsidRDefault="000D212A" w:rsidP="003A7C2F">
      <w:pPr>
        <w:pStyle w:val="ListParagraph"/>
        <w:numPr>
          <w:ilvl w:val="0"/>
          <w:numId w:val="14"/>
        </w:numPr>
        <w:jc w:val="both"/>
        <w:rPr>
          <w:rFonts w:ascii="Arial" w:hAnsi="Arial" w:cs="Arial"/>
          <w:sz w:val="24"/>
          <w:szCs w:val="24"/>
          <w:lang w:val="en-GB"/>
        </w:rPr>
      </w:pPr>
    </w:p>
    <w:p w14:paraId="1D8577FA" w14:textId="77777777" w:rsidR="00145A9D" w:rsidRPr="00145A9D" w:rsidRDefault="00145A9D" w:rsidP="00145A9D">
      <w:pPr>
        <w:pStyle w:val="ListParagraph"/>
        <w:rPr>
          <w:rFonts w:ascii="Arial" w:hAnsi="Arial" w:cs="Arial"/>
          <w:i/>
          <w:iCs/>
          <w:sz w:val="24"/>
          <w:szCs w:val="24"/>
          <w:lang w:val="en-GB"/>
        </w:rPr>
      </w:pPr>
    </w:p>
    <w:p w14:paraId="3E12C9FA" w14:textId="6AC59895" w:rsidR="00852CDB" w:rsidRDefault="00852CDB" w:rsidP="00852CDB">
      <w:pPr>
        <w:pStyle w:val="ListParagraph"/>
        <w:numPr>
          <w:ilvl w:val="0"/>
          <w:numId w:val="3"/>
        </w:numPr>
        <w:ind w:hanging="720"/>
        <w:rPr>
          <w:rFonts w:ascii="Arial" w:hAnsi="Arial" w:cs="Arial"/>
          <w:b/>
          <w:bCs/>
          <w:sz w:val="24"/>
          <w:szCs w:val="24"/>
          <w:lang w:val="en-GB"/>
        </w:rPr>
      </w:pPr>
      <w:r>
        <w:rPr>
          <w:rFonts w:ascii="Arial" w:hAnsi="Arial" w:cs="Arial"/>
          <w:b/>
          <w:bCs/>
          <w:sz w:val="24"/>
          <w:szCs w:val="24"/>
          <w:lang w:val="en-GB"/>
        </w:rPr>
        <w:t>Recommendation</w:t>
      </w:r>
    </w:p>
    <w:p w14:paraId="386743E8" w14:textId="77777777" w:rsidR="0071657A" w:rsidRDefault="0059028E" w:rsidP="0071657A">
      <w:pPr>
        <w:jc w:val="both"/>
        <w:rPr>
          <w:rFonts w:ascii="Arial" w:hAnsi="Arial" w:cs="Arial"/>
          <w:sz w:val="24"/>
          <w:szCs w:val="24"/>
          <w:lang w:val="en-GB"/>
        </w:rPr>
      </w:pPr>
      <w:r>
        <w:rPr>
          <w:rFonts w:ascii="Arial" w:hAnsi="Arial" w:cs="Arial"/>
          <w:sz w:val="24"/>
          <w:szCs w:val="24"/>
          <w:lang w:val="en-GB"/>
        </w:rPr>
        <w:t>M</w:t>
      </w:r>
      <w:r w:rsidR="004D6920" w:rsidRPr="004D6920">
        <w:rPr>
          <w:rFonts w:ascii="Arial" w:hAnsi="Arial" w:cs="Arial"/>
          <w:sz w:val="24"/>
          <w:szCs w:val="24"/>
          <w:lang w:val="en-GB"/>
        </w:rPr>
        <w:t xml:space="preserve">anagement </w:t>
      </w:r>
      <w:r w:rsidR="00630041">
        <w:rPr>
          <w:rFonts w:ascii="Arial" w:hAnsi="Arial" w:cs="Arial"/>
          <w:sz w:val="24"/>
          <w:szCs w:val="24"/>
          <w:lang w:val="en-GB"/>
        </w:rPr>
        <w:t xml:space="preserve">has put in place the </w:t>
      </w:r>
      <w:r w:rsidR="004D6920" w:rsidRPr="004D6920">
        <w:rPr>
          <w:rFonts w:ascii="Arial" w:hAnsi="Arial" w:cs="Arial"/>
          <w:sz w:val="24"/>
          <w:szCs w:val="24"/>
          <w:lang w:val="en-GB"/>
        </w:rPr>
        <w:t>following</w:t>
      </w:r>
      <w:r w:rsidR="00630041">
        <w:rPr>
          <w:rFonts w:ascii="Arial" w:hAnsi="Arial" w:cs="Arial"/>
          <w:sz w:val="24"/>
          <w:szCs w:val="24"/>
          <w:lang w:val="en-GB"/>
        </w:rPr>
        <w:t xml:space="preserve"> </w:t>
      </w:r>
      <w:proofErr w:type="gramStart"/>
      <w:r w:rsidR="00630041">
        <w:rPr>
          <w:rFonts w:ascii="Arial" w:hAnsi="Arial" w:cs="Arial"/>
          <w:sz w:val="24"/>
          <w:szCs w:val="24"/>
          <w:lang w:val="en-GB"/>
        </w:rPr>
        <w:t xml:space="preserve">measures </w:t>
      </w:r>
      <w:r w:rsidR="0071657A">
        <w:rPr>
          <w:rFonts w:ascii="Arial" w:hAnsi="Arial" w:cs="Arial"/>
          <w:sz w:val="24"/>
          <w:szCs w:val="24"/>
          <w:lang w:val="en-GB"/>
        </w:rPr>
        <w:t>:</w:t>
      </w:r>
      <w:proofErr w:type="gramEnd"/>
    </w:p>
    <w:p w14:paraId="0D00DE8F" w14:textId="04F19BC5" w:rsidR="0071657A" w:rsidRPr="00F26262" w:rsidRDefault="0071657A" w:rsidP="0071657A">
      <w:pPr>
        <w:jc w:val="both"/>
        <w:rPr>
          <w:rFonts w:ascii="Arial" w:hAnsi="Arial" w:cs="Arial"/>
          <w:b/>
          <w:bCs/>
          <w:sz w:val="24"/>
          <w:szCs w:val="24"/>
          <w:lang w:val="en-GB"/>
        </w:rPr>
      </w:pPr>
    </w:p>
    <w:p w14:paraId="3D6B4405" w14:textId="6CBAAAFE" w:rsidR="00F26262" w:rsidRPr="00F26262" w:rsidRDefault="00F26262" w:rsidP="00F26262">
      <w:pPr>
        <w:jc w:val="both"/>
        <w:rPr>
          <w:rFonts w:ascii="Arial" w:hAnsi="Arial" w:cs="Arial"/>
          <w:b/>
          <w:bCs/>
          <w:sz w:val="24"/>
          <w:szCs w:val="24"/>
          <w:lang w:val="en-GB"/>
        </w:rPr>
      </w:pPr>
      <w:r w:rsidRPr="00F26262">
        <w:rPr>
          <w:rFonts w:ascii="Arial" w:hAnsi="Arial" w:cs="Arial"/>
          <w:b/>
          <w:bCs/>
          <w:sz w:val="24"/>
          <w:szCs w:val="24"/>
          <w:lang w:val="en-GB"/>
        </w:rPr>
        <w:t>Budget</w:t>
      </w:r>
      <w:r w:rsidR="00D62D30" w:rsidRPr="00F26262">
        <w:rPr>
          <w:rFonts w:ascii="Arial" w:hAnsi="Arial" w:cs="Arial"/>
          <w:b/>
          <w:bCs/>
          <w:sz w:val="24"/>
          <w:szCs w:val="24"/>
          <w:lang w:val="en-GB"/>
        </w:rPr>
        <w:t xml:space="preserve"> out</w:t>
      </w:r>
      <w:r w:rsidR="006A5ED8">
        <w:rPr>
          <w:rFonts w:ascii="Arial" w:hAnsi="Arial" w:cs="Arial"/>
          <w:b/>
          <w:bCs/>
          <w:sz w:val="24"/>
          <w:szCs w:val="24"/>
          <w:lang w:val="en-GB"/>
        </w:rPr>
        <w:t>turn</w:t>
      </w:r>
      <w:r w:rsidR="00D62D30" w:rsidRPr="00F26262">
        <w:rPr>
          <w:rFonts w:ascii="Arial" w:hAnsi="Arial" w:cs="Arial"/>
          <w:b/>
          <w:bCs/>
          <w:sz w:val="24"/>
          <w:szCs w:val="24"/>
          <w:lang w:val="en-GB"/>
        </w:rPr>
        <w:t xml:space="preserve"> of 122%</w:t>
      </w:r>
    </w:p>
    <w:p w14:paraId="43F1936E" w14:textId="100FDE44" w:rsidR="0071657A" w:rsidRPr="006A5ED8" w:rsidRDefault="00D62D30" w:rsidP="006A5ED8">
      <w:pPr>
        <w:pStyle w:val="ListParagraph"/>
        <w:numPr>
          <w:ilvl w:val="2"/>
          <w:numId w:val="18"/>
        </w:numPr>
        <w:jc w:val="both"/>
        <w:rPr>
          <w:rFonts w:ascii="Arial" w:hAnsi="Arial" w:cs="Arial"/>
          <w:sz w:val="24"/>
          <w:szCs w:val="24"/>
          <w:lang w:val="en-GB"/>
        </w:rPr>
      </w:pPr>
      <w:r w:rsidRPr="006A5ED8">
        <w:rPr>
          <w:rFonts w:ascii="Arial" w:hAnsi="Arial" w:cs="Arial"/>
          <w:sz w:val="24"/>
          <w:szCs w:val="24"/>
          <w:lang w:val="en-GB"/>
        </w:rPr>
        <w:t>a second pre</w:t>
      </w:r>
      <w:r w:rsidR="006A5ED8" w:rsidRPr="006A5ED8">
        <w:rPr>
          <w:rFonts w:ascii="Arial" w:hAnsi="Arial" w:cs="Arial"/>
          <w:sz w:val="24"/>
          <w:szCs w:val="24"/>
          <w:lang w:val="en-GB"/>
        </w:rPr>
        <w:t>-</w:t>
      </w:r>
      <w:r w:rsidRPr="006A5ED8">
        <w:rPr>
          <w:rFonts w:ascii="Arial" w:hAnsi="Arial" w:cs="Arial"/>
          <w:sz w:val="24"/>
          <w:szCs w:val="24"/>
          <w:lang w:val="en-GB"/>
        </w:rPr>
        <w:t xml:space="preserve">financing </w:t>
      </w:r>
      <w:proofErr w:type="gramStart"/>
      <w:r w:rsidRPr="006A5ED8">
        <w:rPr>
          <w:rFonts w:ascii="Arial" w:hAnsi="Arial" w:cs="Arial"/>
          <w:sz w:val="24"/>
          <w:szCs w:val="24"/>
          <w:lang w:val="en-GB"/>
        </w:rPr>
        <w:t>of  USD</w:t>
      </w:r>
      <w:proofErr w:type="gramEnd"/>
      <w:r w:rsidRPr="006A5ED8">
        <w:rPr>
          <w:rFonts w:ascii="Arial" w:hAnsi="Arial" w:cs="Arial"/>
          <w:sz w:val="24"/>
          <w:szCs w:val="24"/>
          <w:lang w:val="en-GB"/>
        </w:rPr>
        <w:t xml:space="preserve"> 3,776,822 was disbursed, and the project has sufficient funds to cover the revised budget </w:t>
      </w:r>
      <w:r w:rsidR="00F26262" w:rsidRPr="006A5ED8">
        <w:rPr>
          <w:rFonts w:ascii="Arial" w:hAnsi="Arial" w:cs="Arial"/>
          <w:sz w:val="24"/>
          <w:szCs w:val="24"/>
          <w:lang w:val="en-GB"/>
        </w:rPr>
        <w:t>requirement.</w:t>
      </w:r>
    </w:p>
    <w:p w14:paraId="19025ABD" w14:textId="7B80541E" w:rsidR="00627B99" w:rsidRDefault="00627B99" w:rsidP="00627B99">
      <w:pPr>
        <w:jc w:val="both"/>
        <w:rPr>
          <w:rFonts w:ascii="Arial" w:hAnsi="Arial" w:cs="Arial"/>
          <w:sz w:val="24"/>
          <w:szCs w:val="24"/>
          <w:lang w:val="en-GB"/>
        </w:rPr>
      </w:pPr>
    </w:p>
    <w:p w14:paraId="05280055" w14:textId="6AA1730D" w:rsidR="00627B99" w:rsidRPr="00627B99" w:rsidRDefault="00627B99" w:rsidP="00627B99">
      <w:pPr>
        <w:jc w:val="both"/>
        <w:rPr>
          <w:rFonts w:ascii="Arial" w:hAnsi="Arial" w:cs="Arial"/>
          <w:b/>
          <w:bCs/>
          <w:sz w:val="24"/>
          <w:szCs w:val="24"/>
          <w:lang w:val="en-GB"/>
        </w:rPr>
      </w:pPr>
      <w:r w:rsidRPr="00627B99">
        <w:rPr>
          <w:rFonts w:ascii="Arial" w:hAnsi="Arial" w:cs="Arial"/>
          <w:b/>
          <w:bCs/>
          <w:sz w:val="24"/>
          <w:szCs w:val="24"/>
          <w:lang w:val="en-GB"/>
        </w:rPr>
        <w:t>D+3 date of the project is 29 May 2020</w:t>
      </w:r>
    </w:p>
    <w:p w14:paraId="5178FF9B" w14:textId="4EC7A013" w:rsidR="00630041" w:rsidRDefault="0059028E" w:rsidP="0071657A">
      <w:pPr>
        <w:jc w:val="both"/>
        <w:rPr>
          <w:rFonts w:ascii="Arial" w:hAnsi="Arial" w:cs="Arial"/>
          <w:sz w:val="24"/>
          <w:szCs w:val="24"/>
          <w:lang w:val="en-GB"/>
        </w:rPr>
      </w:pPr>
      <w:r>
        <w:rPr>
          <w:rFonts w:ascii="Arial" w:hAnsi="Arial" w:cs="Arial"/>
          <w:sz w:val="24"/>
          <w:szCs w:val="24"/>
          <w:lang w:val="en-GB"/>
        </w:rPr>
        <w:t xml:space="preserve"> </w:t>
      </w:r>
    </w:p>
    <w:p w14:paraId="54E9264A" w14:textId="3C7FB74B" w:rsidR="00E31A94" w:rsidRDefault="00E31A94" w:rsidP="00627B99">
      <w:pPr>
        <w:pStyle w:val="ListParagraph"/>
        <w:numPr>
          <w:ilvl w:val="0"/>
          <w:numId w:val="14"/>
        </w:numPr>
        <w:jc w:val="both"/>
        <w:rPr>
          <w:rFonts w:ascii="Arial" w:hAnsi="Arial" w:cs="Arial"/>
          <w:sz w:val="24"/>
          <w:szCs w:val="24"/>
          <w:lang w:val="en-GB"/>
        </w:rPr>
      </w:pPr>
      <w:r>
        <w:rPr>
          <w:rFonts w:ascii="Arial" w:hAnsi="Arial" w:cs="Arial"/>
          <w:sz w:val="24"/>
          <w:szCs w:val="24"/>
          <w:lang w:val="en-GB"/>
        </w:rPr>
        <w:t>explore possibility of a no-cost extension for the D+3 date, and early discussions with the EU Delegation Zambia to be initiated.</w:t>
      </w:r>
    </w:p>
    <w:p w14:paraId="4ED5EA8A" w14:textId="268B9BEA" w:rsidR="003568B7" w:rsidRDefault="003568B7" w:rsidP="00627B99">
      <w:pPr>
        <w:pStyle w:val="ListParagraph"/>
        <w:numPr>
          <w:ilvl w:val="0"/>
          <w:numId w:val="14"/>
        </w:numPr>
        <w:jc w:val="both"/>
        <w:rPr>
          <w:rFonts w:ascii="Arial" w:hAnsi="Arial" w:cs="Arial"/>
          <w:sz w:val="24"/>
          <w:szCs w:val="24"/>
          <w:lang w:val="en-GB"/>
        </w:rPr>
      </w:pPr>
      <w:r>
        <w:rPr>
          <w:rFonts w:ascii="Arial" w:hAnsi="Arial" w:cs="Arial"/>
          <w:sz w:val="24"/>
          <w:szCs w:val="24"/>
          <w:lang w:val="en-GB"/>
        </w:rPr>
        <w:t>The project launched a tender for a framework consultancy</w:t>
      </w:r>
      <w:r w:rsidR="00627B99">
        <w:rPr>
          <w:rFonts w:ascii="Arial" w:hAnsi="Arial" w:cs="Arial"/>
          <w:sz w:val="24"/>
          <w:szCs w:val="24"/>
          <w:lang w:val="en-GB"/>
        </w:rPr>
        <w:t xml:space="preserve"> on 1 Septem</w:t>
      </w:r>
      <w:r w:rsidR="00EC4B75">
        <w:rPr>
          <w:rFonts w:ascii="Arial" w:hAnsi="Arial" w:cs="Arial"/>
          <w:sz w:val="24"/>
          <w:szCs w:val="24"/>
          <w:lang w:val="en-GB"/>
        </w:rPr>
        <w:t>ber 2019</w:t>
      </w:r>
      <w:r>
        <w:rPr>
          <w:rFonts w:ascii="Arial" w:hAnsi="Arial" w:cs="Arial"/>
          <w:sz w:val="24"/>
          <w:szCs w:val="24"/>
          <w:lang w:val="en-GB"/>
        </w:rPr>
        <w:t xml:space="preserve">, which will commit the major part of the </w:t>
      </w:r>
      <w:r w:rsidR="00EC4B75">
        <w:rPr>
          <w:rFonts w:ascii="Arial" w:hAnsi="Arial" w:cs="Arial"/>
          <w:sz w:val="24"/>
          <w:szCs w:val="24"/>
          <w:lang w:val="en-GB"/>
        </w:rPr>
        <w:t>funds under the consultancy budget line</w:t>
      </w:r>
    </w:p>
    <w:p w14:paraId="7F938D57" w14:textId="431EF674" w:rsidR="003568B7" w:rsidRDefault="003568B7" w:rsidP="00627B99">
      <w:pPr>
        <w:pStyle w:val="ListParagraph"/>
        <w:numPr>
          <w:ilvl w:val="0"/>
          <w:numId w:val="14"/>
        </w:numPr>
        <w:jc w:val="both"/>
        <w:rPr>
          <w:rFonts w:ascii="Arial" w:hAnsi="Arial" w:cs="Arial"/>
          <w:sz w:val="24"/>
          <w:szCs w:val="24"/>
          <w:lang w:val="en-GB"/>
        </w:rPr>
      </w:pPr>
      <w:r>
        <w:rPr>
          <w:rFonts w:ascii="Arial" w:hAnsi="Arial" w:cs="Arial"/>
          <w:sz w:val="24"/>
          <w:szCs w:val="24"/>
          <w:lang w:val="en-GB"/>
        </w:rPr>
        <w:t xml:space="preserve">On demand support </w:t>
      </w:r>
      <w:r w:rsidR="00065628">
        <w:rPr>
          <w:rFonts w:ascii="Arial" w:hAnsi="Arial" w:cs="Arial"/>
          <w:sz w:val="24"/>
          <w:szCs w:val="24"/>
          <w:lang w:val="en-GB"/>
        </w:rPr>
        <w:t>from</w:t>
      </w:r>
      <w:r>
        <w:rPr>
          <w:rFonts w:ascii="Arial" w:hAnsi="Arial" w:cs="Arial"/>
          <w:sz w:val="24"/>
          <w:szCs w:val="24"/>
          <w:lang w:val="en-GB"/>
        </w:rPr>
        <w:t xml:space="preserve"> the RECs, NRAs and Powe</w:t>
      </w:r>
      <w:r w:rsidR="00065628">
        <w:rPr>
          <w:rFonts w:ascii="Arial" w:hAnsi="Arial" w:cs="Arial"/>
          <w:sz w:val="24"/>
          <w:szCs w:val="24"/>
          <w:lang w:val="en-GB"/>
        </w:rPr>
        <w:t>r P</w:t>
      </w:r>
      <w:r>
        <w:rPr>
          <w:rFonts w:ascii="Arial" w:hAnsi="Arial" w:cs="Arial"/>
          <w:sz w:val="24"/>
          <w:szCs w:val="24"/>
          <w:lang w:val="en-GB"/>
        </w:rPr>
        <w:t xml:space="preserve">ools will </w:t>
      </w:r>
      <w:r w:rsidR="00065628">
        <w:rPr>
          <w:rFonts w:ascii="Arial" w:hAnsi="Arial" w:cs="Arial"/>
          <w:sz w:val="24"/>
          <w:szCs w:val="24"/>
          <w:lang w:val="en-GB"/>
        </w:rPr>
        <w:t xml:space="preserve">ensure </w:t>
      </w:r>
      <w:r>
        <w:rPr>
          <w:rFonts w:ascii="Arial" w:hAnsi="Arial" w:cs="Arial"/>
          <w:sz w:val="24"/>
          <w:szCs w:val="24"/>
          <w:lang w:val="en-GB"/>
        </w:rPr>
        <w:t>absor</w:t>
      </w:r>
      <w:r w:rsidR="00065628">
        <w:rPr>
          <w:rFonts w:ascii="Arial" w:hAnsi="Arial" w:cs="Arial"/>
          <w:sz w:val="24"/>
          <w:szCs w:val="24"/>
          <w:lang w:val="en-GB"/>
        </w:rPr>
        <w:t xml:space="preserve">ption of </w:t>
      </w:r>
      <w:r>
        <w:rPr>
          <w:rFonts w:ascii="Arial" w:hAnsi="Arial" w:cs="Arial"/>
          <w:sz w:val="24"/>
          <w:szCs w:val="24"/>
          <w:lang w:val="en-GB"/>
        </w:rPr>
        <w:t>any funds that are not absorbed by the framework contract.</w:t>
      </w:r>
    </w:p>
    <w:p w14:paraId="0D6C4AC2" w14:textId="7A4EDA1F" w:rsidR="00116C47" w:rsidRPr="008235E7" w:rsidRDefault="00116C47" w:rsidP="008235E7">
      <w:pPr>
        <w:rPr>
          <w:rFonts w:ascii="Arial" w:hAnsi="Arial" w:cs="Arial"/>
          <w:sz w:val="24"/>
          <w:szCs w:val="24"/>
          <w:lang w:val="en-GB"/>
        </w:rPr>
      </w:pPr>
    </w:p>
    <w:sectPr w:rsidR="00116C47" w:rsidRPr="008235E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3572E" w14:textId="77777777" w:rsidR="002F7133" w:rsidRDefault="002F7133" w:rsidP="00EA5707">
      <w:pPr>
        <w:spacing w:after="0" w:line="240" w:lineRule="auto"/>
      </w:pPr>
      <w:r>
        <w:separator/>
      </w:r>
    </w:p>
  </w:endnote>
  <w:endnote w:type="continuationSeparator" w:id="0">
    <w:p w14:paraId="1CDC9EEB" w14:textId="77777777" w:rsidR="002F7133" w:rsidRDefault="002F7133" w:rsidP="00EA5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298159"/>
      <w:docPartObj>
        <w:docPartGallery w:val="Page Numbers (Bottom of Page)"/>
        <w:docPartUnique/>
      </w:docPartObj>
    </w:sdtPr>
    <w:sdtEndPr>
      <w:rPr>
        <w:noProof/>
      </w:rPr>
    </w:sdtEndPr>
    <w:sdtContent>
      <w:p w14:paraId="11A4F233" w14:textId="2456E16D" w:rsidR="004061ED" w:rsidRDefault="004061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BCDE4" w14:textId="77777777" w:rsidR="004061ED" w:rsidRDefault="00406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41628" w14:textId="77777777" w:rsidR="002F7133" w:rsidRDefault="002F7133" w:rsidP="00EA5707">
      <w:pPr>
        <w:spacing w:after="0" w:line="240" w:lineRule="auto"/>
      </w:pPr>
      <w:r>
        <w:separator/>
      </w:r>
    </w:p>
  </w:footnote>
  <w:footnote w:type="continuationSeparator" w:id="0">
    <w:p w14:paraId="4417D13E" w14:textId="77777777" w:rsidR="002F7133" w:rsidRDefault="002F7133" w:rsidP="00EA5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0660F" w14:textId="4D59C48E" w:rsidR="00EA5707" w:rsidRPr="0088042E" w:rsidRDefault="00DF0762">
    <w:pPr>
      <w:pStyle w:val="Header"/>
      <w:rPr>
        <w:rFonts w:ascii="Arial" w:hAnsi="Arial" w:cs="Arial"/>
        <w:b/>
        <w:bCs/>
        <w:sz w:val="24"/>
        <w:szCs w:val="24"/>
        <w:lang w:val="en-GB"/>
      </w:rPr>
    </w:pPr>
    <w:r>
      <w:rPr>
        <w:rFonts w:ascii="Arial" w:hAnsi="Arial" w:cs="Arial"/>
        <w:b/>
        <w:bCs/>
        <w:sz w:val="24"/>
        <w:szCs w:val="24"/>
        <w:lang w:val="en-GB"/>
      </w:rPr>
      <w:t>Note 6</w:t>
    </w:r>
    <w:r w:rsidR="0088042E" w:rsidRPr="0088042E">
      <w:rPr>
        <w:rFonts w:ascii="Arial" w:hAnsi="Arial" w:cs="Arial"/>
        <w:b/>
        <w:bCs/>
        <w:sz w:val="24"/>
        <w:szCs w:val="24"/>
        <w:lang w:val="en-GB"/>
      </w:rPr>
      <w:t xml:space="preserve">: </w:t>
    </w:r>
    <w:r w:rsidR="00430BE6" w:rsidRPr="00430BE6">
      <w:rPr>
        <w:rFonts w:ascii="Arial" w:hAnsi="Arial" w:cs="Arial"/>
        <w:b/>
        <w:bCs/>
        <w:sz w:val="24"/>
        <w:szCs w:val="24"/>
        <w:lang w:val="en-GB"/>
      </w:rPr>
      <w:t>Enhancement of a Sustainable Regional Energy Market for Eastern Africa -Southern Africa - Indian Ocean Region ((ESREM EA-SA-IO)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6942"/>
    <w:multiLevelType w:val="hybridMultilevel"/>
    <w:tmpl w:val="C31C9ABE"/>
    <w:lvl w:ilvl="0" w:tplc="04090001">
      <w:start w:val="1"/>
      <w:numFmt w:val="bullet"/>
      <w:lvlText w:val=""/>
      <w:lvlJc w:val="left"/>
      <w:pPr>
        <w:ind w:left="1800" w:hanging="360"/>
      </w:pPr>
      <w:rPr>
        <w:rFonts w:ascii="Symbol" w:hAnsi="Symbol" w:hint="default"/>
      </w:rPr>
    </w:lvl>
    <w:lvl w:ilvl="1" w:tplc="0409001B">
      <w:start w:val="1"/>
      <w:numFmt w:val="lowerRoman"/>
      <w:lvlText w:val="%2."/>
      <w:lvlJc w:val="righ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E023E4"/>
    <w:multiLevelType w:val="hybridMultilevel"/>
    <w:tmpl w:val="9F0E44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FDD4A39"/>
    <w:multiLevelType w:val="hybridMultilevel"/>
    <w:tmpl w:val="E9F28B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5092BC0"/>
    <w:multiLevelType w:val="hybridMultilevel"/>
    <w:tmpl w:val="0D74613E"/>
    <w:lvl w:ilvl="0" w:tplc="0FFA6AA4">
      <w:start w:val="1"/>
      <w:numFmt w:val="decimal"/>
      <w:lvlText w:val="%1."/>
      <w:lvlJc w:val="left"/>
      <w:pPr>
        <w:ind w:left="36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F5551"/>
    <w:multiLevelType w:val="hybridMultilevel"/>
    <w:tmpl w:val="8D3E256E"/>
    <w:lvl w:ilvl="0" w:tplc="AFDE57FC">
      <w:start w:val="981"/>
      <w:numFmt w:val="bullet"/>
      <w:lvlText w:val="-"/>
      <w:lvlJc w:val="left"/>
      <w:pPr>
        <w:ind w:left="1440" w:hanging="360"/>
      </w:pPr>
      <w:rPr>
        <w:rFonts w:ascii="Georgia" w:eastAsiaTheme="minorHAnsi" w:hAnsi="Georgia"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1B7C20DF"/>
    <w:multiLevelType w:val="hybridMultilevel"/>
    <w:tmpl w:val="8C868380"/>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1D6C6117"/>
    <w:multiLevelType w:val="hybridMultilevel"/>
    <w:tmpl w:val="B6A8C1AE"/>
    <w:lvl w:ilvl="0" w:tplc="2000001B">
      <w:start w:val="1"/>
      <w:numFmt w:val="lowerRoman"/>
      <w:lvlText w:val="%1."/>
      <w:lvlJc w:val="righ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7" w15:restartNumberingAfterBreak="0">
    <w:nsid w:val="20C900C6"/>
    <w:multiLevelType w:val="hybridMultilevel"/>
    <w:tmpl w:val="C2EE971A"/>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5D10B51"/>
    <w:multiLevelType w:val="hybridMultilevel"/>
    <w:tmpl w:val="DF8CAE06"/>
    <w:lvl w:ilvl="0" w:tplc="8F5AFF06">
      <w:start w:val="1"/>
      <w:numFmt w:val="lowerRoman"/>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E6D15BE"/>
    <w:multiLevelType w:val="hybridMultilevel"/>
    <w:tmpl w:val="1E364592"/>
    <w:lvl w:ilvl="0" w:tplc="F9247B2E">
      <w:start w:val="30"/>
      <w:numFmt w:val="bullet"/>
      <w:lvlText w:val="-"/>
      <w:lvlJc w:val="left"/>
      <w:pPr>
        <w:ind w:left="1080" w:hanging="360"/>
      </w:pPr>
      <w:rPr>
        <w:rFonts w:ascii="Arial" w:eastAsiaTheme="minorHAnsi" w:hAnsi="Arial" w:cs="Aria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40A238C9"/>
    <w:multiLevelType w:val="hybridMultilevel"/>
    <w:tmpl w:val="9D5AF1FA"/>
    <w:lvl w:ilvl="0" w:tplc="A606DF88">
      <w:start w:val="1"/>
      <w:numFmt w:val="lowerRoman"/>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55049B2"/>
    <w:multiLevelType w:val="hybridMultilevel"/>
    <w:tmpl w:val="4120DCC4"/>
    <w:lvl w:ilvl="0" w:tplc="2000001B">
      <w:start w:val="1"/>
      <w:numFmt w:val="lowerRoman"/>
      <w:lvlText w:val="%1."/>
      <w:lvlJc w:val="righ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2" w15:restartNumberingAfterBreak="0">
    <w:nsid w:val="47AB1EB1"/>
    <w:multiLevelType w:val="hybridMultilevel"/>
    <w:tmpl w:val="783AC346"/>
    <w:lvl w:ilvl="0" w:tplc="CE16B4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F1E59"/>
    <w:multiLevelType w:val="hybridMultilevel"/>
    <w:tmpl w:val="0C9632F4"/>
    <w:lvl w:ilvl="0" w:tplc="3244C0E4">
      <w:start w:val="1"/>
      <w:numFmt w:val="lowerRoman"/>
      <w:lvlText w:val="%1)"/>
      <w:lvlJc w:val="left"/>
      <w:pPr>
        <w:ind w:left="644" w:hanging="360"/>
      </w:pPr>
      <w:rPr>
        <w:b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4" w15:restartNumberingAfterBreak="0">
    <w:nsid w:val="55C53E8E"/>
    <w:multiLevelType w:val="hybridMultilevel"/>
    <w:tmpl w:val="16B0CF70"/>
    <w:lvl w:ilvl="0" w:tplc="CB168A78">
      <w:start w:val="6"/>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6AA102F"/>
    <w:multiLevelType w:val="hybridMultilevel"/>
    <w:tmpl w:val="39A25AE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85F00C5"/>
    <w:multiLevelType w:val="hybridMultilevel"/>
    <w:tmpl w:val="783AC346"/>
    <w:lvl w:ilvl="0" w:tplc="CE16B4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B20B4"/>
    <w:multiLevelType w:val="hybridMultilevel"/>
    <w:tmpl w:val="A6440F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377200B"/>
    <w:multiLevelType w:val="hybridMultilevel"/>
    <w:tmpl w:val="CDD84B78"/>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7335A08"/>
    <w:multiLevelType w:val="hybridMultilevel"/>
    <w:tmpl w:val="FA7C1AB0"/>
    <w:lvl w:ilvl="0" w:tplc="466ABF86">
      <w:start w:val="30"/>
      <w:numFmt w:val="bullet"/>
      <w:lvlText w:val="-"/>
      <w:lvlJc w:val="left"/>
      <w:pPr>
        <w:ind w:left="1080" w:hanging="360"/>
      </w:pPr>
      <w:rPr>
        <w:rFonts w:ascii="Arial" w:eastAsiaTheme="minorHAnsi"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0" w15:restartNumberingAfterBreak="0">
    <w:nsid w:val="6F6C58FB"/>
    <w:multiLevelType w:val="hybridMultilevel"/>
    <w:tmpl w:val="BBCC0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C620FD6"/>
    <w:multiLevelType w:val="hybridMultilevel"/>
    <w:tmpl w:val="4D2CF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7E18397F"/>
    <w:multiLevelType w:val="hybridMultilevel"/>
    <w:tmpl w:val="BCC6741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E7A5FC8"/>
    <w:multiLevelType w:val="hybridMultilevel"/>
    <w:tmpl w:val="7C5A112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17"/>
  </w:num>
  <w:num w:numId="3">
    <w:abstractNumId w:val="22"/>
  </w:num>
  <w:num w:numId="4">
    <w:abstractNumId w:val="20"/>
  </w:num>
  <w:num w:numId="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7"/>
  </w:num>
  <w:num w:numId="8">
    <w:abstractNumId w:val="2"/>
  </w:num>
  <w:num w:numId="9">
    <w:abstractNumId w:val="0"/>
  </w:num>
  <w:num w:numId="10">
    <w:abstractNumId w:val="18"/>
  </w:num>
  <w:num w:numId="11">
    <w:abstractNumId w:val="4"/>
  </w:num>
  <w:num w:numId="12">
    <w:abstractNumId w:val="15"/>
  </w:num>
  <w:num w:numId="13">
    <w:abstractNumId w:val="5"/>
  </w:num>
  <w:num w:numId="14">
    <w:abstractNumId w:val="6"/>
  </w:num>
  <w:num w:numId="15">
    <w:abstractNumId w:val="16"/>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9"/>
  </w:num>
  <w:num w:numId="24">
    <w:abstractNumId w:val="12"/>
  </w:num>
  <w:num w:numId="25">
    <w:abstractNumId w:val="2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7D"/>
    <w:rsid w:val="00003C69"/>
    <w:rsid w:val="000051FD"/>
    <w:rsid w:val="00007B60"/>
    <w:rsid w:val="00033AFA"/>
    <w:rsid w:val="00053D08"/>
    <w:rsid w:val="00065628"/>
    <w:rsid w:val="000804DD"/>
    <w:rsid w:val="00096214"/>
    <w:rsid w:val="000C423F"/>
    <w:rsid w:val="000D212A"/>
    <w:rsid w:val="000D6591"/>
    <w:rsid w:val="000E644B"/>
    <w:rsid w:val="000E6545"/>
    <w:rsid w:val="00116C47"/>
    <w:rsid w:val="00135B3E"/>
    <w:rsid w:val="0013643D"/>
    <w:rsid w:val="00145A9D"/>
    <w:rsid w:val="00162783"/>
    <w:rsid w:val="00162E5A"/>
    <w:rsid w:val="001677F0"/>
    <w:rsid w:val="00184E05"/>
    <w:rsid w:val="001D4153"/>
    <w:rsid w:val="001D7851"/>
    <w:rsid w:val="00241AF8"/>
    <w:rsid w:val="0026230A"/>
    <w:rsid w:val="002A2DCF"/>
    <w:rsid w:val="002C09F8"/>
    <w:rsid w:val="002C18F2"/>
    <w:rsid w:val="002D686D"/>
    <w:rsid w:val="002E5A56"/>
    <w:rsid w:val="002F20BD"/>
    <w:rsid w:val="002F7133"/>
    <w:rsid w:val="00305191"/>
    <w:rsid w:val="00333C56"/>
    <w:rsid w:val="003362B7"/>
    <w:rsid w:val="0034272C"/>
    <w:rsid w:val="003568B7"/>
    <w:rsid w:val="00376FAB"/>
    <w:rsid w:val="00380DCE"/>
    <w:rsid w:val="0039065B"/>
    <w:rsid w:val="0039103E"/>
    <w:rsid w:val="0039384C"/>
    <w:rsid w:val="003A7C2F"/>
    <w:rsid w:val="003B2994"/>
    <w:rsid w:val="003B3B09"/>
    <w:rsid w:val="003D2D68"/>
    <w:rsid w:val="003D420F"/>
    <w:rsid w:val="003D7CE2"/>
    <w:rsid w:val="003F7616"/>
    <w:rsid w:val="004061ED"/>
    <w:rsid w:val="00430BE6"/>
    <w:rsid w:val="00440E12"/>
    <w:rsid w:val="00462303"/>
    <w:rsid w:val="00476F74"/>
    <w:rsid w:val="004839CF"/>
    <w:rsid w:val="00486D2D"/>
    <w:rsid w:val="004C60E7"/>
    <w:rsid w:val="004D6920"/>
    <w:rsid w:val="004F3B32"/>
    <w:rsid w:val="0051591C"/>
    <w:rsid w:val="00516AF6"/>
    <w:rsid w:val="00563146"/>
    <w:rsid w:val="0059028E"/>
    <w:rsid w:val="005C0D47"/>
    <w:rsid w:val="005C29C2"/>
    <w:rsid w:val="005D0FF4"/>
    <w:rsid w:val="005D187C"/>
    <w:rsid w:val="005D57FA"/>
    <w:rsid w:val="005F7573"/>
    <w:rsid w:val="00614B23"/>
    <w:rsid w:val="00627B99"/>
    <w:rsid w:val="00630041"/>
    <w:rsid w:val="006430CF"/>
    <w:rsid w:val="0064391F"/>
    <w:rsid w:val="006471A8"/>
    <w:rsid w:val="00661CB7"/>
    <w:rsid w:val="00662367"/>
    <w:rsid w:val="00670EF2"/>
    <w:rsid w:val="006760DA"/>
    <w:rsid w:val="00693533"/>
    <w:rsid w:val="006A5ED8"/>
    <w:rsid w:val="006D2A5B"/>
    <w:rsid w:val="006E0FE0"/>
    <w:rsid w:val="006F483E"/>
    <w:rsid w:val="00712E0B"/>
    <w:rsid w:val="0071657A"/>
    <w:rsid w:val="00750365"/>
    <w:rsid w:val="00762648"/>
    <w:rsid w:val="007756F6"/>
    <w:rsid w:val="00795F09"/>
    <w:rsid w:val="007A7277"/>
    <w:rsid w:val="0080523A"/>
    <w:rsid w:val="00815C3D"/>
    <w:rsid w:val="008235E7"/>
    <w:rsid w:val="00824D2A"/>
    <w:rsid w:val="00833C56"/>
    <w:rsid w:val="00843FEB"/>
    <w:rsid w:val="00846AEC"/>
    <w:rsid w:val="00852BFC"/>
    <w:rsid w:val="00852CDB"/>
    <w:rsid w:val="0088042E"/>
    <w:rsid w:val="00886369"/>
    <w:rsid w:val="008B27B4"/>
    <w:rsid w:val="00906A87"/>
    <w:rsid w:val="009A15A8"/>
    <w:rsid w:val="009A7E09"/>
    <w:rsid w:val="009B63CE"/>
    <w:rsid w:val="009C0808"/>
    <w:rsid w:val="009E3895"/>
    <w:rsid w:val="009F2011"/>
    <w:rsid w:val="00A033DA"/>
    <w:rsid w:val="00A06EE3"/>
    <w:rsid w:val="00A16D94"/>
    <w:rsid w:val="00A209B9"/>
    <w:rsid w:val="00A415F1"/>
    <w:rsid w:val="00A51E20"/>
    <w:rsid w:val="00AB1734"/>
    <w:rsid w:val="00AB2D11"/>
    <w:rsid w:val="00AC150D"/>
    <w:rsid w:val="00AF6DC8"/>
    <w:rsid w:val="00B15A90"/>
    <w:rsid w:val="00B30F9E"/>
    <w:rsid w:val="00B3409C"/>
    <w:rsid w:val="00B53D26"/>
    <w:rsid w:val="00B62107"/>
    <w:rsid w:val="00B84086"/>
    <w:rsid w:val="00BD6B8D"/>
    <w:rsid w:val="00BD7E22"/>
    <w:rsid w:val="00C15EE7"/>
    <w:rsid w:val="00C21FAD"/>
    <w:rsid w:val="00C23F82"/>
    <w:rsid w:val="00C37F60"/>
    <w:rsid w:val="00C45CAA"/>
    <w:rsid w:val="00C643F1"/>
    <w:rsid w:val="00C7170A"/>
    <w:rsid w:val="00C80BA2"/>
    <w:rsid w:val="00C815D3"/>
    <w:rsid w:val="00C84E39"/>
    <w:rsid w:val="00CC1F18"/>
    <w:rsid w:val="00CD18A0"/>
    <w:rsid w:val="00CE7366"/>
    <w:rsid w:val="00CF42B6"/>
    <w:rsid w:val="00CF658A"/>
    <w:rsid w:val="00D21207"/>
    <w:rsid w:val="00D30738"/>
    <w:rsid w:val="00D34A88"/>
    <w:rsid w:val="00D37130"/>
    <w:rsid w:val="00D532EC"/>
    <w:rsid w:val="00D62D30"/>
    <w:rsid w:val="00D66A92"/>
    <w:rsid w:val="00D830ED"/>
    <w:rsid w:val="00DA2FD3"/>
    <w:rsid w:val="00DE42FB"/>
    <w:rsid w:val="00DE5BD1"/>
    <w:rsid w:val="00DF0762"/>
    <w:rsid w:val="00E0687D"/>
    <w:rsid w:val="00E20F23"/>
    <w:rsid w:val="00E30454"/>
    <w:rsid w:val="00E31A94"/>
    <w:rsid w:val="00E337EF"/>
    <w:rsid w:val="00E66323"/>
    <w:rsid w:val="00E7699B"/>
    <w:rsid w:val="00E93593"/>
    <w:rsid w:val="00EA5707"/>
    <w:rsid w:val="00EB7794"/>
    <w:rsid w:val="00EC4B75"/>
    <w:rsid w:val="00EC7217"/>
    <w:rsid w:val="00ED4561"/>
    <w:rsid w:val="00EF59F9"/>
    <w:rsid w:val="00EF6F0D"/>
    <w:rsid w:val="00F06E87"/>
    <w:rsid w:val="00F070C5"/>
    <w:rsid w:val="00F07BF7"/>
    <w:rsid w:val="00F14F90"/>
    <w:rsid w:val="00F26262"/>
    <w:rsid w:val="00F32A87"/>
    <w:rsid w:val="00F62804"/>
    <w:rsid w:val="00F83211"/>
    <w:rsid w:val="00FA743D"/>
    <w:rsid w:val="00FC4D07"/>
    <w:rsid w:val="00FF64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2ABC"/>
  <w15:chartTrackingRefBased/>
  <w15:docId w15:val="{F0DF54F3-0271-42C9-BAF0-471C41C9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1D7851"/>
    <w:pPr>
      <w:keepNext/>
      <w:keepLines/>
      <w:spacing w:before="200" w:after="0" w:line="276" w:lineRule="auto"/>
      <w:outlineLvl w:val="1"/>
    </w:pPr>
    <w:rPr>
      <w:rFonts w:ascii="Cambria" w:eastAsia="Times New Roman" w:hAnsi="Cambria" w:cs="Times New Roman"/>
      <w:b/>
      <w:bCs/>
      <w:color w:val="4F81BD"/>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116C47"/>
    <w:pPr>
      <w:ind w:left="720"/>
      <w:contextualSpacing/>
    </w:pPr>
  </w:style>
  <w:style w:type="paragraph" w:styleId="Header">
    <w:name w:val="header"/>
    <w:basedOn w:val="Normal"/>
    <w:link w:val="HeaderChar"/>
    <w:uiPriority w:val="99"/>
    <w:unhideWhenUsed/>
    <w:rsid w:val="00EA5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707"/>
  </w:style>
  <w:style w:type="paragraph" w:styleId="Footer">
    <w:name w:val="footer"/>
    <w:basedOn w:val="Normal"/>
    <w:link w:val="FooterChar"/>
    <w:uiPriority w:val="99"/>
    <w:unhideWhenUsed/>
    <w:rsid w:val="00EA5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707"/>
  </w:style>
  <w:style w:type="character" w:customStyle="1" w:styleId="mainactivitymainactivityname">
    <w:name w:val="main_activity_main_activity_name"/>
    <w:rsid w:val="00C15EE7"/>
    <w:rPr>
      <w:lang w:val="en-US"/>
    </w:rPr>
  </w:style>
  <w:style w:type="paragraph" w:styleId="BalloonText">
    <w:name w:val="Balloon Text"/>
    <w:basedOn w:val="Normal"/>
    <w:link w:val="BalloonTextChar"/>
    <w:uiPriority w:val="99"/>
    <w:semiHidden/>
    <w:unhideWhenUsed/>
    <w:rsid w:val="00852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CDB"/>
    <w:rPr>
      <w:rFonts w:ascii="Segoe UI" w:hAnsi="Segoe UI" w:cs="Segoe UI"/>
      <w:sz w:val="18"/>
      <w:szCs w:val="18"/>
    </w:rPr>
  </w:style>
  <w:style w:type="paragraph" w:customStyle="1" w:styleId="DefaultText">
    <w:name w:val="Default Text"/>
    <w:basedOn w:val="Normal"/>
    <w:link w:val="DefaultTextChar"/>
    <w:rsid w:val="00852CDB"/>
    <w:pPr>
      <w:tabs>
        <w:tab w:val="left" w:pos="-709"/>
      </w:tabs>
      <w:spacing w:after="0" w:line="360" w:lineRule="auto"/>
      <w:jc w:val="both"/>
    </w:pPr>
    <w:rPr>
      <w:rFonts w:ascii="Times New Roman" w:eastAsia="Times New Roman" w:hAnsi="Times New Roman" w:cs="Times New Roman"/>
      <w:sz w:val="24"/>
      <w:szCs w:val="24"/>
      <w:lang w:val="en-GB" w:eastAsia="fr-FR"/>
    </w:rPr>
  </w:style>
  <w:style w:type="character" w:customStyle="1" w:styleId="DefaultTextChar">
    <w:name w:val="Default Text Char"/>
    <w:link w:val="DefaultText"/>
    <w:locked/>
    <w:rsid w:val="00852CDB"/>
    <w:rPr>
      <w:rFonts w:ascii="Times New Roman" w:eastAsia="Times New Roman" w:hAnsi="Times New Roman" w:cs="Times New Roman"/>
      <w:sz w:val="24"/>
      <w:szCs w:val="24"/>
      <w:lang w:val="en-GB" w:eastAsia="fr-FR"/>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B62107"/>
  </w:style>
  <w:style w:type="character" w:customStyle="1" w:styleId="Heading2Char">
    <w:name w:val="Heading 2 Char"/>
    <w:basedOn w:val="DefaultParagraphFont"/>
    <w:link w:val="Heading2"/>
    <w:semiHidden/>
    <w:rsid w:val="001D7851"/>
    <w:rPr>
      <w:rFonts w:ascii="Cambria" w:eastAsia="Times New Roman" w:hAnsi="Cambria" w:cs="Times New Roman"/>
      <w:b/>
      <w:bCs/>
      <w:color w:val="4F81BD"/>
      <w:sz w:val="26"/>
      <w:szCs w:val="26"/>
      <w:lang w:val="en-GB"/>
    </w:rPr>
  </w:style>
  <w:style w:type="paragraph" w:customStyle="1" w:styleId="Text2">
    <w:name w:val="Text 2"/>
    <w:basedOn w:val="Normal"/>
    <w:rsid w:val="001D7851"/>
    <w:pPr>
      <w:spacing w:before="120" w:after="120" w:line="240" w:lineRule="auto"/>
      <w:ind w:left="850"/>
      <w:jc w:val="both"/>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4991">
      <w:bodyDiv w:val="1"/>
      <w:marLeft w:val="0"/>
      <w:marRight w:val="0"/>
      <w:marTop w:val="0"/>
      <w:marBottom w:val="0"/>
      <w:divBdr>
        <w:top w:val="none" w:sz="0" w:space="0" w:color="auto"/>
        <w:left w:val="none" w:sz="0" w:space="0" w:color="auto"/>
        <w:bottom w:val="none" w:sz="0" w:space="0" w:color="auto"/>
        <w:right w:val="none" w:sz="0" w:space="0" w:color="auto"/>
      </w:divBdr>
    </w:div>
    <w:div w:id="226498142">
      <w:bodyDiv w:val="1"/>
      <w:marLeft w:val="0"/>
      <w:marRight w:val="0"/>
      <w:marTop w:val="0"/>
      <w:marBottom w:val="0"/>
      <w:divBdr>
        <w:top w:val="none" w:sz="0" w:space="0" w:color="auto"/>
        <w:left w:val="none" w:sz="0" w:space="0" w:color="auto"/>
        <w:bottom w:val="none" w:sz="0" w:space="0" w:color="auto"/>
        <w:right w:val="none" w:sz="0" w:space="0" w:color="auto"/>
      </w:divBdr>
    </w:div>
    <w:div w:id="271060345">
      <w:bodyDiv w:val="1"/>
      <w:marLeft w:val="0"/>
      <w:marRight w:val="0"/>
      <w:marTop w:val="0"/>
      <w:marBottom w:val="0"/>
      <w:divBdr>
        <w:top w:val="none" w:sz="0" w:space="0" w:color="auto"/>
        <w:left w:val="none" w:sz="0" w:space="0" w:color="auto"/>
        <w:bottom w:val="none" w:sz="0" w:space="0" w:color="auto"/>
        <w:right w:val="none" w:sz="0" w:space="0" w:color="auto"/>
      </w:divBdr>
    </w:div>
    <w:div w:id="340857428">
      <w:bodyDiv w:val="1"/>
      <w:marLeft w:val="0"/>
      <w:marRight w:val="0"/>
      <w:marTop w:val="0"/>
      <w:marBottom w:val="0"/>
      <w:divBdr>
        <w:top w:val="none" w:sz="0" w:space="0" w:color="auto"/>
        <w:left w:val="none" w:sz="0" w:space="0" w:color="auto"/>
        <w:bottom w:val="none" w:sz="0" w:space="0" w:color="auto"/>
        <w:right w:val="none" w:sz="0" w:space="0" w:color="auto"/>
      </w:divBdr>
    </w:div>
    <w:div w:id="497691203">
      <w:bodyDiv w:val="1"/>
      <w:marLeft w:val="0"/>
      <w:marRight w:val="0"/>
      <w:marTop w:val="0"/>
      <w:marBottom w:val="0"/>
      <w:divBdr>
        <w:top w:val="none" w:sz="0" w:space="0" w:color="auto"/>
        <w:left w:val="none" w:sz="0" w:space="0" w:color="auto"/>
        <w:bottom w:val="none" w:sz="0" w:space="0" w:color="auto"/>
        <w:right w:val="none" w:sz="0" w:space="0" w:color="auto"/>
      </w:divBdr>
    </w:div>
    <w:div w:id="616064058">
      <w:bodyDiv w:val="1"/>
      <w:marLeft w:val="0"/>
      <w:marRight w:val="0"/>
      <w:marTop w:val="0"/>
      <w:marBottom w:val="0"/>
      <w:divBdr>
        <w:top w:val="none" w:sz="0" w:space="0" w:color="auto"/>
        <w:left w:val="none" w:sz="0" w:space="0" w:color="auto"/>
        <w:bottom w:val="none" w:sz="0" w:space="0" w:color="auto"/>
        <w:right w:val="none" w:sz="0" w:space="0" w:color="auto"/>
      </w:divBdr>
    </w:div>
    <w:div w:id="675230712">
      <w:bodyDiv w:val="1"/>
      <w:marLeft w:val="0"/>
      <w:marRight w:val="0"/>
      <w:marTop w:val="0"/>
      <w:marBottom w:val="0"/>
      <w:divBdr>
        <w:top w:val="none" w:sz="0" w:space="0" w:color="auto"/>
        <w:left w:val="none" w:sz="0" w:space="0" w:color="auto"/>
        <w:bottom w:val="none" w:sz="0" w:space="0" w:color="auto"/>
        <w:right w:val="none" w:sz="0" w:space="0" w:color="auto"/>
      </w:divBdr>
    </w:div>
    <w:div w:id="711224787">
      <w:bodyDiv w:val="1"/>
      <w:marLeft w:val="0"/>
      <w:marRight w:val="0"/>
      <w:marTop w:val="0"/>
      <w:marBottom w:val="0"/>
      <w:divBdr>
        <w:top w:val="none" w:sz="0" w:space="0" w:color="auto"/>
        <w:left w:val="none" w:sz="0" w:space="0" w:color="auto"/>
        <w:bottom w:val="none" w:sz="0" w:space="0" w:color="auto"/>
        <w:right w:val="none" w:sz="0" w:space="0" w:color="auto"/>
      </w:divBdr>
    </w:div>
    <w:div w:id="823199839">
      <w:bodyDiv w:val="1"/>
      <w:marLeft w:val="0"/>
      <w:marRight w:val="0"/>
      <w:marTop w:val="0"/>
      <w:marBottom w:val="0"/>
      <w:divBdr>
        <w:top w:val="none" w:sz="0" w:space="0" w:color="auto"/>
        <w:left w:val="none" w:sz="0" w:space="0" w:color="auto"/>
        <w:bottom w:val="none" w:sz="0" w:space="0" w:color="auto"/>
        <w:right w:val="none" w:sz="0" w:space="0" w:color="auto"/>
      </w:divBdr>
    </w:div>
    <w:div w:id="1023631605">
      <w:bodyDiv w:val="1"/>
      <w:marLeft w:val="0"/>
      <w:marRight w:val="0"/>
      <w:marTop w:val="0"/>
      <w:marBottom w:val="0"/>
      <w:divBdr>
        <w:top w:val="none" w:sz="0" w:space="0" w:color="auto"/>
        <w:left w:val="none" w:sz="0" w:space="0" w:color="auto"/>
        <w:bottom w:val="none" w:sz="0" w:space="0" w:color="auto"/>
        <w:right w:val="none" w:sz="0" w:space="0" w:color="auto"/>
      </w:divBdr>
    </w:div>
    <w:div w:id="1076710022">
      <w:bodyDiv w:val="1"/>
      <w:marLeft w:val="0"/>
      <w:marRight w:val="0"/>
      <w:marTop w:val="0"/>
      <w:marBottom w:val="0"/>
      <w:divBdr>
        <w:top w:val="none" w:sz="0" w:space="0" w:color="auto"/>
        <w:left w:val="none" w:sz="0" w:space="0" w:color="auto"/>
        <w:bottom w:val="none" w:sz="0" w:space="0" w:color="auto"/>
        <w:right w:val="none" w:sz="0" w:space="0" w:color="auto"/>
      </w:divBdr>
    </w:div>
    <w:div w:id="1179540041">
      <w:bodyDiv w:val="1"/>
      <w:marLeft w:val="0"/>
      <w:marRight w:val="0"/>
      <w:marTop w:val="0"/>
      <w:marBottom w:val="0"/>
      <w:divBdr>
        <w:top w:val="none" w:sz="0" w:space="0" w:color="auto"/>
        <w:left w:val="none" w:sz="0" w:space="0" w:color="auto"/>
        <w:bottom w:val="none" w:sz="0" w:space="0" w:color="auto"/>
        <w:right w:val="none" w:sz="0" w:space="0" w:color="auto"/>
      </w:divBdr>
    </w:div>
    <w:div w:id="1232734558">
      <w:bodyDiv w:val="1"/>
      <w:marLeft w:val="0"/>
      <w:marRight w:val="0"/>
      <w:marTop w:val="0"/>
      <w:marBottom w:val="0"/>
      <w:divBdr>
        <w:top w:val="none" w:sz="0" w:space="0" w:color="auto"/>
        <w:left w:val="none" w:sz="0" w:space="0" w:color="auto"/>
        <w:bottom w:val="none" w:sz="0" w:space="0" w:color="auto"/>
        <w:right w:val="none" w:sz="0" w:space="0" w:color="auto"/>
      </w:divBdr>
    </w:div>
    <w:div w:id="1498306375">
      <w:bodyDiv w:val="1"/>
      <w:marLeft w:val="0"/>
      <w:marRight w:val="0"/>
      <w:marTop w:val="0"/>
      <w:marBottom w:val="0"/>
      <w:divBdr>
        <w:top w:val="none" w:sz="0" w:space="0" w:color="auto"/>
        <w:left w:val="none" w:sz="0" w:space="0" w:color="auto"/>
        <w:bottom w:val="none" w:sz="0" w:space="0" w:color="auto"/>
        <w:right w:val="none" w:sz="0" w:space="0" w:color="auto"/>
      </w:divBdr>
    </w:div>
    <w:div w:id="1609237049">
      <w:bodyDiv w:val="1"/>
      <w:marLeft w:val="0"/>
      <w:marRight w:val="0"/>
      <w:marTop w:val="0"/>
      <w:marBottom w:val="0"/>
      <w:divBdr>
        <w:top w:val="none" w:sz="0" w:space="0" w:color="auto"/>
        <w:left w:val="none" w:sz="0" w:space="0" w:color="auto"/>
        <w:bottom w:val="none" w:sz="0" w:space="0" w:color="auto"/>
        <w:right w:val="none" w:sz="0" w:space="0" w:color="auto"/>
      </w:divBdr>
    </w:div>
    <w:div w:id="1670057574">
      <w:bodyDiv w:val="1"/>
      <w:marLeft w:val="0"/>
      <w:marRight w:val="0"/>
      <w:marTop w:val="0"/>
      <w:marBottom w:val="0"/>
      <w:divBdr>
        <w:top w:val="none" w:sz="0" w:space="0" w:color="auto"/>
        <w:left w:val="none" w:sz="0" w:space="0" w:color="auto"/>
        <w:bottom w:val="none" w:sz="0" w:space="0" w:color="auto"/>
        <w:right w:val="none" w:sz="0" w:space="0" w:color="auto"/>
      </w:divBdr>
    </w:div>
    <w:div w:id="1903128530">
      <w:bodyDiv w:val="1"/>
      <w:marLeft w:val="0"/>
      <w:marRight w:val="0"/>
      <w:marTop w:val="0"/>
      <w:marBottom w:val="0"/>
      <w:divBdr>
        <w:top w:val="none" w:sz="0" w:space="0" w:color="auto"/>
        <w:left w:val="none" w:sz="0" w:space="0" w:color="auto"/>
        <w:bottom w:val="none" w:sz="0" w:space="0" w:color="auto"/>
        <w:right w:val="none" w:sz="0" w:space="0" w:color="auto"/>
      </w:divBdr>
    </w:div>
    <w:div w:id="1938052883">
      <w:bodyDiv w:val="1"/>
      <w:marLeft w:val="0"/>
      <w:marRight w:val="0"/>
      <w:marTop w:val="0"/>
      <w:marBottom w:val="0"/>
      <w:divBdr>
        <w:top w:val="none" w:sz="0" w:space="0" w:color="auto"/>
        <w:left w:val="none" w:sz="0" w:space="0" w:color="auto"/>
        <w:bottom w:val="none" w:sz="0" w:space="0" w:color="auto"/>
        <w:right w:val="none" w:sz="0" w:space="0" w:color="auto"/>
      </w:divBdr>
    </w:div>
    <w:div w:id="2001502198">
      <w:bodyDiv w:val="1"/>
      <w:marLeft w:val="0"/>
      <w:marRight w:val="0"/>
      <w:marTop w:val="0"/>
      <w:marBottom w:val="0"/>
      <w:divBdr>
        <w:top w:val="none" w:sz="0" w:space="0" w:color="auto"/>
        <w:left w:val="none" w:sz="0" w:space="0" w:color="auto"/>
        <w:bottom w:val="none" w:sz="0" w:space="0" w:color="auto"/>
        <w:right w:val="none" w:sz="0" w:space="0" w:color="auto"/>
      </w:divBdr>
    </w:div>
    <w:div w:id="2061634658">
      <w:bodyDiv w:val="1"/>
      <w:marLeft w:val="0"/>
      <w:marRight w:val="0"/>
      <w:marTop w:val="0"/>
      <w:marBottom w:val="0"/>
      <w:divBdr>
        <w:top w:val="none" w:sz="0" w:space="0" w:color="auto"/>
        <w:left w:val="none" w:sz="0" w:space="0" w:color="auto"/>
        <w:bottom w:val="none" w:sz="0" w:space="0" w:color="auto"/>
        <w:right w:val="none" w:sz="0" w:space="0" w:color="auto"/>
      </w:divBdr>
    </w:div>
    <w:div w:id="213647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FF6ECA69CB44DAAE7F8FB121EBD86" ma:contentTypeVersion="8" ma:contentTypeDescription="Create a new document." ma:contentTypeScope="" ma:versionID="df1d6c6d285cd96b3336cc94b7ef54e2">
  <xsd:schema xmlns:xsd="http://www.w3.org/2001/XMLSchema" xmlns:xs="http://www.w3.org/2001/XMLSchema" xmlns:p="http://schemas.microsoft.com/office/2006/metadata/properties" xmlns:ns3="6e49b178-b109-40ec-ba3a-08c7a1a9acc4" targetNamespace="http://schemas.microsoft.com/office/2006/metadata/properties" ma:root="true" ma:fieldsID="e796d9bcf9fe1d40124af98917b6be32" ns3:_="">
    <xsd:import namespace="6e49b178-b109-40ec-ba3a-08c7a1a9ac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b178-b109-40ec-ba3a-08c7a1a9ac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A02B5-D2BB-4930-9089-D338D74CD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9b178-b109-40ec-ba3a-08c7a1a9a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C62FC-E179-48D0-BB07-E4A6FC0C3CE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e49b178-b109-40ec-ba3a-08c7a1a9acc4"/>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D0C86FD-E765-4965-AF7D-869C0767B4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 Kapesha</dc:creator>
  <cp:keywords/>
  <dc:description/>
  <cp:lastModifiedBy>Munshya Zoya M. Masocha</cp:lastModifiedBy>
  <cp:revision>4</cp:revision>
  <cp:lastPrinted>2019-10-05T16:28:00Z</cp:lastPrinted>
  <dcterms:created xsi:type="dcterms:W3CDTF">2019-10-11T07:42:00Z</dcterms:created>
  <dcterms:modified xsi:type="dcterms:W3CDTF">2019-10-21T13:35:00Z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0x010100FE8FF6ECA69CB44DAAE7F8FB121EBD86</vt:lpwstr>
  </property>
</Properties>
</file>