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Look w:val="04A0" w:firstRow="1" w:lastRow="0" w:firstColumn="1" w:lastColumn="0" w:noHBand="0" w:noVBand="1"/>
      </w:tblPr>
      <w:tblGrid>
        <w:gridCol w:w="4536"/>
        <w:gridCol w:w="4536"/>
      </w:tblGrid>
      <w:tr w:rsidR="004061ED" w:rsidRPr="004061ED" w14:paraId="74D02AAE" w14:textId="77777777" w:rsidTr="004061ED">
        <w:trPr>
          <w:trHeight w:val="515"/>
        </w:trPr>
        <w:tc>
          <w:tcPr>
            <w:tcW w:w="4536" w:type="dxa"/>
            <w:shd w:val="clear" w:color="auto" w:fill="44546A" w:themeFill="text2"/>
          </w:tcPr>
          <w:p w14:paraId="07DB73CF" w14:textId="305F0C24" w:rsidR="0088042E" w:rsidRPr="004061ED" w:rsidRDefault="0088042E" w:rsidP="00EA5707">
            <w:pPr>
              <w:rPr>
                <w:rFonts w:ascii="Arial" w:hAnsi="Arial" w:cs="Arial"/>
                <w:b/>
                <w:bCs/>
                <w:color w:val="000000" w:themeColor="text1"/>
                <w:sz w:val="24"/>
                <w:szCs w:val="24"/>
                <w:lang w:val="en-GB"/>
              </w:rPr>
            </w:pPr>
            <w:r w:rsidRPr="004061ED">
              <w:rPr>
                <w:rFonts w:ascii="Arial" w:hAnsi="Arial" w:cs="Arial"/>
                <w:b/>
                <w:bCs/>
                <w:color w:val="000000" w:themeColor="text1"/>
                <w:sz w:val="24"/>
                <w:szCs w:val="24"/>
                <w:lang w:val="en-GB"/>
              </w:rPr>
              <w:t>Name of Donor</w:t>
            </w:r>
          </w:p>
        </w:tc>
        <w:tc>
          <w:tcPr>
            <w:tcW w:w="4536" w:type="dxa"/>
            <w:shd w:val="clear" w:color="auto" w:fill="44546A" w:themeFill="text2"/>
          </w:tcPr>
          <w:p w14:paraId="0B18D5A4" w14:textId="36CD950A" w:rsidR="0088042E" w:rsidRPr="004061ED" w:rsidRDefault="0088042E" w:rsidP="00EA5707">
            <w:pPr>
              <w:rPr>
                <w:rFonts w:ascii="Arial" w:hAnsi="Arial" w:cs="Arial"/>
                <w:b/>
                <w:bCs/>
                <w:color w:val="000000" w:themeColor="text1"/>
                <w:sz w:val="24"/>
                <w:szCs w:val="24"/>
                <w:lang w:val="en-GB"/>
              </w:rPr>
            </w:pPr>
            <w:r w:rsidRPr="004061ED">
              <w:rPr>
                <w:rFonts w:ascii="Arial" w:hAnsi="Arial" w:cs="Arial"/>
                <w:b/>
                <w:bCs/>
                <w:color w:val="000000" w:themeColor="text1"/>
                <w:sz w:val="24"/>
                <w:szCs w:val="24"/>
                <w:lang w:val="en-GB"/>
              </w:rPr>
              <w:t>Name of Project</w:t>
            </w:r>
          </w:p>
        </w:tc>
      </w:tr>
      <w:tr w:rsidR="0088042E" w:rsidRPr="0088042E" w14:paraId="0EF239F4" w14:textId="77777777" w:rsidTr="0088042E">
        <w:trPr>
          <w:trHeight w:val="70"/>
        </w:trPr>
        <w:tc>
          <w:tcPr>
            <w:tcW w:w="4536" w:type="dxa"/>
          </w:tcPr>
          <w:p w14:paraId="715F3A9B" w14:textId="49619021" w:rsidR="0088042E" w:rsidRPr="005D31AA" w:rsidRDefault="0088042E" w:rsidP="00EA5707">
            <w:pPr>
              <w:rPr>
                <w:rFonts w:ascii="Arial" w:hAnsi="Arial" w:cs="Arial"/>
                <w:b/>
                <w:sz w:val="24"/>
                <w:szCs w:val="24"/>
                <w:lang w:val="en-GB"/>
              </w:rPr>
            </w:pPr>
            <w:r w:rsidRPr="005D31AA">
              <w:rPr>
                <w:rFonts w:ascii="Arial" w:hAnsi="Arial" w:cs="Arial"/>
                <w:b/>
                <w:sz w:val="24"/>
                <w:szCs w:val="24"/>
                <w:lang w:val="en-GB"/>
              </w:rPr>
              <w:t>European Union</w:t>
            </w:r>
          </w:p>
        </w:tc>
        <w:tc>
          <w:tcPr>
            <w:tcW w:w="4536" w:type="dxa"/>
          </w:tcPr>
          <w:p w14:paraId="1BF3CA04" w14:textId="63DD09ED" w:rsidR="0088042E" w:rsidRPr="0088042E" w:rsidRDefault="00673BF2" w:rsidP="00EA5707">
            <w:pPr>
              <w:rPr>
                <w:rFonts w:ascii="Arial" w:hAnsi="Arial" w:cs="Arial"/>
                <w:sz w:val="24"/>
                <w:szCs w:val="24"/>
                <w:lang w:val="en-GB"/>
              </w:rPr>
            </w:pPr>
            <w:r>
              <w:rPr>
                <w:rFonts w:ascii="Arial" w:hAnsi="Arial" w:cs="Arial"/>
                <w:sz w:val="24"/>
                <w:szCs w:val="24"/>
                <w:lang w:val="en-GB"/>
              </w:rPr>
              <w:t>Enhancing COMESA Capacity in Trade Policy Analysis, Research and Training for Deeper Regional Integration and Participation in Global E</w:t>
            </w:r>
            <w:r w:rsidR="00CD2322">
              <w:rPr>
                <w:rFonts w:ascii="Arial" w:hAnsi="Arial" w:cs="Arial"/>
                <w:sz w:val="24"/>
                <w:szCs w:val="24"/>
                <w:lang w:val="en-GB"/>
              </w:rPr>
              <w:t>conomy</w:t>
            </w:r>
          </w:p>
        </w:tc>
      </w:tr>
      <w:tr w:rsidR="0088042E" w:rsidRPr="0088042E" w14:paraId="367372E1" w14:textId="77777777" w:rsidTr="0088042E">
        <w:trPr>
          <w:trHeight w:val="70"/>
        </w:trPr>
        <w:tc>
          <w:tcPr>
            <w:tcW w:w="4536" w:type="dxa"/>
          </w:tcPr>
          <w:p w14:paraId="77A16C34" w14:textId="6F344DC1" w:rsidR="0088042E" w:rsidRPr="0088042E" w:rsidRDefault="0088042E" w:rsidP="00EA5707">
            <w:pPr>
              <w:rPr>
                <w:rFonts w:ascii="Arial" w:hAnsi="Arial" w:cs="Arial"/>
                <w:sz w:val="24"/>
                <w:szCs w:val="24"/>
                <w:lang w:val="en-GB"/>
              </w:rPr>
            </w:pPr>
            <w:r w:rsidRPr="0088042E">
              <w:rPr>
                <w:rFonts w:ascii="Arial" w:hAnsi="Arial" w:cs="Arial"/>
                <w:b/>
                <w:bCs/>
                <w:sz w:val="24"/>
                <w:szCs w:val="24"/>
                <w:lang w:val="en-GB"/>
              </w:rPr>
              <w:t>Grant start date</w:t>
            </w:r>
            <w:r w:rsidRPr="0088042E">
              <w:rPr>
                <w:rFonts w:ascii="Arial" w:hAnsi="Arial" w:cs="Arial"/>
                <w:sz w:val="24"/>
                <w:szCs w:val="24"/>
                <w:lang w:val="en-GB"/>
              </w:rPr>
              <w:t xml:space="preserve">: </w:t>
            </w:r>
            <w:r w:rsidRPr="0088042E">
              <w:rPr>
                <w:rFonts w:ascii="Arial" w:hAnsi="Arial" w:cs="Arial"/>
                <w:sz w:val="24"/>
                <w:szCs w:val="24"/>
                <w:lang w:val="en-GB"/>
              </w:rPr>
              <w:tab/>
            </w:r>
          </w:p>
        </w:tc>
        <w:tc>
          <w:tcPr>
            <w:tcW w:w="4536" w:type="dxa"/>
          </w:tcPr>
          <w:p w14:paraId="06C10898" w14:textId="44D328F1" w:rsidR="0088042E" w:rsidRPr="0088042E" w:rsidRDefault="0088042E" w:rsidP="00EA5707">
            <w:pPr>
              <w:rPr>
                <w:rFonts w:ascii="Arial" w:hAnsi="Arial" w:cs="Arial"/>
                <w:sz w:val="24"/>
                <w:szCs w:val="24"/>
                <w:lang w:val="en-GB"/>
              </w:rPr>
            </w:pPr>
            <w:r w:rsidRPr="0088042E">
              <w:rPr>
                <w:rFonts w:ascii="Arial" w:hAnsi="Arial" w:cs="Arial"/>
                <w:sz w:val="24"/>
                <w:szCs w:val="24"/>
                <w:lang w:val="en-GB"/>
              </w:rPr>
              <w:t>1</w:t>
            </w:r>
            <w:r w:rsidR="00CD2322">
              <w:rPr>
                <w:rFonts w:ascii="Arial" w:hAnsi="Arial" w:cs="Arial"/>
                <w:sz w:val="24"/>
                <w:szCs w:val="24"/>
                <w:lang w:val="en-GB"/>
              </w:rPr>
              <w:t>6</w:t>
            </w:r>
            <w:r w:rsidR="00CD2322" w:rsidRPr="00FD5000">
              <w:rPr>
                <w:rFonts w:ascii="Arial" w:hAnsi="Arial" w:cs="Arial"/>
                <w:sz w:val="24"/>
                <w:szCs w:val="24"/>
                <w:vertAlign w:val="superscript"/>
                <w:lang w:val="en-GB"/>
              </w:rPr>
              <w:t>th</w:t>
            </w:r>
            <w:r w:rsidR="00FD5000">
              <w:rPr>
                <w:rFonts w:ascii="Arial" w:hAnsi="Arial" w:cs="Arial"/>
                <w:sz w:val="24"/>
                <w:szCs w:val="24"/>
                <w:lang w:val="en-GB"/>
              </w:rPr>
              <w:t xml:space="preserve"> May</w:t>
            </w:r>
            <w:r w:rsidRPr="0088042E">
              <w:rPr>
                <w:rFonts w:ascii="Arial" w:hAnsi="Arial" w:cs="Arial"/>
                <w:sz w:val="24"/>
                <w:szCs w:val="24"/>
                <w:lang w:val="en-GB"/>
              </w:rPr>
              <w:t>,</w:t>
            </w:r>
            <w:r w:rsidR="00FD5000">
              <w:rPr>
                <w:rFonts w:ascii="Arial" w:hAnsi="Arial" w:cs="Arial"/>
                <w:sz w:val="24"/>
                <w:szCs w:val="24"/>
                <w:lang w:val="en-GB"/>
              </w:rPr>
              <w:t xml:space="preserve"> </w:t>
            </w:r>
            <w:r w:rsidRPr="0088042E">
              <w:rPr>
                <w:rFonts w:ascii="Arial" w:hAnsi="Arial" w:cs="Arial"/>
                <w:sz w:val="24"/>
                <w:szCs w:val="24"/>
                <w:lang w:val="en-GB"/>
              </w:rPr>
              <w:t>201</w:t>
            </w:r>
            <w:r w:rsidR="00FD5000">
              <w:rPr>
                <w:rFonts w:ascii="Arial" w:hAnsi="Arial" w:cs="Arial"/>
                <w:sz w:val="24"/>
                <w:szCs w:val="24"/>
                <w:lang w:val="en-GB"/>
              </w:rPr>
              <w:t>9</w:t>
            </w:r>
          </w:p>
        </w:tc>
      </w:tr>
      <w:tr w:rsidR="0088042E" w:rsidRPr="0088042E" w14:paraId="1D1BDB24" w14:textId="77777777" w:rsidTr="0088042E">
        <w:trPr>
          <w:trHeight w:val="70"/>
        </w:trPr>
        <w:tc>
          <w:tcPr>
            <w:tcW w:w="4536" w:type="dxa"/>
            <w:vAlign w:val="center"/>
          </w:tcPr>
          <w:p w14:paraId="5FED7F95" w14:textId="4BF53C8F"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Grant End date:</w:t>
            </w:r>
          </w:p>
        </w:tc>
        <w:tc>
          <w:tcPr>
            <w:tcW w:w="4536" w:type="dxa"/>
            <w:vAlign w:val="center"/>
          </w:tcPr>
          <w:p w14:paraId="35446D24" w14:textId="6279D195"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1</w:t>
            </w:r>
            <w:r w:rsidR="00FD5000">
              <w:rPr>
                <w:rFonts w:ascii="Arial" w:hAnsi="Arial" w:cs="Arial"/>
                <w:color w:val="000000"/>
                <w:sz w:val="24"/>
                <w:szCs w:val="24"/>
                <w:lang w:val="en-GB"/>
              </w:rPr>
              <w:t>5</w:t>
            </w:r>
            <w:r w:rsidR="00FD5000" w:rsidRPr="00FD5000">
              <w:rPr>
                <w:rFonts w:ascii="Arial" w:hAnsi="Arial" w:cs="Arial"/>
                <w:color w:val="000000"/>
                <w:sz w:val="24"/>
                <w:szCs w:val="24"/>
                <w:vertAlign w:val="superscript"/>
                <w:lang w:val="en-GB"/>
              </w:rPr>
              <w:t>th</w:t>
            </w:r>
            <w:r w:rsidR="00FD5000">
              <w:rPr>
                <w:rFonts w:ascii="Arial" w:hAnsi="Arial" w:cs="Arial"/>
                <w:color w:val="000000"/>
                <w:sz w:val="24"/>
                <w:szCs w:val="24"/>
                <w:lang w:val="en-GB"/>
              </w:rPr>
              <w:t xml:space="preserve"> May</w:t>
            </w:r>
            <w:r w:rsidRPr="0088042E">
              <w:rPr>
                <w:rFonts w:ascii="Arial" w:hAnsi="Arial" w:cs="Arial"/>
                <w:color w:val="000000"/>
                <w:sz w:val="24"/>
                <w:szCs w:val="24"/>
                <w:lang w:val="en-GB"/>
              </w:rPr>
              <w:t>,20</w:t>
            </w:r>
            <w:r w:rsidR="00FD0119">
              <w:rPr>
                <w:rFonts w:ascii="Arial" w:hAnsi="Arial" w:cs="Arial"/>
                <w:color w:val="000000"/>
                <w:sz w:val="24"/>
                <w:szCs w:val="24"/>
                <w:lang w:val="en-GB"/>
              </w:rPr>
              <w:t>21</w:t>
            </w:r>
          </w:p>
        </w:tc>
      </w:tr>
      <w:tr w:rsidR="0088042E" w:rsidRPr="0088042E" w14:paraId="0C48C495" w14:textId="77777777" w:rsidTr="0088042E">
        <w:trPr>
          <w:trHeight w:val="70"/>
        </w:trPr>
        <w:tc>
          <w:tcPr>
            <w:tcW w:w="4536" w:type="dxa"/>
            <w:vAlign w:val="center"/>
          </w:tcPr>
          <w:p w14:paraId="589D8A69" w14:textId="1A210627"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Grant Amount:</w:t>
            </w:r>
          </w:p>
        </w:tc>
        <w:tc>
          <w:tcPr>
            <w:tcW w:w="4536" w:type="dxa"/>
            <w:vAlign w:val="center"/>
          </w:tcPr>
          <w:p w14:paraId="2ED3BEBA" w14:textId="0B415062" w:rsidR="0088042E" w:rsidRPr="0088042E" w:rsidRDefault="0088042E" w:rsidP="00EA5707">
            <w:pPr>
              <w:rPr>
                <w:rFonts w:ascii="Arial" w:hAnsi="Arial" w:cs="Arial"/>
                <w:sz w:val="24"/>
                <w:szCs w:val="24"/>
                <w:lang w:val="en-GB"/>
              </w:rPr>
            </w:pPr>
            <w:r w:rsidRPr="0088042E">
              <w:rPr>
                <w:rFonts w:ascii="Arial" w:hAnsi="Arial" w:cs="Arial"/>
                <w:color w:val="000000"/>
                <w:sz w:val="24"/>
                <w:szCs w:val="24"/>
                <w:lang w:val="en-GB"/>
              </w:rPr>
              <w:t>USD</w:t>
            </w:r>
            <w:r w:rsidR="000E6B21">
              <w:rPr>
                <w:rFonts w:ascii="Arial" w:hAnsi="Arial" w:cs="Arial"/>
                <w:color w:val="000000"/>
                <w:sz w:val="24"/>
                <w:szCs w:val="24"/>
                <w:lang w:val="en-GB"/>
              </w:rPr>
              <w:t xml:space="preserve"> </w:t>
            </w:r>
            <w:r w:rsidR="004F4BAC">
              <w:rPr>
                <w:rFonts w:ascii="Arial" w:hAnsi="Arial" w:cs="Arial"/>
                <w:color w:val="000000"/>
                <w:sz w:val="24"/>
                <w:szCs w:val="24"/>
                <w:lang w:val="en-GB"/>
              </w:rPr>
              <w:t>2,549,827</w:t>
            </w:r>
            <w:r w:rsidR="000C423F">
              <w:rPr>
                <w:rFonts w:ascii="Arial" w:hAnsi="Arial" w:cs="Arial"/>
                <w:color w:val="000000"/>
                <w:sz w:val="24"/>
                <w:szCs w:val="24"/>
                <w:lang w:val="en-GB"/>
              </w:rPr>
              <w:t>(</w:t>
            </w:r>
            <w:r w:rsidRPr="0088042E">
              <w:rPr>
                <w:rFonts w:ascii="Arial" w:hAnsi="Arial" w:cs="Arial"/>
                <w:color w:val="000000"/>
                <w:sz w:val="24"/>
                <w:szCs w:val="24"/>
                <w:lang w:val="en-GB"/>
              </w:rPr>
              <w:t xml:space="preserve">Euro </w:t>
            </w:r>
            <w:r w:rsidR="00D87E01">
              <w:rPr>
                <w:rFonts w:ascii="Arial" w:hAnsi="Arial" w:cs="Arial"/>
                <w:color w:val="000000"/>
                <w:sz w:val="24"/>
                <w:szCs w:val="24"/>
                <w:lang w:val="en-GB"/>
              </w:rPr>
              <w:t>2,318,024</w:t>
            </w:r>
            <w:r w:rsidRPr="0088042E">
              <w:rPr>
                <w:rFonts w:ascii="Arial" w:hAnsi="Arial" w:cs="Arial"/>
                <w:color w:val="000000"/>
                <w:sz w:val="24"/>
                <w:szCs w:val="24"/>
                <w:lang w:val="en-GB"/>
              </w:rPr>
              <w:t>)</w:t>
            </w:r>
          </w:p>
        </w:tc>
      </w:tr>
      <w:tr w:rsidR="0088042E" w:rsidRPr="0088042E" w14:paraId="61C3A07E" w14:textId="77777777" w:rsidTr="0088042E">
        <w:trPr>
          <w:trHeight w:val="70"/>
        </w:trPr>
        <w:tc>
          <w:tcPr>
            <w:tcW w:w="4536" w:type="dxa"/>
            <w:vAlign w:val="center"/>
          </w:tcPr>
          <w:p w14:paraId="0E3D1E96" w14:textId="7FF5D597"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Disbursed before current year:</w:t>
            </w:r>
            <w:r w:rsidRPr="0088042E">
              <w:rPr>
                <w:rFonts w:ascii="Arial" w:hAnsi="Arial" w:cs="Arial"/>
                <w:color w:val="000000"/>
                <w:sz w:val="24"/>
                <w:szCs w:val="24"/>
                <w:lang w:val="en-GB"/>
              </w:rPr>
              <w:t xml:space="preserve"> (</w:t>
            </w:r>
            <w:r w:rsidRPr="005A7014">
              <w:rPr>
                <w:rFonts w:ascii="Arial" w:hAnsi="Arial" w:cs="Arial"/>
                <w:b/>
                <w:color w:val="000000"/>
                <w:sz w:val="24"/>
                <w:szCs w:val="24"/>
                <w:lang w:val="en-GB"/>
              </w:rPr>
              <w:t>2019</w:t>
            </w:r>
            <w:r w:rsidRPr="0088042E">
              <w:rPr>
                <w:rFonts w:ascii="Arial" w:hAnsi="Arial" w:cs="Arial"/>
                <w:color w:val="000000"/>
                <w:sz w:val="24"/>
                <w:szCs w:val="24"/>
                <w:lang w:val="en-GB"/>
              </w:rPr>
              <w:t>)</w:t>
            </w:r>
          </w:p>
        </w:tc>
        <w:tc>
          <w:tcPr>
            <w:tcW w:w="4536" w:type="dxa"/>
            <w:vAlign w:val="center"/>
          </w:tcPr>
          <w:p w14:paraId="59CB27D3" w14:textId="4C1149B4" w:rsidR="0088042E" w:rsidRPr="0088042E" w:rsidRDefault="00F10FBA" w:rsidP="00EA5707">
            <w:pPr>
              <w:rPr>
                <w:rFonts w:ascii="Arial" w:hAnsi="Arial" w:cs="Arial"/>
                <w:sz w:val="24"/>
                <w:szCs w:val="24"/>
                <w:lang w:val="en-GB"/>
              </w:rPr>
            </w:pPr>
            <w:r>
              <w:rPr>
                <w:rFonts w:ascii="Arial" w:hAnsi="Arial" w:cs="Arial"/>
                <w:sz w:val="24"/>
                <w:szCs w:val="24"/>
                <w:lang w:val="en-GB"/>
              </w:rPr>
              <w:t>-</w:t>
            </w:r>
          </w:p>
        </w:tc>
      </w:tr>
      <w:tr w:rsidR="0088042E" w:rsidRPr="0088042E" w14:paraId="70FD73D1" w14:textId="77777777" w:rsidTr="0088042E">
        <w:trPr>
          <w:trHeight w:val="70"/>
        </w:trPr>
        <w:tc>
          <w:tcPr>
            <w:tcW w:w="4536" w:type="dxa"/>
            <w:vAlign w:val="center"/>
          </w:tcPr>
          <w:p w14:paraId="59346465" w14:textId="150FF061" w:rsidR="0088042E" w:rsidRPr="0088042E" w:rsidRDefault="0088042E" w:rsidP="00EA5707">
            <w:pPr>
              <w:rPr>
                <w:rFonts w:ascii="Arial" w:hAnsi="Arial" w:cs="Arial"/>
                <w:sz w:val="24"/>
                <w:szCs w:val="24"/>
                <w:lang w:val="en-GB"/>
              </w:rPr>
            </w:pPr>
            <w:r w:rsidRPr="0088042E">
              <w:rPr>
                <w:rFonts w:ascii="Arial" w:hAnsi="Arial" w:cs="Arial"/>
                <w:b/>
                <w:bCs/>
                <w:color w:val="000000"/>
                <w:sz w:val="24"/>
                <w:szCs w:val="24"/>
                <w:lang w:val="en-GB"/>
              </w:rPr>
              <w:t>Balance:</w:t>
            </w:r>
          </w:p>
        </w:tc>
        <w:tc>
          <w:tcPr>
            <w:tcW w:w="4536" w:type="dxa"/>
            <w:vAlign w:val="center"/>
          </w:tcPr>
          <w:p w14:paraId="49FC595F" w14:textId="5400907F" w:rsidR="0088042E" w:rsidRPr="0088042E" w:rsidRDefault="00F10FBA" w:rsidP="00EA5707">
            <w:pPr>
              <w:rPr>
                <w:rFonts w:ascii="Arial" w:hAnsi="Arial" w:cs="Arial"/>
                <w:sz w:val="24"/>
                <w:szCs w:val="24"/>
                <w:lang w:val="en-GB"/>
              </w:rPr>
            </w:pPr>
            <w:r>
              <w:rPr>
                <w:rFonts w:ascii="Arial" w:hAnsi="Arial" w:cs="Arial"/>
                <w:sz w:val="24"/>
                <w:szCs w:val="24"/>
                <w:lang w:val="en-GB"/>
              </w:rPr>
              <w:t>-</w:t>
            </w:r>
          </w:p>
        </w:tc>
      </w:tr>
      <w:tr w:rsidR="00F10FBA" w:rsidRPr="0088042E" w14:paraId="542C5901" w14:textId="77777777" w:rsidTr="0088042E">
        <w:trPr>
          <w:trHeight w:val="70"/>
        </w:trPr>
        <w:tc>
          <w:tcPr>
            <w:tcW w:w="4536" w:type="dxa"/>
            <w:vAlign w:val="center"/>
          </w:tcPr>
          <w:p w14:paraId="5C6A47F4" w14:textId="1F8569B8" w:rsidR="00F10FBA" w:rsidRPr="0088042E" w:rsidRDefault="00F10FBA" w:rsidP="00F10FBA">
            <w:pPr>
              <w:rPr>
                <w:rFonts w:ascii="Arial" w:hAnsi="Arial" w:cs="Arial"/>
                <w:sz w:val="24"/>
                <w:szCs w:val="24"/>
                <w:lang w:val="en-GB"/>
              </w:rPr>
            </w:pPr>
            <w:r w:rsidRPr="0088042E">
              <w:rPr>
                <w:rFonts w:ascii="Arial" w:hAnsi="Arial" w:cs="Arial"/>
                <w:b/>
                <w:bCs/>
                <w:color w:val="000000"/>
                <w:sz w:val="24"/>
                <w:szCs w:val="24"/>
                <w:lang w:val="en-GB"/>
              </w:rPr>
              <w:t>Disbursed in 2019</w:t>
            </w:r>
            <w:r w:rsidRPr="0088042E">
              <w:rPr>
                <w:rFonts w:ascii="Arial" w:hAnsi="Arial" w:cs="Arial"/>
                <w:color w:val="000000"/>
                <w:sz w:val="24"/>
                <w:szCs w:val="24"/>
                <w:lang w:val="en-GB"/>
              </w:rPr>
              <w:t xml:space="preserve">: </w:t>
            </w:r>
          </w:p>
        </w:tc>
        <w:tc>
          <w:tcPr>
            <w:tcW w:w="4536" w:type="dxa"/>
            <w:vAlign w:val="center"/>
          </w:tcPr>
          <w:p w14:paraId="74574CDB" w14:textId="52A92993" w:rsidR="00F10FBA" w:rsidRPr="0088042E" w:rsidRDefault="00F10FBA" w:rsidP="00F10FBA">
            <w:pPr>
              <w:rPr>
                <w:rFonts w:ascii="Arial" w:hAnsi="Arial" w:cs="Arial"/>
                <w:sz w:val="24"/>
                <w:szCs w:val="24"/>
                <w:lang w:val="en-GB"/>
              </w:rPr>
            </w:pPr>
            <w:r w:rsidRPr="0088042E">
              <w:rPr>
                <w:rFonts w:ascii="Arial" w:hAnsi="Arial" w:cs="Arial"/>
                <w:color w:val="000000"/>
                <w:sz w:val="24"/>
                <w:szCs w:val="24"/>
                <w:lang w:val="en-GB"/>
              </w:rPr>
              <w:t>USD</w:t>
            </w:r>
            <w:r>
              <w:rPr>
                <w:rFonts w:ascii="Arial" w:hAnsi="Arial" w:cs="Arial"/>
                <w:color w:val="000000"/>
                <w:sz w:val="24"/>
                <w:szCs w:val="24"/>
                <w:lang w:val="en-GB"/>
              </w:rPr>
              <w:t>1,243,908</w:t>
            </w:r>
            <w:r w:rsidRPr="0088042E">
              <w:rPr>
                <w:rFonts w:ascii="Arial" w:hAnsi="Arial" w:cs="Arial"/>
                <w:color w:val="000000"/>
                <w:sz w:val="24"/>
                <w:szCs w:val="24"/>
                <w:lang w:val="en-GB"/>
              </w:rPr>
              <w:t xml:space="preserve"> </w:t>
            </w:r>
            <w:r>
              <w:rPr>
                <w:rFonts w:ascii="Arial" w:hAnsi="Arial" w:cs="Arial"/>
                <w:color w:val="000000"/>
                <w:sz w:val="24"/>
                <w:szCs w:val="24"/>
                <w:lang w:val="en-GB"/>
              </w:rPr>
              <w:t>(</w:t>
            </w:r>
            <w:r w:rsidRPr="0088042E">
              <w:rPr>
                <w:rFonts w:ascii="Arial" w:hAnsi="Arial" w:cs="Arial"/>
                <w:color w:val="000000"/>
                <w:sz w:val="24"/>
                <w:szCs w:val="24"/>
                <w:lang w:val="en-GB"/>
              </w:rPr>
              <w:t xml:space="preserve">Euro </w:t>
            </w:r>
            <w:r>
              <w:rPr>
                <w:rFonts w:ascii="Arial" w:hAnsi="Arial" w:cs="Arial"/>
                <w:color w:val="000000"/>
                <w:sz w:val="24"/>
                <w:szCs w:val="24"/>
                <w:lang w:val="en-GB"/>
              </w:rPr>
              <w:t>1,130,845)</w:t>
            </w:r>
          </w:p>
        </w:tc>
      </w:tr>
      <w:tr w:rsidR="00F10FBA" w:rsidRPr="0088042E" w14:paraId="522A9FE2" w14:textId="77777777" w:rsidTr="0088042E">
        <w:trPr>
          <w:trHeight w:val="70"/>
        </w:trPr>
        <w:tc>
          <w:tcPr>
            <w:tcW w:w="4536" w:type="dxa"/>
            <w:vAlign w:val="center"/>
          </w:tcPr>
          <w:p w14:paraId="3F3E1030" w14:textId="5C357F53" w:rsidR="00F10FBA" w:rsidRPr="0088042E" w:rsidRDefault="00F10FBA" w:rsidP="00F10FBA">
            <w:pPr>
              <w:rPr>
                <w:rFonts w:ascii="Arial" w:hAnsi="Arial" w:cs="Arial"/>
                <w:sz w:val="24"/>
                <w:szCs w:val="24"/>
                <w:lang w:val="en-GB"/>
              </w:rPr>
            </w:pPr>
            <w:r w:rsidRPr="0088042E">
              <w:rPr>
                <w:rFonts w:ascii="Arial" w:hAnsi="Arial" w:cs="Arial"/>
                <w:b/>
                <w:bCs/>
                <w:color w:val="000000"/>
                <w:sz w:val="24"/>
                <w:szCs w:val="24"/>
                <w:lang w:val="en-GB"/>
              </w:rPr>
              <w:t>Balance yet to be disbursed:</w:t>
            </w:r>
          </w:p>
        </w:tc>
        <w:tc>
          <w:tcPr>
            <w:tcW w:w="4536" w:type="dxa"/>
            <w:vAlign w:val="center"/>
          </w:tcPr>
          <w:p w14:paraId="4AFFCB64" w14:textId="53F8C220" w:rsidR="00F10FBA" w:rsidRPr="0088042E" w:rsidRDefault="00F10FBA" w:rsidP="00F10FBA">
            <w:pPr>
              <w:rPr>
                <w:rFonts w:ascii="Arial" w:hAnsi="Arial" w:cs="Arial"/>
                <w:sz w:val="24"/>
                <w:szCs w:val="24"/>
                <w:lang w:val="en-GB"/>
              </w:rPr>
            </w:pPr>
            <w:r w:rsidRPr="0088042E">
              <w:rPr>
                <w:rFonts w:ascii="Arial" w:hAnsi="Arial" w:cs="Arial"/>
                <w:color w:val="000000"/>
                <w:sz w:val="24"/>
                <w:szCs w:val="24"/>
                <w:lang w:val="en-GB"/>
              </w:rPr>
              <w:t>USD</w:t>
            </w:r>
            <w:r>
              <w:rPr>
                <w:rFonts w:ascii="Arial" w:hAnsi="Arial" w:cs="Arial"/>
                <w:color w:val="000000"/>
                <w:sz w:val="24"/>
                <w:szCs w:val="24"/>
                <w:lang w:val="en-GB"/>
              </w:rPr>
              <w:t xml:space="preserve"> 1,305,898</w:t>
            </w:r>
            <w:r>
              <w:rPr>
                <w:color w:val="000000"/>
                <w:lang w:val="en-GB"/>
              </w:rPr>
              <w:t xml:space="preserve"> (</w:t>
            </w:r>
            <w:r w:rsidRPr="0088042E">
              <w:rPr>
                <w:rFonts w:ascii="Arial" w:hAnsi="Arial" w:cs="Arial"/>
                <w:color w:val="000000"/>
                <w:sz w:val="24"/>
                <w:szCs w:val="24"/>
                <w:lang w:val="en-GB"/>
              </w:rPr>
              <w:t xml:space="preserve">Euro </w:t>
            </w:r>
            <w:r>
              <w:rPr>
                <w:rFonts w:ascii="Arial" w:hAnsi="Arial" w:cs="Arial"/>
                <w:color w:val="000000"/>
                <w:sz w:val="24"/>
                <w:szCs w:val="24"/>
                <w:lang w:val="en-GB"/>
              </w:rPr>
              <w:t>1,187,180</w:t>
            </w:r>
            <w:r w:rsidRPr="0088042E">
              <w:rPr>
                <w:rFonts w:ascii="Arial" w:hAnsi="Arial" w:cs="Arial"/>
                <w:color w:val="000000"/>
                <w:sz w:val="24"/>
                <w:szCs w:val="24"/>
                <w:lang w:val="en-GB"/>
              </w:rPr>
              <w:t>)</w:t>
            </w:r>
          </w:p>
        </w:tc>
      </w:tr>
    </w:tbl>
    <w:p w14:paraId="53F367F0" w14:textId="27317155" w:rsidR="00E20F23" w:rsidRDefault="00E20F23">
      <w:pPr>
        <w:rPr>
          <w:rFonts w:ascii="Arial" w:hAnsi="Arial" w:cs="Arial"/>
          <w:sz w:val="24"/>
          <w:szCs w:val="24"/>
        </w:rPr>
      </w:pPr>
    </w:p>
    <w:p w14:paraId="2ED59209" w14:textId="3BB087D8" w:rsidR="0088042E" w:rsidRPr="007E506E" w:rsidRDefault="0088042E" w:rsidP="00B1253E">
      <w:pPr>
        <w:pStyle w:val="ListParagraph"/>
        <w:numPr>
          <w:ilvl w:val="0"/>
          <w:numId w:val="3"/>
        </w:numPr>
        <w:jc w:val="both"/>
        <w:rPr>
          <w:rFonts w:ascii="Arial" w:hAnsi="Arial" w:cs="Arial"/>
          <w:b/>
          <w:bCs/>
          <w:sz w:val="24"/>
          <w:szCs w:val="24"/>
          <w:lang w:val="en-GB"/>
        </w:rPr>
      </w:pPr>
      <w:r w:rsidRPr="007E506E">
        <w:rPr>
          <w:rFonts w:ascii="Arial" w:hAnsi="Arial" w:cs="Arial"/>
          <w:b/>
          <w:bCs/>
          <w:sz w:val="24"/>
          <w:szCs w:val="24"/>
          <w:lang w:val="en-GB"/>
        </w:rPr>
        <w:t>Brief about the programme</w:t>
      </w:r>
    </w:p>
    <w:p w14:paraId="108105A6" w14:textId="2A350E39" w:rsidR="00862AA7" w:rsidRPr="007E506E" w:rsidRDefault="00862AA7" w:rsidP="007E506E">
      <w:pPr>
        <w:shd w:val="clear" w:color="auto" w:fill="FFFFFF"/>
        <w:spacing w:before="267" w:after="267" w:line="240" w:lineRule="auto"/>
        <w:jc w:val="both"/>
        <w:textAlignment w:val="top"/>
        <w:rPr>
          <w:rFonts w:ascii="Arial" w:eastAsia="Calibri" w:hAnsi="Arial" w:cs="Arial"/>
          <w:sz w:val="24"/>
          <w:szCs w:val="24"/>
        </w:rPr>
      </w:pPr>
      <w:r w:rsidRPr="007E506E">
        <w:rPr>
          <w:rFonts w:ascii="Arial" w:eastAsia="Calibri" w:hAnsi="Arial" w:cs="Arial"/>
          <w:sz w:val="24"/>
          <w:szCs w:val="24"/>
        </w:rPr>
        <w:t>The overall objective of the project is to enhance technical capacity of COMESA Secretariat and Member States to mainstream regional obligations through ratification and domestication of COMESA legal instruments and implementation of regional programs at member States level in order to achieve deeper regional integration and increased participation in the global economy.</w:t>
      </w:r>
    </w:p>
    <w:p w14:paraId="40C279E9" w14:textId="32E8F500" w:rsidR="00862AA7" w:rsidRPr="007E506E" w:rsidRDefault="00862AA7" w:rsidP="007E506E">
      <w:pPr>
        <w:pStyle w:val="Heading3"/>
        <w:numPr>
          <w:ilvl w:val="0"/>
          <w:numId w:val="3"/>
        </w:numPr>
        <w:rPr>
          <w:rFonts w:ascii="Arial" w:hAnsi="Arial" w:cs="Arial"/>
          <w:sz w:val="24"/>
          <w:szCs w:val="24"/>
        </w:rPr>
      </w:pPr>
      <w:bookmarkStart w:id="0" w:name="_Toc11856501"/>
      <w:r w:rsidRPr="007E506E">
        <w:rPr>
          <w:rFonts w:ascii="Arial" w:hAnsi="Arial" w:cs="Arial"/>
          <w:sz w:val="24"/>
          <w:szCs w:val="24"/>
        </w:rPr>
        <w:t xml:space="preserve"> Specific objectives</w:t>
      </w:r>
      <w:bookmarkEnd w:id="0"/>
      <w:r w:rsidRPr="007E506E">
        <w:rPr>
          <w:rFonts w:ascii="Arial" w:hAnsi="Arial" w:cs="Arial"/>
          <w:sz w:val="24"/>
          <w:szCs w:val="24"/>
        </w:rPr>
        <w:t xml:space="preserve"> </w:t>
      </w:r>
    </w:p>
    <w:p w14:paraId="7FCBB9DB" w14:textId="77777777" w:rsidR="00862AA7" w:rsidRPr="007E506E" w:rsidRDefault="00862AA7" w:rsidP="00862AA7">
      <w:pPr>
        <w:contextualSpacing/>
        <w:jc w:val="both"/>
        <w:rPr>
          <w:rFonts w:ascii="Arial" w:eastAsia="Calibri" w:hAnsi="Arial" w:cs="Arial"/>
          <w:b/>
          <w:sz w:val="24"/>
          <w:szCs w:val="24"/>
        </w:rPr>
      </w:pPr>
    </w:p>
    <w:p w14:paraId="45A5FB12" w14:textId="77777777" w:rsidR="00862AA7" w:rsidRPr="007E506E" w:rsidRDefault="00862AA7" w:rsidP="007E506E">
      <w:pPr>
        <w:shd w:val="clear" w:color="auto" w:fill="FFFFFF"/>
        <w:spacing w:before="267" w:after="267" w:line="240" w:lineRule="auto"/>
        <w:jc w:val="both"/>
        <w:textAlignment w:val="top"/>
        <w:rPr>
          <w:rFonts w:ascii="Arial" w:eastAsia="Calibri" w:hAnsi="Arial" w:cs="Arial"/>
          <w:b/>
          <w:sz w:val="24"/>
          <w:szCs w:val="24"/>
        </w:rPr>
      </w:pPr>
      <w:r w:rsidRPr="007E506E">
        <w:rPr>
          <w:rFonts w:ascii="Arial" w:eastAsia="Calibri" w:hAnsi="Arial" w:cs="Arial"/>
          <w:sz w:val="24"/>
          <w:szCs w:val="24"/>
        </w:rPr>
        <w:t>The specific objectives are</w:t>
      </w:r>
      <w:r w:rsidRPr="007E506E">
        <w:rPr>
          <w:rFonts w:ascii="Arial" w:eastAsia="Calibri" w:hAnsi="Arial" w:cs="Arial"/>
          <w:b/>
          <w:sz w:val="24"/>
          <w:szCs w:val="24"/>
        </w:rPr>
        <w:t>:</w:t>
      </w:r>
    </w:p>
    <w:p w14:paraId="0B9DCCC4" w14:textId="77777777" w:rsidR="00862AA7" w:rsidRPr="007E506E" w:rsidRDefault="00862AA7" w:rsidP="00862AA7">
      <w:pPr>
        <w:numPr>
          <w:ilvl w:val="0"/>
          <w:numId w:val="20"/>
        </w:numPr>
        <w:overflowPunct w:val="0"/>
        <w:autoSpaceDE w:val="0"/>
        <w:autoSpaceDN w:val="0"/>
        <w:adjustRightInd w:val="0"/>
        <w:spacing w:after="0" w:line="240" w:lineRule="auto"/>
        <w:contextualSpacing/>
        <w:jc w:val="both"/>
        <w:textAlignment w:val="baseline"/>
        <w:rPr>
          <w:rFonts w:ascii="Arial" w:eastAsia="Calibri" w:hAnsi="Arial" w:cs="Arial"/>
          <w:sz w:val="24"/>
          <w:szCs w:val="24"/>
        </w:rPr>
      </w:pPr>
      <w:r w:rsidRPr="007E506E">
        <w:rPr>
          <w:rFonts w:ascii="Arial" w:eastAsia="Calibri" w:hAnsi="Arial" w:cs="Arial"/>
          <w:sz w:val="24"/>
          <w:szCs w:val="24"/>
        </w:rPr>
        <w:t xml:space="preserve">To enhance capacity for trade policy research and training: This will include conducting trade policy analysis, research and training in trade negotiations in order to address trade issues and support formulation and implementation of suitable trade policies as well as Member States ability to negotiate and implement bilateral and regional trade agreements; and </w:t>
      </w:r>
    </w:p>
    <w:p w14:paraId="3FC52BE8" w14:textId="77777777" w:rsidR="00862AA7" w:rsidRPr="007E506E" w:rsidRDefault="00862AA7" w:rsidP="00862AA7">
      <w:pPr>
        <w:numPr>
          <w:ilvl w:val="0"/>
          <w:numId w:val="20"/>
        </w:numPr>
        <w:spacing w:after="0" w:line="240" w:lineRule="auto"/>
        <w:contextualSpacing/>
        <w:jc w:val="both"/>
        <w:rPr>
          <w:rFonts w:ascii="Arial" w:eastAsia="Calibri" w:hAnsi="Arial" w:cs="Arial"/>
          <w:sz w:val="24"/>
          <w:szCs w:val="24"/>
        </w:rPr>
      </w:pPr>
      <w:r w:rsidRPr="007E506E">
        <w:rPr>
          <w:rFonts w:ascii="Arial" w:eastAsia="Calibri" w:hAnsi="Arial" w:cs="Arial"/>
          <w:sz w:val="24"/>
          <w:szCs w:val="24"/>
        </w:rPr>
        <w:t xml:space="preserve">Build practical skills and knowledge to support regional integration: This will provide sound conceptual and practical training in regional integration through operationalization of the COMESA virtual university of regional integration to equip the Member States with technical capacity, skills and knowledge in implementation of regional integration programs and the Secretariat in monitoring implementation of COMESA Treaty, protocols, regulations, directives and decisions of the policy organs. </w:t>
      </w:r>
    </w:p>
    <w:p w14:paraId="0A323FAC" w14:textId="77777777" w:rsidR="00862AA7" w:rsidRPr="007E506E" w:rsidRDefault="00862AA7" w:rsidP="00862AA7">
      <w:pPr>
        <w:autoSpaceDE w:val="0"/>
        <w:autoSpaceDN w:val="0"/>
        <w:adjustRightInd w:val="0"/>
        <w:jc w:val="both"/>
        <w:rPr>
          <w:rFonts w:ascii="Arial" w:eastAsia="Calibri" w:hAnsi="Arial" w:cs="Arial"/>
          <w:b/>
          <w:sz w:val="24"/>
          <w:szCs w:val="24"/>
        </w:rPr>
      </w:pPr>
    </w:p>
    <w:p w14:paraId="44C15B89" w14:textId="6C73EBDE" w:rsidR="00862AA7" w:rsidRPr="007E506E" w:rsidRDefault="00862AA7" w:rsidP="007E506E">
      <w:pPr>
        <w:pStyle w:val="Heading3"/>
        <w:numPr>
          <w:ilvl w:val="0"/>
          <w:numId w:val="3"/>
        </w:numPr>
        <w:rPr>
          <w:rFonts w:ascii="Arial" w:hAnsi="Arial" w:cs="Arial"/>
          <w:sz w:val="24"/>
          <w:szCs w:val="24"/>
        </w:rPr>
      </w:pPr>
      <w:bookmarkStart w:id="1" w:name="_Toc410304000"/>
      <w:bookmarkStart w:id="2" w:name="_Toc11856502"/>
      <w:r w:rsidRPr="007E506E">
        <w:rPr>
          <w:rFonts w:ascii="Arial" w:hAnsi="Arial" w:cs="Arial"/>
          <w:sz w:val="24"/>
          <w:szCs w:val="24"/>
        </w:rPr>
        <w:t>Project Activities</w:t>
      </w:r>
      <w:bookmarkEnd w:id="1"/>
      <w:bookmarkEnd w:id="2"/>
    </w:p>
    <w:p w14:paraId="48E17D7F" w14:textId="77777777" w:rsidR="00862AA7" w:rsidRPr="007E506E" w:rsidRDefault="00862AA7" w:rsidP="007E506E">
      <w:pPr>
        <w:shd w:val="clear" w:color="auto" w:fill="FFFFFF"/>
        <w:spacing w:before="267" w:after="267" w:line="240" w:lineRule="auto"/>
        <w:jc w:val="both"/>
        <w:textAlignment w:val="top"/>
        <w:rPr>
          <w:rFonts w:ascii="Arial" w:eastAsia="Calibri" w:hAnsi="Arial" w:cs="Arial"/>
          <w:sz w:val="24"/>
          <w:szCs w:val="24"/>
        </w:rPr>
      </w:pPr>
      <w:r w:rsidRPr="007E506E">
        <w:rPr>
          <w:rFonts w:ascii="Arial" w:eastAsia="Calibri" w:hAnsi="Arial" w:cs="Arial"/>
          <w:sz w:val="24"/>
          <w:szCs w:val="24"/>
        </w:rPr>
        <w:t>The following eight activities will be undertaken within the project period</w:t>
      </w:r>
    </w:p>
    <w:p w14:paraId="0D984C1A" w14:textId="77777777" w:rsidR="00862AA7" w:rsidRPr="007E506E" w:rsidRDefault="00862AA7" w:rsidP="00862AA7">
      <w:pPr>
        <w:pStyle w:val="ListParagraph"/>
        <w:numPr>
          <w:ilvl w:val="0"/>
          <w:numId w:val="22"/>
        </w:numPr>
        <w:overflowPunct w:val="0"/>
        <w:autoSpaceDE w:val="0"/>
        <w:autoSpaceDN w:val="0"/>
        <w:adjustRightInd w:val="0"/>
        <w:spacing w:after="0" w:line="240" w:lineRule="auto"/>
        <w:jc w:val="both"/>
        <w:textAlignment w:val="baseline"/>
        <w:rPr>
          <w:rFonts w:ascii="Arial" w:eastAsia="Calibri" w:hAnsi="Arial" w:cs="Arial"/>
          <w:sz w:val="24"/>
          <w:szCs w:val="24"/>
        </w:rPr>
      </w:pPr>
      <w:r w:rsidRPr="007E506E">
        <w:rPr>
          <w:rFonts w:ascii="Arial" w:eastAsia="Calibri" w:hAnsi="Arial" w:cs="Arial"/>
          <w:b/>
          <w:sz w:val="24"/>
          <w:szCs w:val="24"/>
        </w:rPr>
        <w:t>Trade policy analysis, research, training and trade negotiations</w:t>
      </w:r>
      <w:r w:rsidRPr="007E506E">
        <w:rPr>
          <w:rFonts w:ascii="Arial" w:eastAsia="Calibri" w:hAnsi="Arial" w:cs="Arial"/>
          <w:sz w:val="24"/>
          <w:szCs w:val="24"/>
        </w:rPr>
        <w:t xml:space="preserve">. This activity will involve training of government officials and representatives of the 21 COMESA Member States and Secretariat Staff on: </w:t>
      </w:r>
    </w:p>
    <w:p w14:paraId="26AC488E" w14:textId="77777777" w:rsidR="00862AA7" w:rsidRPr="007E506E" w:rsidRDefault="00862AA7" w:rsidP="00862AA7">
      <w:pPr>
        <w:numPr>
          <w:ilvl w:val="0"/>
          <w:numId w:val="21"/>
        </w:numPr>
        <w:overflowPunct w:val="0"/>
        <w:autoSpaceDE w:val="0"/>
        <w:autoSpaceDN w:val="0"/>
        <w:adjustRightInd w:val="0"/>
        <w:spacing w:after="0" w:line="240" w:lineRule="auto"/>
        <w:jc w:val="both"/>
        <w:textAlignment w:val="baseline"/>
        <w:rPr>
          <w:rFonts w:ascii="Arial" w:eastAsia="Calibri" w:hAnsi="Arial" w:cs="Arial"/>
          <w:sz w:val="24"/>
          <w:szCs w:val="24"/>
        </w:rPr>
      </w:pPr>
      <w:r w:rsidRPr="007E506E">
        <w:rPr>
          <w:rFonts w:ascii="Arial" w:eastAsia="Calibri" w:hAnsi="Arial" w:cs="Arial"/>
          <w:sz w:val="24"/>
          <w:szCs w:val="24"/>
        </w:rPr>
        <w:t xml:space="preserve">trade policy analysis and research; </w:t>
      </w:r>
    </w:p>
    <w:p w14:paraId="3A683186" w14:textId="77777777" w:rsidR="00862AA7" w:rsidRPr="007E506E" w:rsidRDefault="00862AA7" w:rsidP="00862AA7">
      <w:pPr>
        <w:numPr>
          <w:ilvl w:val="0"/>
          <w:numId w:val="21"/>
        </w:numPr>
        <w:overflowPunct w:val="0"/>
        <w:autoSpaceDE w:val="0"/>
        <w:autoSpaceDN w:val="0"/>
        <w:adjustRightInd w:val="0"/>
        <w:spacing w:after="0" w:line="240" w:lineRule="auto"/>
        <w:jc w:val="both"/>
        <w:textAlignment w:val="baseline"/>
        <w:rPr>
          <w:rFonts w:ascii="Arial" w:eastAsia="Calibri" w:hAnsi="Arial" w:cs="Arial"/>
          <w:sz w:val="24"/>
          <w:szCs w:val="24"/>
        </w:rPr>
      </w:pPr>
      <w:r w:rsidRPr="007E506E">
        <w:rPr>
          <w:rFonts w:ascii="Arial" w:eastAsia="Calibri" w:hAnsi="Arial" w:cs="Arial"/>
          <w:sz w:val="24"/>
          <w:szCs w:val="24"/>
        </w:rPr>
        <w:lastRenderedPageBreak/>
        <w:t xml:space="preserve">quantitative analytical tools for trade analysis and trade negotiations; and </w:t>
      </w:r>
    </w:p>
    <w:p w14:paraId="4A40B586" w14:textId="77777777" w:rsidR="00862AA7" w:rsidRPr="007E506E" w:rsidRDefault="00862AA7" w:rsidP="00862AA7">
      <w:pPr>
        <w:numPr>
          <w:ilvl w:val="0"/>
          <w:numId w:val="21"/>
        </w:numPr>
        <w:overflowPunct w:val="0"/>
        <w:autoSpaceDE w:val="0"/>
        <w:autoSpaceDN w:val="0"/>
        <w:adjustRightInd w:val="0"/>
        <w:spacing w:after="0" w:line="240" w:lineRule="auto"/>
        <w:jc w:val="both"/>
        <w:textAlignment w:val="baseline"/>
        <w:rPr>
          <w:rFonts w:ascii="Arial" w:eastAsia="Calibri" w:hAnsi="Arial" w:cs="Arial"/>
          <w:sz w:val="24"/>
          <w:szCs w:val="24"/>
        </w:rPr>
      </w:pPr>
      <w:r w:rsidRPr="007E506E">
        <w:rPr>
          <w:rFonts w:ascii="Arial" w:eastAsia="Calibri" w:hAnsi="Arial" w:cs="Arial"/>
          <w:sz w:val="24"/>
          <w:szCs w:val="24"/>
        </w:rPr>
        <w:t>inclusive trade policies and negotiating strategies that will contribute to national growth and poverty reduction.</w:t>
      </w:r>
      <w:r w:rsidRPr="007E506E">
        <w:rPr>
          <w:rFonts w:ascii="Arial" w:hAnsi="Arial" w:cs="Arial"/>
          <w:sz w:val="24"/>
          <w:szCs w:val="24"/>
        </w:rPr>
        <w:t xml:space="preserve"> </w:t>
      </w:r>
      <w:r w:rsidRPr="007E506E">
        <w:rPr>
          <w:rFonts w:ascii="Arial" w:eastAsia="Calibri" w:hAnsi="Arial" w:cs="Arial"/>
          <w:sz w:val="24"/>
          <w:szCs w:val="24"/>
        </w:rPr>
        <w:t xml:space="preserve"> </w:t>
      </w:r>
    </w:p>
    <w:p w14:paraId="2F80B956" w14:textId="77777777" w:rsidR="00862AA7" w:rsidRPr="007E506E" w:rsidRDefault="00862AA7" w:rsidP="00862AA7">
      <w:pPr>
        <w:overflowPunct w:val="0"/>
        <w:autoSpaceDE w:val="0"/>
        <w:autoSpaceDN w:val="0"/>
        <w:adjustRightInd w:val="0"/>
        <w:jc w:val="both"/>
        <w:textAlignment w:val="baseline"/>
        <w:rPr>
          <w:rFonts w:ascii="Arial" w:eastAsia="Calibri" w:hAnsi="Arial" w:cs="Arial"/>
          <w:sz w:val="24"/>
          <w:szCs w:val="24"/>
        </w:rPr>
      </w:pPr>
    </w:p>
    <w:p w14:paraId="7852E20B" w14:textId="77777777" w:rsidR="00862AA7" w:rsidRPr="007E506E" w:rsidRDefault="00862AA7" w:rsidP="00862AA7">
      <w:pPr>
        <w:pStyle w:val="ListParagraph"/>
        <w:numPr>
          <w:ilvl w:val="0"/>
          <w:numId w:val="22"/>
        </w:numPr>
        <w:overflowPunct w:val="0"/>
        <w:autoSpaceDE w:val="0"/>
        <w:autoSpaceDN w:val="0"/>
        <w:adjustRightInd w:val="0"/>
        <w:spacing w:after="0" w:line="240" w:lineRule="auto"/>
        <w:jc w:val="both"/>
        <w:textAlignment w:val="baseline"/>
        <w:rPr>
          <w:rFonts w:ascii="Arial" w:eastAsia="Calibri" w:hAnsi="Arial" w:cs="Arial"/>
          <w:sz w:val="24"/>
          <w:szCs w:val="24"/>
        </w:rPr>
      </w:pPr>
      <w:r w:rsidRPr="007E506E">
        <w:rPr>
          <w:rFonts w:ascii="Arial" w:eastAsia="Calibri" w:hAnsi="Arial" w:cs="Arial"/>
          <w:b/>
          <w:sz w:val="24"/>
          <w:szCs w:val="24"/>
        </w:rPr>
        <w:t>Conducting applied policy research in regional integration</w:t>
      </w:r>
      <w:r w:rsidRPr="007E506E">
        <w:rPr>
          <w:rFonts w:ascii="Arial" w:eastAsia="Calibri" w:hAnsi="Arial" w:cs="Arial"/>
          <w:sz w:val="24"/>
          <w:szCs w:val="24"/>
        </w:rPr>
        <w:t>. This activity will involve carrying out eight applied research on regional integration issues to support evidence-based policy making by COMESA policy organs.</w:t>
      </w:r>
      <w:r w:rsidRPr="007E506E">
        <w:rPr>
          <w:rFonts w:ascii="Arial" w:hAnsi="Arial" w:cs="Arial"/>
          <w:sz w:val="24"/>
          <w:szCs w:val="24"/>
        </w:rPr>
        <w:t xml:space="preserve"> </w:t>
      </w:r>
    </w:p>
    <w:p w14:paraId="1EB6BCFB" w14:textId="77777777" w:rsidR="00862AA7" w:rsidRPr="007E506E" w:rsidRDefault="00862AA7" w:rsidP="00862AA7">
      <w:pPr>
        <w:overflowPunct w:val="0"/>
        <w:autoSpaceDE w:val="0"/>
        <w:autoSpaceDN w:val="0"/>
        <w:adjustRightInd w:val="0"/>
        <w:jc w:val="both"/>
        <w:textAlignment w:val="baseline"/>
        <w:rPr>
          <w:rFonts w:ascii="Arial" w:eastAsia="Calibri" w:hAnsi="Arial" w:cs="Arial"/>
          <w:sz w:val="24"/>
          <w:szCs w:val="24"/>
        </w:rPr>
      </w:pPr>
    </w:p>
    <w:p w14:paraId="637C9BC2" w14:textId="77777777" w:rsidR="00862AA7" w:rsidRPr="007E506E" w:rsidRDefault="00862AA7" w:rsidP="00862AA7">
      <w:pPr>
        <w:pStyle w:val="ListParagraph"/>
        <w:numPr>
          <w:ilvl w:val="0"/>
          <w:numId w:val="22"/>
        </w:numPr>
        <w:overflowPunct w:val="0"/>
        <w:autoSpaceDE w:val="0"/>
        <w:autoSpaceDN w:val="0"/>
        <w:adjustRightInd w:val="0"/>
        <w:spacing w:after="0" w:line="240" w:lineRule="auto"/>
        <w:jc w:val="both"/>
        <w:textAlignment w:val="baseline"/>
        <w:rPr>
          <w:rFonts w:ascii="Arial" w:eastAsia="Calibri" w:hAnsi="Arial" w:cs="Arial"/>
          <w:sz w:val="24"/>
          <w:szCs w:val="24"/>
        </w:rPr>
      </w:pPr>
      <w:r w:rsidRPr="007E506E">
        <w:rPr>
          <w:rFonts w:ascii="Arial" w:eastAsia="Calibri" w:hAnsi="Arial" w:cs="Arial"/>
          <w:b/>
          <w:sz w:val="24"/>
          <w:szCs w:val="24"/>
        </w:rPr>
        <w:t>Dissemination of Policy Research Outputs.</w:t>
      </w:r>
      <w:r w:rsidRPr="007E506E">
        <w:rPr>
          <w:rFonts w:ascii="Arial" w:eastAsia="Calibri" w:hAnsi="Arial" w:cs="Arial"/>
          <w:sz w:val="24"/>
          <w:szCs w:val="24"/>
        </w:rPr>
        <w:t xml:space="preserve"> This will involve dissemination of research findings through: </w:t>
      </w:r>
    </w:p>
    <w:p w14:paraId="3E70529E" w14:textId="77777777" w:rsidR="00862AA7" w:rsidRPr="007E506E" w:rsidRDefault="00862AA7" w:rsidP="00862AA7">
      <w:pPr>
        <w:pStyle w:val="ListParagraph"/>
        <w:rPr>
          <w:rFonts w:ascii="Arial" w:eastAsia="Calibri" w:hAnsi="Arial" w:cs="Arial"/>
          <w:sz w:val="24"/>
          <w:szCs w:val="24"/>
        </w:rPr>
      </w:pPr>
    </w:p>
    <w:p w14:paraId="761E5BE0" w14:textId="77777777" w:rsidR="00862AA7" w:rsidRPr="007E506E" w:rsidRDefault="00862AA7" w:rsidP="00862AA7">
      <w:pPr>
        <w:pStyle w:val="ListParagraph"/>
        <w:numPr>
          <w:ilvl w:val="1"/>
          <w:numId w:val="19"/>
        </w:numPr>
        <w:overflowPunct w:val="0"/>
        <w:autoSpaceDE w:val="0"/>
        <w:autoSpaceDN w:val="0"/>
        <w:adjustRightInd w:val="0"/>
        <w:spacing w:after="0" w:line="240" w:lineRule="auto"/>
        <w:jc w:val="both"/>
        <w:textAlignment w:val="baseline"/>
        <w:rPr>
          <w:rFonts w:ascii="Arial" w:eastAsia="Calibri" w:hAnsi="Arial" w:cs="Arial"/>
          <w:sz w:val="24"/>
          <w:szCs w:val="24"/>
        </w:rPr>
      </w:pPr>
      <w:r w:rsidRPr="007E506E">
        <w:rPr>
          <w:rFonts w:ascii="Arial" w:eastAsia="Calibri" w:hAnsi="Arial" w:cs="Arial"/>
          <w:sz w:val="24"/>
          <w:szCs w:val="24"/>
        </w:rPr>
        <w:t xml:space="preserve">COMESA annual research forums and </w:t>
      </w:r>
    </w:p>
    <w:p w14:paraId="05B79079" w14:textId="77777777" w:rsidR="00862AA7" w:rsidRPr="007E506E" w:rsidRDefault="00862AA7" w:rsidP="00862AA7">
      <w:pPr>
        <w:pStyle w:val="ListParagraph"/>
        <w:numPr>
          <w:ilvl w:val="1"/>
          <w:numId w:val="19"/>
        </w:numPr>
        <w:overflowPunct w:val="0"/>
        <w:autoSpaceDE w:val="0"/>
        <w:autoSpaceDN w:val="0"/>
        <w:adjustRightInd w:val="0"/>
        <w:spacing w:after="0" w:line="240" w:lineRule="auto"/>
        <w:jc w:val="both"/>
        <w:textAlignment w:val="baseline"/>
        <w:rPr>
          <w:rFonts w:ascii="Arial" w:eastAsia="Calibri" w:hAnsi="Arial" w:cs="Arial"/>
          <w:sz w:val="24"/>
          <w:szCs w:val="24"/>
        </w:rPr>
      </w:pPr>
      <w:r w:rsidRPr="007E506E">
        <w:rPr>
          <w:rFonts w:ascii="Arial" w:eastAsia="Calibri" w:hAnsi="Arial" w:cs="Arial"/>
          <w:sz w:val="24"/>
          <w:szCs w:val="24"/>
        </w:rPr>
        <w:t xml:space="preserve">dissemination workshops. </w:t>
      </w:r>
      <w:r w:rsidRPr="007E506E">
        <w:rPr>
          <w:rFonts w:ascii="Arial" w:hAnsi="Arial" w:cs="Arial"/>
          <w:sz w:val="24"/>
          <w:szCs w:val="24"/>
        </w:rPr>
        <w:t xml:space="preserve">COMESA has established Research Forums that bring together stakeholders from government, academia, think tanks and private sector and provide a platform for reviewing and discussing various research papers, sharing knowledge and deliberating on empirical issues on trade and related matters within the context of regional integration. The policy research has provided evidence-based policy choices which contribute to policy making by COMESA policy organs. The COMESA Council of Ministers decided that the research forums be </w:t>
      </w:r>
      <w:r w:rsidRPr="007E506E">
        <w:rPr>
          <w:rFonts w:ascii="Arial" w:eastAsia="Calibri" w:hAnsi="Arial" w:cs="Arial"/>
          <w:sz w:val="24"/>
          <w:szCs w:val="24"/>
        </w:rPr>
        <w:t>held on annual basis. The target audience will include but is not limited to policy makers in Member States, academia, think tanks, private sector and development partners.</w:t>
      </w:r>
      <w:r w:rsidRPr="007E506E">
        <w:rPr>
          <w:rStyle w:val="CommentReference"/>
          <w:rFonts w:ascii="Arial" w:hAnsi="Arial" w:cs="Arial"/>
          <w:sz w:val="24"/>
          <w:szCs w:val="24"/>
        </w:rPr>
        <w:t xml:space="preserve"> </w:t>
      </w:r>
      <w:r w:rsidRPr="007E506E">
        <w:rPr>
          <w:rFonts w:ascii="Arial" w:eastAsia="Calibri" w:hAnsi="Arial" w:cs="Arial"/>
          <w:sz w:val="24"/>
          <w:szCs w:val="24"/>
        </w:rPr>
        <w:t>The various channels/tools for dissemination will include: technical reports, research papers, policy briefs, forum presentations, COMESA website, publications and press release among others.</w:t>
      </w:r>
      <w:r w:rsidRPr="007E506E">
        <w:rPr>
          <w:rFonts w:ascii="Arial" w:hAnsi="Arial" w:cs="Arial"/>
          <w:sz w:val="24"/>
          <w:szCs w:val="24"/>
        </w:rPr>
        <w:t xml:space="preserve"> </w:t>
      </w:r>
    </w:p>
    <w:p w14:paraId="6E2E1B3D" w14:textId="77777777" w:rsidR="00862AA7" w:rsidRPr="007E506E" w:rsidRDefault="00862AA7" w:rsidP="00862AA7">
      <w:pPr>
        <w:overflowPunct w:val="0"/>
        <w:autoSpaceDE w:val="0"/>
        <w:autoSpaceDN w:val="0"/>
        <w:adjustRightInd w:val="0"/>
        <w:jc w:val="both"/>
        <w:textAlignment w:val="baseline"/>
        <w:rPr>
          <w:rFonts w:ascii="Arial" w:eastAsia="Calibri" w:hAnsi="Arial" w:cs="Arial"/>
          <w:sz w:val="24"/>
          <w:szCs w:val="24"/>
        </w:rPr>
      </w:pPr>
    </w:p>
    <w:p w14:paraId="79D7F695" w14:textId="77777777" w:rsidR="00862AA7" w:rsidRPr="007E506E" w:rsidRDefault="00862AA7" w:rsidP="00862AA7">
      <w:pPr>
        <w:pStyle w:val="CommentText"/>
        <w:numPr>
          <w:ilvl w:val="0"/>
          <w:numId w:val="22"/>
        </w:numPr>
        <w:rPr>
          <w:rFonts w:ascii="Arial" w:hAnsi="Arial" w:cs="Arial"/>
          <w:sz w:val="24"/>
          <w:szCs w:val="24"/>
          <w:lang w:val="en-GB"/>
        </w:rPr>
      </w:pPr>
      <w:r w:rsidRPr="007E506E">
        <w:rPr>
          <w:rFonts w:ascii="Arial" w:eastAsia="Calibri" w:hAnsi="Arial" w:cs="Arial"/>
          <w:b/>
          <w:sz w:val="24"/>
          <w:szCs w:val="24"/>
          <w:lang w:val="en-US"/>
        </w:rPr>
        <w:t>Promoting collaboration with strategic partners in capacity building.</w:t>
      </w:r>
      <w:r w:rsidRPr="007E506E">
        <w:rPr>
          <w:rFonts w:ascii="Arial" w:eastAsia="Calibri" w:hAnsi="Arial" w:cs="Arial"/>
          <w:sz w:val="24"/>
          <w:szCs w:val="24"/>
          <w:lang w:val="en-US"/>
        </w:rPr>
        <w:t xml:space="preserve"> This will involve collaboration with research institutes, policy think tanks and academia in providing capacity building to the COMESA Secretariat and Member States. </w:t>
      </w:r>
      <w:r w:rsidRPr="007E506E">
        <w:rPr>
          <w:rFonts w:ascii="Arial" w:hAnsi="Arial" w:cs="Arial"/>
          <w:sz w:val="24"/>
          <w:szCs w:val="24"/>
          <w:lang w:val="en-GB"/>
        </w:rPr>
        <w:t xml:space="preserve">The strategic partners in capacity building include specialized institutions and organizations in policy research such as Economic Commission for Africa, Institute for African Economic Development (IDEP), University of Sussex, UNCTAD, OECD, University of Purdue among others. </w:t>
      </w:r>
    </w:p>
    <w:p w14:paraId="6D1BA30B" w14:textId="77777777" w:rsidR="00862AA7" w:rsidRPr="007E506E" w:rsidRDefault="00862AA7" w:rsidP="00862AA7">
      <w:pPr>
        <w:overflowPunct w:val="0"/>
        <w:autoSpaceDE w:val="0"/>
        <w:autoSpaceDN w:val="0"/>
        <w:adjustRightInd w:val="0"/>
        <w:jc w:val="both"/>
        <w:textAlignment w:val="baseline"/>
        <w:rPr>
          <w:rFonts w:ascii="Arial" w:eastAsia="Calibri" w:hAnsi="Arial" w:cs="Arial"/>
          <w:sz w:val="24"/>
          <w:szCs w:val="24"/>
        </w:rPr>
      </w:pPr>
    </w:p>
    <w:p w14:paraId="584AD302" w14:textId="77777777" w:rsidR="00862AA7" w:rsidRPr="007E506E" w:rsidRDefault="00862AA7" w:rsidP="00862AA7">
      <w:pPr>
        <w:pStyle w:val="ListParagraph"/>
        <w:numPr>
          <w:ilvl w:val="0"/>
          <w:numId w:val="22"/>
        </w:numPr>
        <w:overflowPunct w:val="0"/>
        <w:autoSpaceDE w:val="0"/>
        <w:autoSpaceDN w:val="0"/>
        <w:adjustRightInd w:val="0"/>
        <w:spacing w:after="0" w:line="240" w:lineRule="auto"/>
        <w:jc w:val="both"/>
        <w:textAlignment w:val="baseline"/>
        <w:rPr>
          <w:rFonts w:ascii="Arial" w:eastAsia="Calibri" w:hAnsi="Arial" w:cs="Arial"/>
          <w:sz w:val="24"/>
          <w:szCs w:val="24"/>
        </w:rPr>
      </w:pPr>
      <w:r w:rsidRPr="007E506E">
        <w:rPr>
          <w:rFonts w:ascii="Arial" w:eastAsia="Calibri" w:hAnsi="Arial" w:cs="Arial"/>
          <w:b/>
          <w:sz w:val="24"/>
          <w:szCs w:val="24"/>
        </w:rPr>
        <w:t>Provision of scholarships to students</w:t>
      </w:r>
      <w:r w:rsidRPr="007E506E">
        <w:rPr>
          <w:rFonts w:ascii="Arial" w:eastAsia="Calibri" w:hAnsi="Arial" w:cs="Arial"/>
          <w:sz w:val="24"/>
          <w:szCs w:val="24"/>
        </w:rPr>
        <w:t xml:space="preserve">. This will involve: resource mobilization from corporates, development partners, governments, foundations and trusts among others and putting together the amounts in a form of scholarship fund. </w:t>
      </w:r>
      <w:r w:rsidRPr="007E506E">
        <w:rPr>
          <w:rFonts w:ascii="Arial" w:hAnsi="Arial" w:cs="Arial"/>
          <w:sz w:val="24"/>
          <w:szCs w:val="24"/>
        </w:rPr>
        <w:t xml:space="preserve">The masters programme will continue after the end of action implementation. </w:t>
      </w:r>
      <w:r w:rsidRPr="007E506E">
        <w:rPr>
          <w:rFonts w:ascii="Arial" w:eastAsia="Calibri" w:hAnsi="Arial" w:cs="Arial"/>
          <w:sz w:val="24"/>
          <w:szCs w:val="24"/>
        </w:rPr>
        <w:t xml:space="preserve">The scholarships are seed capital and the program is expected to be self-sustaining in the long term since the students will be required to pay tuition fees. </w:t>
      </w:r>
    </w:p>
    <w:p w14:paraId="498DD0DD" w14:textId="77777777" w:rsidR="00862AA7" w:rsidRPr="007E506E" w:rsidRDefault="00862AA7" w:rsidP="00862AA7">
      <w:pPr>
        <w:overflowPunct w:val="0"/>
        <w:autoSpaceDE w:val="0"/>
        <w:autoSpaceDN w:val="0"/>
        <w:adjustRightInd w:val="0"/>
        <w:jc w:val="both"/>
        <w:textAlignment w:val="baseline"/>
        <w:rPr>
          <w:rFonts w:ascii="Arial" w:eastAsia="Calibri" w:hAnsi="Arial" w:cs="Arial"/>
          <w:sz w:val="24"/>
          <w:szCs w:val="24"/>
        </w:rPr>
      </w:pPr>
    </w:p>
    <w:p w14:paraId="60927FA8" w14:textId="77777777" w:rsidR="00862AA7" w:rsidRPr="007E506E" w:rsidRDefault="00862AA7" w:rsidP="00862AA7">
      <w:pPr>
        <w:pStyle w:val="ListParagraph"/>
        <w:numPr>
          <w:ilvl w:val="0"/>
          <w:numId w:val="22"/>
        </w:numPr>
        <w:overflowPunct w:val="0"/>
        <w:autoSpaceDE w:val="0"/>
        <w:autoSpaceDN w:val="0"/>
        <w:adjustRightInd w:val="0"/>
        <w:spacing w:after="0" w:line="240" w:lineRule="auto"/>
        <w:jc w:val="both"/>
        <w:textAlignment w:val="baseline"/>
        <w:rPr>
          <w:rFonts w:ascii="Arial" w:eastAsia="Calibri" w:hAnsi="Arial" w:cs="Arial"/>
          <w:sz w:val="24"/>
          <w:szCs w:val="24"/>
        </w:rPr>
      </w:pPr>
      <w:r w:rsidRPr="007E506E">
        <w:rPr>
          <w:rFonts w:ascii="Arial" w:eastAsia="Calibri" w:hAnsi="Arial" w:cs="Arial"/>
          <w:b/>
          <w:sz w:val="24"/>
          <w:szCs w:val="24"/>
        </w:rPr>
        <w:t xml:space="preserve">Organizing Masters Degree Programme Students Research Dissemination Workshops. </w:t>
      </w:r>
      <w:r w:rsidRPr="007E506E">
        <w:rPr>
          <w:rFonts w:ascii="Arial" w:eastAsia="Calibri" w:hAnsi="Arial" w:cs="Arial"/>
          <w:sz w:val="24"/>
          <w:szCs w:val="24"/>
        </w:rPr>
        <w:t xml:space="preserve">The host and collaborating universities will </w:t>
      </w:r>
      <w:r w:rsidRPr="007E506E">
        <w:rPr>
          <w:rFonts w:ascii="Arial" w:eastAsia="Calibri" w:hAnsi="Arial" w:cs="Arial"/>
          <w:sz w:val="24"/>
          <w:szCs w:val="24"/>
        </w:rPr>
        <w:lastRenderedPageBreak/>
        <w:t xml:space="preserve">organize students research dissemination workshops in their respective universities to discuss and share research outputs from the Masters’ degree of Regional Integration programme. </w:t>
      </w:r>
    </w:p>
    <w:p w14:paraId="6F3833E8" w14:textId="77777777" w:rsidR="00862AA7" w:rsidRPr="007E506E" w:rsidRDefault="00862AA7" w:rsidP="00862AA7">
      <w:pPr>
        <w:overflowPunct w:val="0"/>
        <w:autoSpaceDE w:val="0"/>
        <w:autoSpaceDN w:val="0"/>
        <w:adjustRightInd w:val="0"/>
        <w:jc w:val="both"/>
        <w:textAlignment w:val="baseline"/>
        <w:rPr>
          <w:rFonts w:ascii="Arial" w:eastAsia="Calibri" w:hAnsi="Arial" w:cs="Arial"/>
          <w:sz w:val="24"/>
          <w:szCs w:val="24"/>
        </w:rPr>
      </w:pPr>
    </w:p>
    <w:p w14:paraId="5A2C505A" w14:textId="77777777" w:rsidR="00862AA7" w:rsidRPr="007E506E" w:rsidRDefault="00862AA7" w:rsidP="00862AA7">
      <w:pPr>
        <w:pStyle w:val="ListParagraph"/>
        <w:numPr>
          <w:ilvl w:val="0"/>
          <w:numId w:val="22"/>
        </w:numPr>
        <w:overflowPunct w:val="0"/>
        <w:autoSpaceDE w:val="0"/>
        <w:autoSpaceDN w:val="0"/>
        <w:adjustRightInd w:val="0"/>
        <w:spacing w:after="0" w:line="240" w:lineRule="auto"/>
        <w:jc w:val="both"/>
        <w:textAlignment w:val="baseline"/>
        <w:rPr>
          <w:rFonts w:ascii="Arial" w:eastAsia="Calibri" w:hAnsi="Arial" w:cs="Arial"/>
          <w:sz w:val="24"/>
          <w:szCs w:val="24"/>
        </w:rPr>
      </w:pPr>
      <w:r w:rsidRPr="007E506E">
        <w:rPr>
          <w:rFonts w:ascii="Arial" w:eastAsia="Calibri" w:hAnsi="Arial" w:cs="Arial"/>
          <w:b/>
          <w:sz w:val="24"/>
          <w:szCs w:val="24"/>
        </w:rPr>
        <w:t>Conducting quality assurance of the master’s degree programme</w:t>
      </w:r>
      <w:r w:rsidRPr="007E506E">
        <w:rPr>
          <w:rFonts w:ascii="Arial" w:eastAsia="Calibri" w:hAnsi="Arial" w:cs="Arial"/>
          <w:sz w:val="24"/>
          <w:szCs w:val="24"/>
        </w:rPr>
        <w:t xml:space="preserve">. This will involve undertaking rigorous, systematic and objective evaluation of the effectiveness of the masters’ degree programme. </w:t>
      </w:r>
    </w:p>
    <w:p w14:paraId="71137D4F" w14:textId="77777777" w:rsidR="00862AA7" w:rsidRPr="007E506E" w:rsidRDefault="00862AA7" w:rsidP="00862AA7">
      <w:pPr>
        <w:overflowPunct w:val="0"/>
        <w:autoSpaceDE w:val="0"/>
        <w:autoSpaceDN w:val="0"/>
        <w:adjustRightInd w:val="0"/>
        <w:jc w:val="both"/>
        <w:textAlignment w:val="baseline"/>
        <w:rPr>
          <w:rFonts w:ascii="Arial" w:hAnsi="Arial" w:cs="Arial"/>
          <w:sz w:val="24"/>
          <w:szCs w:val="24"/>
        </w:rPr>
      </w:pPr>
    </w:p>
    <w:p w14:paraId="13BB4021" w14:textId="77777777" w:rsidR="00862AA7" w:rsidRPr="007E506E" w:rsidRDefault="00862AA7" w:rsidP="00862AA7">
      <w:pPr>
        <w:pStyle w:val="ListParagraph"/>
        <w:numPr>
          <w:ilvl w:val="0"/>
          <w:numId w:val="22"/>
        </w:numPr>
        <w:overflowPunct w:val="0"/>
        <w:autoSpaceDE w:val="0"/>
        <w:autoSpaceDN w:val="0"/>
        <w:adjustRightInd w:val="0"/>
        <w:spacing w:after="0" w:line="240" w:lineRule="auto"/>
        <w:jc w:val="both"/>
        <w:textAlignment w:val="baseline"/>
        <w:rPr>
          <w:rFonts w:ascii="Arial" w:eastAsia="Calibri" w:hAnsi="Arial" w:cs="Arial"/>
          <w:sz w:val="24"/>
          <w:szCs w:val="24"/>
        </w:rPr>
      </w:pPr>
      <w:r w:rsidRPr="007E506E">
        <w:rPr>
          <w:rFonts w:ascii="Arial" w:eastAsia="Calibri" w:hAnsi="Arial" w:cs="Arial"/>
          <w:b/>
          <w:sz w:val="24"/>
          <w:szCs w:val="24"/>
        </w:rPr>
        <w:t>Subscription to trade and regional integration journals</w:t>
      </w:r>
      <w:r w:rsidRPr="007E506E">
        <w:rPr>
          <w:rFonts w:ascii="Arial" w:eastAsia="Calibri" w:hAnsi="Arial" w:cs="Arial"/>
          <w:sz w:val="24"/>
          <w:szCs w:val="24"/>
        </w:rPr>
        <w:t xml:space="preserve">. This will entail purchasing access to e-journals in trade and regional integration for purposes of providing study materials for course work and research. </w:t>
      </w:r>
    </w:p>
    <w:p w14:paraId="628DEA53" w14:textId="77777777" w:rsidR="001F2E6E" w:rsidRPr="007E506E" w:rsidRDefault="001F2E6E" w:rsidP="004B52E4">
      <w:pPr>
        <w:jc w:val="both"/>
        <w:rPr>
          <w:rFonts w:ascii="Arial" w:hAnsi="Arial" w:cs="Arial"/>
          <w:sz w:val="24"/>
          <w:szCs w:val="24"/>
          <w:lang w:val="en-GB"/>
        </w:rPr>
      </w:pPr>
    </w:p>
    <w:p w14:paraId="3A607EA7" w14:textId="63CF123B" w:rsidR="00852CDB" w:rsidRPr="007E506E" w:rsidRDefault="0088042E" w:rsidP="00BD029C">
      <w:pPr>
        <w:pStyle w:val="ListParagraph"/>
        <w:numPr>
          <w:ilvl w:val="0"/>
          <w:numId w:val="3"/>
        </w:numPr>
        <w:spacing w:after="0"/>
        <w:ind w:hanging="720"/>
        <w:rPr>
          <w:rFonts w:ascii="Arial" w:hAnsi="Arial" w:cs="Arial"/>
          <w:sz w:val="24"/>
          <w:szCs w:val="24"/>
          <w:lang w:val="en-GB"/>
        </w:rPr>
      </w:pPr>
      <w:r w:rsidRPr="007E506E">
        <w:rPr>
          <w:rFonts w:ascii="Arial" w:hAnsi="Arial" w:cs="Arial"/>
          <w:b/>
          <w:bCs/>
          <w:sz w:val="24"/>
          <w:szCs w:val="24"/>
          <w:lang w:val="en-GB"/>
        </w:rPr>
        <w:t>Overview of 2019</w:t>
      </w:r>
      <w:r w:rsidR="008B7BA7" w:rsidRPr="007E506E">
        <w:rPr>
          <w:rFonts w:ascii="Arial" w:hAnsi="Arial" w:cs="Arial"/>
          <w:b/>
          <w:bCs/>
          <w:sz w:val="24"/>
          <w:szCs w:val="24"/>
          <w:lang w:val="en-GB"/>
        </w:rPr>
        <w:t xml:space="preserve"> (Jan – June,2019)</w:t>
      </w:r>
      <w:r w:rsidRPr="007E506E">
        <w:rPr>
          <w:rFonts w:ascii="Arial" w:hAnsi="Arial" w:cs="Arial"/>
          <w:b/>
          <w:bCs/>
          <w:sz w:val="24"/>
          <w:szCs w:val="24"/>
          <w:lang w:val="en-GB"/>
        </w:rPr>
        <w:t xml:space="preserve"> programme and expenditure implementation</w:t>
      </w:r>
    </w:p>
    <w:p w14:paraId="19FB5A5F" w14:textId="77777777" w:rsidR="00095BEB" w:rsidRPr="007E506E" w:rsidRDefault="00095BEB" w:rsidP="00095BEB">
      <w:pPr>
        <w:pStyle w:val="ListParagraph"/>
        <w:spacing w:after="0"/>
        <w:rPr>
          <w:rFonts w:ascii="Arial" w:hAnsi="Arial" w:cs="Arial"/>
          <w:sz w:val="24"/>
          <w:szCs w:val="24"/>
          <w:lang w:val="en-GB"/>
        </w:rPr>
      </w:pPr>
    </w:p>
    <w:p w14:paraId="27248D49" w14:textId="424B74DD" w:rsidR="0061158F" w:rsidRPr="007E506E" w:rsidRDefault="00BD029C" w:rsidP="0061158F">
      <w:pPr>
        <w:pStyle w:val="ListParagraph"/>
        <w:rPr>
          <w:rFonts w:ascii="Arial" w:hAnsi="Arial" w:cs="Arial"/>
          <w:sz w:val="24"/>
          <w:szCs w:val="24"/>
          <w:lang w:val="en-GB"/>
        </w:rPr>
      </w:pPr>
      <w:r w:rsidRPr="007E506E">
        <w:rPr>
          <w:rFonts w:ascii="Arial" w:hAnsi="Arial" w:cs="Arial"/>
          <w:sz w:val="24"/>
          <w:szCs w:val="24"/>
          <w:lang w:val="en-GB"/>
        </w:rPr>
        <w:t xml:space="preserve">No activities were undertaken in the period under review as funding was received </w:t>
      </w:r>
      <w:r w:rsidR="00095BEB" w:rsidRPr="007E506E">
        <w:rPr>
          <w:rFonts w:ascii="Arial" w:hAnsi="Arial" w:cs="Arial"/>
          <w:sz w:val="24"/>
          <w:szCs w:val="24"/>
          <w:lang w:val="en-GB"/>
        </w:rPr>
        <w:t>in July 2019.</w:t>
      </w:r>
    </w:p>
    <w:p w14:paraId="40079683" w14:textId="77777777" w:rsidR="00BD029C" w:rsidRPr="007E506E" w:rsidRDefault="00BD029C" w:rsidP="0061158F">
      <w:pPr>
        <w:pStyle w:val="ListParagraph"/>
        <w:rPr>
          <w:rFonts w:ascii="Arial" w:hAnsi="Arial" w:cs="Arial"/>
          <w:sz w:val="24"/>
          <w:szCs w:val="24"/>
          <w:lang w:val="en-GB"/>
        </w:rPr>
      </w:pPr>
    </w:p>
    <w:p w14:paraId="7523DE38" w14:textId="5CA52A0F" w:rsidR="00611D43" w:rsidRPr="007E506E" w:rsidRDefault="00611D43" w:rsidP="00611D43">
      <w:pPr>
        <w:pStyle w:val="ListParagraph"/>
        <w:numPr>
          <w:ilvl w:val="0"/>
          <w:numId w:val="3"/>
        </w:numPr>
        <w:spacing w:after="0"/>
        <w:ind w:hanging="720"/>
        <w:rPr>
          <w:rFonts w:ascii="Arial" w:hAnsi="Arial" w:cs="Arial"/>
          <w:b/>
          <w:bCs/>
          <w:sz w:val="24"/>
          <w:szCs w:val="24"/>
          <w:lang w:val="en-GB"/>
        </w:rPr>
      </w:pPr>
      <w:r w:rsidRPr="007E506E">
        <w:rPr>
          <w:rFonts w:ascii="Arial" w:hAnsi="Arial" w:cs="Arial"/>
          <w:b/>
          <w:bCs/>
          <w:sz w:val="24"/>
          <w:szCs w:val="24"/>
          <w:lang w:val="en-GB"/>
        </w:rPr>
        <w:t>Recommendation</w:t>
      </w:r>
    </w:p>
    <w:p w14:paraId="474B6C72" w14:textId="77777777" w:rsidR="00705A9C" w:rsidRPr="007E506E" w:rsidRDefault="00705A9C" w:rsidP="00705A9C">
      <w:pPr>
        <w:pStyle w:val="ListParagraph"/>
        <w:spacing w:after="0"/>
        <w:rPr>
          <w:rFonts w:ascii="Arial" w:hAnsi="Arial" w:cs="Arial"/>
          <w:b/>
          <w:bCs/>
          <w:sz w:val="24"/>
          <w:szCs w:val="24"/>
          <w:lang w:val="en-GB"/>
        </w:rPr>
      </w:pPr>
    </w:p>
    <w:p w14:paraId="454F1301" w14:textId="0B9E4AFF" w:rsidR="004D6920" w:rsidRPr="007E506E" w:rsidRDefault="00611D43" w:rsidP="00485066">
      <w:pPr>
        <w:ind w:left="720"/>
        <w:rPr>
          <w:rFonts w:ascii="Arial" w:hAnsi="Arial" w:cs="Arial"/>
          <w:sz w:val="24"/>
          <w:szCs w:val="24"/>
          <w:lang w:val="en-GB"/>
        </w:rPr>
      </w:pPr>
      <w:r w:rsidRPr="007E506E">
        <w:rPr>
          <w:rFonts w:ascii="Arial" w:hAnsi="Arial" w:cs="Arial"/>
          <w:bCs/>
          <w:sz w:val="24"/>
          <w:szCs w:val="24"/>
        </w:rPr>
        <w:t>Du</w:t>
      </w:r>
      <w:r w:rsidR="00480913" w:rsidRPr="007E506E">
        <w:rPr>
          <w:rFonts w:ascii="Arial" w:hAnsi="Arial" w:cs="Arial"/>
          <w:bCs/>
          <w:sz w:val="24"/>
          <w:szCs w:val="24"/>
          <w:lang w:val="en-US"/>
        </w:rPr>
        <w:t xml:space="preserve">e to the likelihood that no activities will be implemented </w:t>
      </w:r>
      <w:r w:rsidR="00281290" w:rsidRPr="007E506E">
        <w:rPr>
          <w:rFonts w:ascii="Arial" w:hAnsi="Arial" w:cs="Arial"/>
          <w:bCs/>
          <w:sz w:val="24"/>
          <w:szCs w:val="24"/>
          <w:lang w:val="en-US"/>
        </w:rPr>
        <w:t>in the 2019 financial year</w:t>
      </w:r>
      <w:r w:rsidRPr="007E506E">
        <w:rPr>
          <w:rFonts w:ascii="Arial" w:hAnsi="Arial" w:cs="Arial"/>
          <w:bCs/>
          <w:sz w:val="24"/>
          <w:szCs w:val="24"/>
        </w:rPr>
        <w:t xml:space="preserve">, the project will </w:t>
      </w:r>
      <w:r w:rsidR="00281290" w:rsidRPr="007E506E">
        <w:rPr>
          <w:rFonts w:ascii="Arial" w:hAnsi="Arial" w:cs="Arial"/>
          <w:bCs/>
          <w:sz w:val="24"/>
          <w:szCs w:val="24"/>
          <w:lang w:val="en-US"/>
        </w:rPr>
        <w:t xml:space="preserve">roll over </w:t>
      </w:r>
      <w:r w:rsidR="00705A9C" w:rsidRPr="007E506E">
        <w:rPr>
          <w:rFonts w:ascii="Arial" w:hAnsi="Arial" w:cs="Arial"/>
          <w:bCs/>
          <w:sz w:val="24"/>
          <w:szCs w:val="24"/>
          <w:lang w:val="en-US"/>
        </w:rPr>
        <w:t>201</w:t>
      </w:r>
      <w:r w:rsidR="007007CC">
        <w:rPr>
          <w:rFonts w:ascii="Arial" w:hAnsi="Arial" w:cs="Arial"/>
          <w:bCs/>
          <w:sz w:val="24"/>
          <w:szCs w:val="24"/>
          <w:lang w:val="en-US"/>
        </w:rPr>
        <w:t>9</w:t>
      </w:r>
      <w:r w:rsidR="00705A9C" w:rsidRPr="007E506E">
        <w:rPr>
          <w:rFonts w:ascii="Arial" w:hAnsi="Arial" w:cs="Arial"/>
          <w:bCs/>
          <w:sz w:val="24"/>
          <w:szCs w:val="24"/>
          <w:lang w:val="en-US"/>
        </w:rPr>
        <w:t xml:space="preserve"> activities</w:t>
      </w:r>
      <w:r w:rsidR="00281290" w:rsidRPr="007E506E">
        <w:rPr>
          <w:rFonts w:ascii="Arial" w:hAnsi="Arial" w:cs="Arial"/>
          <w:bCs/>
          <w:sz w:val="24"/>
          <w:szCs w:val="24"/>
          <w:lang w:val="en-US"/>
        </w:rPr>
        <w:t xml:space="preserve"> to 20</w:t>
      </w:r>
      <w:r w:rsidR="007007CC">
        <w:rPr>
          <w:rFonts w:ascii="Arial" w:hAnsi="Arial" w:cs="Arial"/>
          <w:bCs/>
          <w:sz w:val="24"/>
          <w:szCs w:val="24"/>
          <w:lang w:val="en-US"/>
        </w:rPr>
        <w:t>20 FY</w:t>
      </w:r>
      <w:r w:rsidR="00485066" w:rsidRPr="007E506E">
        <w:rPr>
          <w:rFonts w:ascii="Arial" w:hAnsi="Arial" w:cs="Arial"/>
          <w:bCs/>
          <w:sz w:val="24"/>
          <w:szCs w:val="24"/>
          <w:lang w:val="en-US"/>
        </w:rPr>
        <w:t>.</w:t>
      </w:r>
    </w:p>
    <w:p w14:paraId="0D6C4AC2" w14:textId="7A4EDA1F" w:rsidR="00116C47" w:rsidRPr="007E506E" w:rsidRDefault="00116C47" w:rsidP="00852CDB">
      <w:pPr>
        <w:pStyle w:val="ListParagraph"/>
        <w:rPr>
          <w:rFonts w:ascii="Arial" w:hAnsi="Arial" w:cs="Arial"/>
          <w:sz w:val="24"/>
          <w:szCs w:val="24"/>
          <w:lang w:val="en-GB"/>
        </w:rPr>
      </w:pPr>
    </w:p>
    <w:sectPr w:rsidR="00116C47" w:rsidRPr="007E506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47628" w14:textId="77777777" w:rsidR="00495810" w:rsidRDefault="00495810" w:rsidP="00EA5707">
      <w:pPr>
        <w:spacing w:after="0" w:line="240" w:lineRule="auto"/>
      </w:pPr>
      <w:r>
        <w:separator/>
      </w:r>
    </w:p>
  </w:endnote>
  <w:endnote w:type="continuationSeparator" w:id="0">
    <w:p w14:paraId="2A62262F" w14:textId="77777777" w:rsidR="00495810" w:rsidRDefault="00495810" w:rsidP="00EA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D46B2" w14:textId="77777777" w:rsidR="00DC0DF0" w:rsidRDefault="00DC0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298159"/>
      <w:docPartObj>
        <w:docPartGallery w:val="Page Numbers (Bottom of Page)"/>
        <w:docPartUnique/>
      </w:docPartObj>
    </w:sdtPr>
    <w:sdtEndPr>
      <w:rPr>
        <w:noProof/>
      </w:rPr>
    </w:sdtEndPr>
    <w:sdtContent>
      <w:p w14:paraId="11A4F233" w14:textId="2456E16D" w:rsidR="004061ED" w:rsidRDefault="00406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9BCDE4" w14:textId="77777777" w:rsidR="004061ED" w:rsidRDefault="004061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564E" w14:textId="77777777" w:rsidR="00DC0DF0" w:rsidRDefault="00DC0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D3797" w14:textId="77777777" w:rsidR="00495810" w:rsidRDefault="00495810" w:rsidP="00EA5707">
      <w:pPr>
        <w:spacing w:after="0" w:line="240" w:lineRule="auto"/>
      </w:pPr>
      <w:r>
        <w:separator/>
      </w:r>
    </w:p>
  </w:footnote>
  <w:footnote w:type="continuationSeparator" w:id="0">
    <w:p w14:paraId="20FE1C4F" w14:textId="77777777" w:rsidR="00495810" w:rsidRDefault="00495810" w:rsidP="00EA5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5E20A" w14:textId="77777777" w:rsidR="00DC0DF0" w:rsidRDefault="00DC0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660F" w14:textId="7F93AAAE" w:rsidR="00EA5707" w:rsidRPr="0088042E" w:rsidRDefault="00DC0DF0">
    <w:pPr>
      <w:pStyle w:val="Header"/>
      <w:rPr>
        <w:rFonts w:ascii="Arial" w:hAnsi="Arial" w:cs="Arial"/>
        <w:b/>
        <w:bCs/>
        <w:sz w:val="24"/>
        <w:szCs w:val="24"/>
        <w:lang w:val="en-GB"/>
      </w:rPr>
    </w:pPr>
    <w:r>
      <w:rPr>
        <w:rFonts w:ascii="Arial" w:hAnsi="Arial" w:cs="Arial"/>
        <w:b/>
        <w:bCs/>
        <w:sz w:val="24"/>
        <w:szCs w:val="24"/>
        <w:lang w:val="en-GB"/>
      </w:rPr>
      <w:t xml:space="preserve">Note </w:t>
    </w:r>
    <w:r w:rsidR="00F26532">
      <w:rPr>
        <w:rFonts w:ascii="Arial" w:hAnsi="Arial" w:cs="Arial"/>
        <w:b/>
        <w:bCs/>
        <w:sz w:val="24"/>
        <w:szCs w:val="24"/>
        <w:lang w:val="en-GB"/>
      </w:rPr>
      <w:t>8</w:t>
    </w:r>
    <w:bookmarkStart w:id="3" w:name="_GoBack"/>
    <w:bookmarkEnd w:id="3"/>
    <w:r w:rsidR="0088042E" w:rsidRPr="0088042E">
      <w:rPr>
        <w:rFonts w:ascii="Arial" w:hAnsi="Arial" w:cs="Arial"/>
        <w:b/>
        <w:bCs/>
        <w:sz w:val="24"/>
        <w:szCs w:val="24"/>
        <w:lang w:val="en-GB"/>
      </w:rPr>
      <w:t xml:space="preserve">: </w:t>
    </w:r>
    <w:proofErr w:type="spellStart"/>
    <w:r w:rsidR="003973F1">
      <w:rPr>
        <w:rFonts w:ascii="Arial" w:hAnsi="Arial" w:cs="Arial"/>
        <w:b/>
        <w:bCs/>
        <w:sz w:val="24"/>
        <w:szCs w:val="24"/>
        <w:lang w:val="en-GB"/>
      </w:rPr>
      <w:t>T</w:t>
    </w:r>
    <w:r w:rsidR="00755E9C">
      <w:rPr>
        <w:rFonts w:ascii="Arial" w:hAnsi="Arial" w:cs="Arial"/>
        <w:b/>
        <w:bCs/>
        <w:sz w:val="24"/>
        <w:szCs w:val="24"/>
        <w:lang w:val="en-GB"/>
      </w:rPr>
      <w:t>radeCom</w:t>
    </w:r>
    <w:proofErr w:type="spellEnd"/>
    <w:r w:rsidR="00755E9C">
      <w:rPr>
        <w:rFonts w:ascii="Arial" w:hAnsi="Arial" w:cs="Arial"/>
        <w:b/>
        <w:bCs/>
        <w:sz w:val="24"/>
        <w:szCs w:val="24"/>
        <w:lang w:val="en-GB"/>
      </w:rPr>
      <w:t xml:space="preserve"> II ACP Trade Capacity Building Programme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588E" w14:textId="77777777" w:rsidR="00DC0DF0" w:rsidRDefault="00DC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2447"/>
    <w:multiLevelType w:val="hybridMultilevel"/>
    <w:tmpl w:val="BCEA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36942"/>
    <w:multiLevelType w:val="hybridMultilevel"/>
    <w:tmpl w:val="C31C9ABE"/>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E023E4"/>
    <w:multiLevelType w:val="hybridMultilevel"/>
    <w:tmpl w:val="9F0E448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E0D33D5"/>
    <w:multiLevelType w:val="hybridMultilevel"/>
    <w:tmpl w:val="3BD6E15C"/>
    <w:lvl w:ilvl="0" w:tplc="032CEF8E">
      <w:start w:val="1"/>
      <w:numFmt w:val="lowerRoman"/>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DD4A39"/>
    <w:multiLevelType w:val="hybridMultilevel"/>
    <w:tmpl w:val="E9F28B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A0F5551"/>
    <w:multiLevelType w:val="hybridMultilevel"/>
    <w:tmpl w:val="8D3E256E"/>
    <w:lvl w:ilvl="0" w:tplc="AFDE57FC">
      <w:start w:val="981"/>
      <w:numFmt w:val="bullet"/>
      <w:lvlText w:val="-"/>
      <w:lvlJc w:val="left"/>
      <w:pPr>
        <w:ind w:left="1440" w:hanging="360"/>
      </w:pPr>
      <w:rPr>
        <w:rFonts w:ascii="Georgia" w:eastAsiaTheme="minorHAnsi" w:hAnsi="Georgia"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1B7C20DF"/>
    <w:multiLevelType w:val="hybridMultilevel"/>
    <w:tmpl w:val="8C868380"/>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1D6C6117"/>
    <w:multiLevelType w:val="hybridMultilevel"/>
    <w:tmpl w:val="4120DCC4"/>
    <w:lvl w:ilvl="0" w:tplc="2000001B">
      <w:start w:val="1"/>
      <w:numFmt w:val="lowerRoman"/>
      <w:lvlText w:val="%1."/>
      <w:lvlJc w:val="righ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8" w15:restartNumberingAfterBreak="0">
    <w:nsid w:val="20C900C6"/>
    <w:multiLevelType w:val="hybridMultilevel"/>
    <w:tmpl w:val="C2EE971A"/>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8C242DE"/>
    <w:multiLevelType w:val="hybridMultilevel"/>
    <w:tmpl w:val="26BEB634"/>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47902FBC"/>
    <w:multiLevelType w:val="hybridMultilevel"/>
    <w:tmpl w:val="9D509720"/>
    <w:lvl w:ilvl="0" w:tplc="0000001B">
      <w:start w:val="1"/>
      <w:numFmt w:val="lowerRoman"/>
      <w:lvlText w:val="%1."/>
      <w:lvlJc w:val="right"/>
      <w:pPr>
        <w:ind w:left="780" w:hanging="360"/>
      </w:p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11" w15:restartNumberingAfterBreak="0">
    <w:nsid w:val="542B4B61"/>
    <w:multiLevelType w:val="hybridMultilevel"/>
    <w:tmpl w:val="9236944A"/>
    <w:lvl w:ilvl="0" w:tplc="48F20016">
      <w:start w:val="1"/>
      <w:numFmt w:val="decimal"/>
      <w:lvlText w:val="%1."/>
      <w:lvlJc w:val="left"/>
      <w:pPr>
        <w:ind w:left="36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53E8E"/>
    <w:multiLevelType w:val="hybridMultilevel"/>
    <w:tmpl w:val="16B0CF70"/>
    <w:lvl w:ilvl="0" w:tplc="CB168A78">
      <w:start w:val="6"/>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6AA102F"/>
    <w:multiLevelType w:val="hybridMultilevel"/>
    <w:tmpl w:val="39A25AE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BAA4B55"/>
    <w:multiLevelType w:val="hybridMultilevel"/>
    <w:tmpl w:val="214A7532"/>
    <w:lvl w:ilvl="0" w:tplc="EF6828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B20B4"/>
    <w:multiLevelType w:val="hybridMultilevel"/>
    <w:tmpl w:val="A6440F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377200B"/>
    <w:multiLevelType w:val="hybridMultilevel"/>
    <w:tmpl w:val="CDD84B78"/>
    <w:lvl w:ilvl="0" w:tplc="AFDE57FC">
      <w:start w:val="981"/>
      <w:numFmt w:val="bullet"/>
      <w:lvlText w:val="-"/>
      <w:lvlJc w:val="left"/>
      <w:pPr>
        <w:ind w:left="720" w:hanging="360"/>
      </w:pPr>
      <w:rPr>
        <w:rFonts w:ascii="Georgia" w:eastAsiaTheme="minorHAnsi" w:hAnsi="Georg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4682EFD"/>
    <w:multiLevelType w:val="hybridMultilevel"/>
    <w:tmpl w:val="77E2A07C"/>
    <w:lvl w:ilvl="0" w:tplc="FD1254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1A590E"/>
    <w:multiLevelType w:val="hybridMultilevel"/>
    <w:tmpl w:val="0FF4418A"/>
    <w:lvl w:ilvl="0" w:tplc="B70CDE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C58FB"/>
    <w:multiLevelType w:val="hybridMultilevel"/>
    <w:tmpl w:val="BBCC0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C620FD6"/>
    <w:multiLevelType w:val="hybridMultilevel"/>
    <w:tmpl w:val="4D2CF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7E18397F"/>
    <w:multiLevelType w:val="hybridMultilevel"/>
    <w:tmpl w:val="94364B64"/>
    <w:lvl w:ilvl="0" w:tplc="91D8B1AA">
      <w:start w:val="1"/>
      <w:numFmt w:val="decimal"/>
      <w:lvlText w:val="%1."/>
      <w:lvlJc w:val="left"/>
      <w:pPr>
        <w:ind w:left="720" w:hanging="360"/>
      </w:pPr>
      <w:rPr>
        <w:b/>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5"/>
  </w:num>
  <w:num w:numId="3">
    <w:abstractNumId w:val="21"/>
  </w:num>
  <w:num w:numId="4">
    <w:abstractNumId w:val="19"/>
  </w:num>
  <w:num w:numId="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8"/>
  </w:num>
  <w:num w:numId="8">
    <w:abstractNumId w:val="4"/>
  </w:num>
  <w:num w:numId="9">
    <w:abstractNumId w:val="1"/>
  </w:num>
  <w:num w:numId="10">
    <w:abstractNumId w:val="16"/>
  </w:num>
  <w:num w:numId="11">
    <w:abstractNumId w:val="5"/>
  </w:num>
  <w:num w:numId="12">
    <w:abstractNumId w:val="13"/>
  </w:num>
  <w:num w:numId="13">
    <w:abstractNumId w:val="6"/>
  </w:num>
  <w:num w:numId="14">
    <w:abstractNumId w:val="7"/>
  </w:num>
  <w:num w:numId="15">
    <w:abstractNumId w:val="18"/>
  </w:num>
  <w:num w:numId="16">
    <w:abstractNumId w:val="17"/>
  </w:num>
  <w:num w:numId="17">
    <w:abstractNumId w:val="14"/>
  </w:num>
  <w:num w:numId="18">
    <w:abstractNumId w:val="0"/>
  </w:num>
  <w:num w:numId="19">
    <w:abstractNumId w:val="11"/>
  </w:num>
  <w:num w:numId="20">
    <w:abstractNumId w:val="3"/>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7D"/>
    <w:rsid w:val="000008B7"/>
    <w:rsid w:val="00026179"/>
    <w:rsid w:val="00054A17"/>
    <w:rsid w:val="00061349"/>
    <w:rsid w:val="00066EE7"/>
    <w:rsid w:val="0007273D"/>
    <w:rsid w:val="00095BEB"/>
    <w:rsid w:val="000B472E"/>
    <w:rsid w:val="000C423F"/>
    <w:rsid w:val="000D212A"/>
    <w:rsid w:val="000D6591"/>
    <w:rsid w:val="000E644B"/>
    <w:rsid w:val="000E6B21"/>
    <w:rsid w:val="00116C47"/>
    <w:rsid w:val="00145A9D"/>
    <w:rsid w:val="001644AA"/>
    <w:rsid w:val="001B28E5"/>
    <w:rsid w:val="001D4D67"/>
    <w:rsid w:val="001E0279"/>
    <w:rsid w:val="001F2E6E"/>
    <w:rsid w:val="00281290"/>
    <w:rsid w:val="00293D0C"/>
    <w:rsid w:val="002A0E3B"/>
    <w:rsid w:val="002B0C34"/>
    <w:rsid w:val="00332F3B"/>
    <w:rsid w:val="003362B7"/>
    <w:rsid w:val="00361893"/>
    <w:rsid w:val="0039384C"/>
    <w:rsid w:val="003973F1"/>
    <w:rsid w:val="0039757B"/>
    <w:rsid w:val="003A49C2"/>
    <w:rsid w:val="003A7C2F"/>
    <w:rsid w:val="003C46AB"/>
    <w:rsid w:val="003D3652"/>
    <w:rsid w:val="004061ED"/>
    <w:rsid w:val="00440E12"/>
    <w:rsid w:val="00480913"/>
    <w:rsid w:val="00485066"/>
    <w:rsid w:val="00495810"/>
    <w:rsid w:val="004B52E4"/>
    <w:rsid w:val="004D6920"/>
    <w:rsid w:val="004F4BAC"/>
    <w:rsid w:val="005338B1"/>
    <w:rsid w:val="00574EC4"/>
    <w:rsid w:val="00587079"/>
    <w:rsid w:val="005A4FD3"/>
    <w:rsid w:val="005A7014"/>
    <w:rsid w:val="005B5503"/>
    <w:rsid w:val="005D31AA"/>
    <w:rsid w:val="005E1EF6"/>
    <w:rsid w:val="0061158F"/>
    <w:rsid w:val="00611D43"/>
    <w:rsid w:val="00646943"/>
    <w:rsid w:val="006541FA"/>
    <w:rsid w:val="00670249"/>
    <w:rsid w:val="00673BF2"/>
    <w:rsid w:val="0069192E"/>
    <w:rsid w:val="006D2A5B"/>
    <w:rsid w:val="007007CC"/>
    <w:rsid w:val="00705A9C"/>
    <w:rsid w:val="00707B03"/>
    <w:rsid w:val="00755E9C"/>
    <w:rsid w:val="007B1C1F"/>
    <w:rsid w:val="007E0B08"/>
    <w:rsid w:val="007E506E"/>
    <w:rsid w:val="00805231"/>
    <w:rsid w:val="008135DD"/>
    <w:rsid w:val="00832FA0"/>
    <w:rsid w:val="00852AD4"/>
    <w:rsid w:val="00852CDB"/>
    <w:rsid w:val="00862AA7"/>
    <w:rsid w:val="0088042E"/>
    <w:rsid w:val="008B7BA7"/>
    <w:rsid w:val="008C743A"/>
    <w:rsid w:val="0091730F"/>
    <w:rsid w:val="0093362D"/>
    <w:rsid w:val="009522BF"/>
    <w:rsid w:val="009C436B"/>
    <w:rsid w:val="009D243B"/>
    <w:rsid w:val="009D64A3"/>
    <w:rsid w:val="009E267A"/>
    <w:rsid w:val="00A15B64"/>
    <w:rsid w:val="00B07A50"/>
    <w:rsid w:val="00B10EDA"/>
    <w:rsid w:val="00B1253E"/>
    <w:rsid w:val="00B15A90"/>
    <w:rsid w:val="00B17824"/>
    <w:rsid w:val="00B62107"/>
    <w:rsid w:val="00B804B0"/>
    <w:rsid w:val="00B8250D"/>
    <w:rsid w:val="00BD029C"/>
    <w:rsid w:val="00C15EE7"/>
    <w:rsid w:val="00C45CAA"/>
    <w:rsid w:val="00C80BA2"/>
    <w:rsid w:val="00CB290C"/>
    <w:rsid w:val="00CC01DC"/>
    <w:rsid w:val="00CD2322"/>
    <w:rsid w:val="00CD7CD5"/>
    <w:rsid w:val="00CE7081"/>
    <w:rsid w:val="00D05B5D"/>
    <w:rsid w:val="00D52BF2"/>
    <w:rsid w:val="00D532EC"/>
    <w:rsid w:val="00D749BD"/>
    <w:rsid w:val="00D87E01"/>
    <w:rsid w:val="00D92923"/>
    <w:rsid w:val="00D93F75"/>
    <w:rsid w:val="00DC0DF0"/>
    <w:rsid w:val="00E0687D"/>
    <w:rsid w:val="00E17B17"/>
    <w:rsid w:val="00E20F23"/>
    <w:rsid w:val="00EA5707"/>
    <w:rsid w:val="00F10FBA"/>
    <w:rsid w:val="00F26532"/>
    <w:rsid w:val="00F41DD8"/>
    <w:rsid w:val="00FC3564"/>
    <w:rsid w:val="00FD0119"/>
    <w:rsid w:val="00FD5000"/>
    <w:rsid w:val="00FF0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2ABC"/>
  <w15:chartTrackingRefBased/>
  <w15:docId w15:val="{F0DF54F3-0271-42C9-BAF0-471C41C9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862AA7"/>
    <w:pPr>
      <w:keepNext/>
      <w:spacing w:after="0" w:line="240" w:lineRule="auto"/>
      <w:ind w:right="-288"/>
      <w:jc w:val="both"/>
      <w:outlineLvl w:val="2"/>
    </w:pPr>
    <w:rPr>
      <w:rFonts w:ascii="Times New Roman" w:eastAsia="Times New Roman" w:hAnsi="Times New Roman" w:cs="Times New Roman"/>
      <w:b/>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16C47"/>
    <w:pPr>
      <w:ind w:left="720"/>
      <w:contextualSpacing/>
    </w:pPr>
  </w:style>
  <w:style w:type="paragraph" w:styleId="Header">
    <w:name w:val="header"/>
    <w:basedOn w:val="Normal"/>
    <w:link w:val="HeaderChar"/>
    <w:uiPriority w:val="99"/>
    <w:unhideWhenUsed/>
    <w:rsid w:val="00EA5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707"/>
  </w:style>
  <w:style w:type="paragraph" w:styleId="Footer">
    <w:name w:val="footer"/>
    <w:basedOn w:val="Normal"/>
    <w:link w:val="FooterChar"/>
    <w:uiPriority w:val="99"/>
    <w:unhideWhenUsed/>
    <w:rsid w:val="00EA5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707"/>
  </w:style>
  <w:style w:type="character" w:customStyle="1" w:styleId="mainactivitymainactivityname">
    <w:name w:val="main_activity_main_activity_name"/>
    <w:rsid w:val="00C15EE7"/>
    <w:rPr>
      <w:lang w:val="en-US"/>
    </w:rPr>
  </w:style>
  <w:style w:type="paragraph" w:styleId="BalloonText">
    <w:name w:val="Balloon Text"/>
    <w:basedOn w:val="Normal"/>
    <w:link w:val="BalloonTextChar"/>
    <w:uiPriority w:val="99"/>
    <w:semiHidden/>
    <w:unhideWhenUsed/>
    <w:rsid w:val="0085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CDB"/>
    <w:rPr>
      <w:rFonts w:ascii="Segoe UI" w:hAnsi="Segoe UI" w:cs="Segoe UI"/>
      <w:sz w:val="18"/>
      <w:szCs w:val="18"/>
    </w:rPr>
  </w:style>
  <w:style w:type="paragraph" w:customStyle="1" w:styleId="DefaultText">
    <w:name w:val="Default Text"/>
    <w:basedOn w:val="Normal"/>
    <w:link w:val="DefaultTextChar"/>
    <w:rsid w:val="00852CDB"/>
    <w:pPr>
      <w:tabs>
        <w:tab w:val="left" w:pos="-709"/>
      </w:tabs>
      <w:spacing w:after="0" w:line="360" w:lineRule="auto"/>
      <w:jc w:val="both"/>
    </w:pPr>
    <w:rPr>
      <w:rFonts w:ascii="Times New Roman" w:eastAsia="Times New Roman" w:hAnsi="Times New Roman" w:cs="Times New Roman"/>
      <w:sz w:val="24"/>
      <w:szCs w:val="24"/>
      <w:lang w:val="en-GB" w:eastAsia="fr-FR"/>
    </w:rPr>
  </w:style>
  <w:style w:type="character" w:customStyle="1" w:styleId="DefaultTextChar">
    <w:name w:val="Default Text Char"/>
    <w:link w:val="DefaultText"/>
    <w:locked/>
    <w:rsid w:val="00852CDB"/>
    <w:rPr>
      <w:rFonts w:ascii="Times New Roman" w:eastAsia="Times New Roman" w:hAnsi="Times New Roman" w:cs="Times New Roman"/>
      <w:sz w:val="24"/>
      <w:szCs w:val="24"/>
      <w:lang w:val="en-GB" w:eastAsia="fr-FR"/>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B62107"/>
  </w:style>
  <w:style w:type="paragraph" w:styleId="BodyText2">
    <w:name w:val="Body Text 2"/>
    <w:aliases w:val="Body Text 2 Char Char,Body Text 2 Char Char Char"/>
    <w:basedOn w:val="Normal"/>
    <w:link w:val="BodyText2Char"/>
    <w:uiPriority w:val="99"/>
    <w:rsid w:val="00D749BD"/>
    <w:pPr>
      <w:spacing w:after="60" w:line="240" w:lineRule="auto"/>
      <w:jc w:val="both"/>
    </w:pPr>
    <w:rPr>
      <w:rFonts w:ascii="Arial" w:eastAsia="SimSun" w:hAnsi="Arial" w:cs="Times New Roman"/>
      <w:lang w:val="en-US" w:eastAsia="zh-CN"/>
    </w:rPr>
  </w:style>
  <w:style w:type="character" w:customStyle="1" w:styleId="BodyText2Char">
    <w:name w:val="Body Text 2 Char"/>
    <w:aliases w:val="Body Text 2 Char Char Char1,Body Text 2 Char Char Char Char"/>
    <w:basedOn w:val="DefaultParagraphFont"/>
    <w:link w:val="BodyText2"/>
    <w:uiPriority w:val="99"/>
    <w:rsid w:val="00D749BD"/>
    <w:rPr>
      <w:rFonts w:ascii="Arial" w:eastAsia="SimSun" w:hAnsi="Arial" w:cs="Times New Roman"/>
      <w:lang w:val="en-US" w:eastAsia="zh-CN"/>
    </w:rPr>
  </w:style>
  <w:style w:type="character" w:styleId="PageNumber">
    <w:name w:val="page number"/>
    <w:basedOn w:val="DefaultParagraphFont"/>
    <w:rsid w:val="00805231"/>
  </w:style>
  <w:style w:type="character" w:customStyle="1" w:styleId="Heading3Char">
    <w:name w:val="Heading 3 Char"/>
    <w:basedOn w:val="DefaultParagraphFont"/>
    <w:link w:val="Heading3"/>
    <w:rsid w:val="00862AA7"/>
    <w:rPr>
      <w:rFonts w:ascii="Times New Roman" w:eastAsia="Times New Roman" w:hAnsi="Times New Roman" w:cs="Times New Roman"/>
      <w:b/>
      <w:snapToGrid w:val="0"/>
      <w:szCs w:val="20"/>
      <w:lang w:val="en-US"/>
    </w:rPr>
  </w:style>
  <w:style w:type="character" w:styleId="CommentReference">
    <w:name w:val="annotation reference"/>
    <w:semiHidden/>
    <w:rsid w:val="00862AA7"/>
    <w:rPr>
      <w:sz w:val="16"/>
      <w:szCs w:val="16"/>
    </w:rPr>
  </w:style>
  <w:style w:type="paragraph" w:styleId="CommentText">
    <w:name w:val="annotation text"/>
    <w:basedOn w:val="Normal"/>
    <w:link w:val="CommentTextChar"/>
    <w:rsid w:val="00862AA7"/>
    <w:pPr>
      <w:spacing w:after="0" w:line="240" w:lineRule="auto"/>
    </w:pPr>
    <w:rPr>
      <w:rFonts w:ascii="Times New Roman" w:eastAsia="Times New Roman" w:hAnsi="Times New Roman" w:cs="Times New Roman"/>
      <w:snapToGrid w:val="0"/>
      <w:sz w:val="20"/>
      <w:szCs w:val="20"/>
      <w:lang w:val="fr-BE" w:eastAsia="x-none"/>
    </w:rPr>
  </w:style>
  <w:style w:type="character" w:customStyle="1" w:styleId="CommentTextChar">
    <w:name w:val="Comment Text Char"/>
    <w:basedOn w:val="DefaultParagraphFont"/>
    <w:link w:val="CommentText"/>
    <w:rsid w:val="00862AA7"/>
    <w:rPr>
      <w:rFonts w:ascii="Times New Roman" w:eastAsia="Times New Roman" w:hAnsi="Times New Roman" w:cs="Times New Roman"/>
      <w:snapToGrid w:val="0"/>
      <w:sz w:val="20"/>
      <w:szCs w:val="20"/>
      <w:lang w:val="fr-B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4991">
      <w:bodyDiv w:val="1"/>
      <w:marLeft w:val="0"/>
      <w:marRight w:val="0"/>
      <w:marTop w:val="0"/>
      <w:marBottom w:val="0"/>
      <w:divBdr>
        <w:top w:val="none" w:sz="0" w:space="0" w:color="auto"/>
        <w:left w:val="none" w:sz="0" w:space="0" w:color="auto"/>
        <w:bottom w:val="none" w:sz="0" w:space="0" w:color="auto"/>
        <w:right w:val="none" w:sz="0" w:space="0" w:color="auto"/>
      </w:divBdr>
    </w:div>
    <w:div w:id="226498142">
      <w:bodyDiv w:val="1"/>
      <w:marLeft w:val="0"/>
      <w:marRight w:val="0"/>
      <w:marTop w:val="0"/>
      <w:marBottom w:val="0"/>
      <w:divBdr>
        <w:top w:val="none" w:sz="0" w:space="0" w:color="auto"/>
        <w:left w:val="none" w:sz="0" w:space="0" w:color="auto"/>
        <w:bottom w:val="none" w:sz="0" w:space="0" w:color="auto"/>
        <w:right w:val="none" w:sz="0" w:space="0" w:color="auto"/>
      </w:divBdr>
    </w:div>
    <w:div w:id="271060345">
      <w:bodyDiv w:val="1"/>
      <w:marLeft w:val="0"/>
      <w:marRight w:val="0"/>
      <w:marTop w:val="0"/>
      <w:marBottom w:val="0"/>
      <w:divBdr>
        <w:top w:val="none" w:sz="0" w:space="0" w:color="auto"/>
        <w:left w:val="none" w:sz="0" w:space="0" w:color="auto"/>
        <w:bottom w:val="none" w:sz="0" w:space="0" w:color="auto"/>
        <w:right w:val="none" w:sz="0" w:space="0" w:color="auto"/>
      </w:divBdr>
    </w:div>
    <w:div w:id="340857428">
      <w:bodyDiv w:val="1"/>
      <w:marLeft w:val="0"/>
      <w:marRight w:val="0"/>
      <w:marTop w:val="0"/>
      <w:marBottom w:val="0"/>
      <w:divBdr>
        <w:top w:val="none" w:sz="0" w:space="0" w:color="auto"/>
        <w:left w:val="none" w:sz="0" w:space="0" w:color="auto"/>
        <w:bottom w:val="none" w:sz="0" w:space="0" w:color="auto"/>
        <w:right w:val="none" w:sz="0" w:space="0" w:color="auto"/>
      </w:divBdr>
    </w:div>
    <w:div w:id="369571104">
      <w:bodyDiv w:val="1"/>
      <w:marLeft w:val="0"/>
      <w:marRight w:val="0"/>
      <w:marTop w:val="0"/>
      <w:marBottom w:val="0"/>
      <w:divBdr>
        <w:top w:val="none" w:sz="0" w:space="0" w:color="auto"/>
        <w:left w:val="none" w:sz="0" w:space="0" w:color="auto"/>
        <w:bottom w:val="none" w:sz="0" w:space="0" w:color="auto"/>
        <w:right w:val="none" w:sz="0" w:space="0" w:color="auto"/>
      </w:divBdr>
    </w:div>
    <w:div w:id="616064058">
      <w:bodyDiv w:val="1"/>
      <w:marLeft w:val="0"/>
      <w:marRight w:val="0"/>
      <w:marTop w:val="0"/>
      <w:marBottom w:val="0"/>
      <w:divBdr>
        <w:top w:val="none" w:sz="0" w:space="0" w:color="auto"/>
        <w:left w:val="none" w:sz="0" w:space="0" w:color="auto"/>
        <w:bottom w:val="none" w:sz="0" w:space="0" w:color="auto"/>
        <w:right w:val="none" w:sz="0" w:space="0" w:color="auto"/>
      </w:divBdr>
    </w:div>
    <w:div w:id="675230712">
      <w:bodyDiv w:val="1"/>
      <w:marLeft w:val="0"/>
      <w:marRight w:val="0"/>
      <w:marTop w:val="0"/>
      <w:marBottom w:val="0"/>
      <w:divBdr>
        <w:top w:val="none" w:sz="0" w:space="0" w:color="auto"/>
        <w:left w:val="none" w:sz="0" w:space="0" w:color="auto"/>
        <w:bottom w:val="none" w:sz="0" w:space="0" w:color="auto"/>
        <w:right w:val="none" w:sz="0" w:space="0" w:color="auto"/>
      </w:divBdr>
    </w:div>
    <w:div w:id="711224787">
      <w:bodyDiv w:val="1"/>
      <w:marLeft w:val="0"/>
      <w:marRight w:val="0"/>
      <w:marTop w:val="0"/>
      <w:marBottom w:val="0"/>
      <w:divBdr>
        <w:top w:val="none" w:sz="0" w:space="0" w:color="auto"/>
        <w:left w:val="none" w:sz="0" w:space="0" w:color="auto"/>
        <w:bottom w:val="none" w:sz="0" w:space="0" w:color="auto"/>
        <w:right w:val="none" w:sz="0" w:space="0" w:color="auto"/>
      </w:divBdr>
    </w:div>
    <w:div w:id="823199839">
      <w:bodyDiv w:val="1"/>
      <w:marLeft w:val="0"/>
      <w:marRight w:val="0"/>
      <w:marTop w:val="0"/>
      <w:marBottom w:val="0"/>
      <w:divBdr>
        <w:top w:val="none" w:sz="0" w:space="0" w:color="auto"/>
        <w:left w:val="none" w:sz="0" w:space="0" w:color="auto"/>
        <w:bottom w:val="none" w:sz="0" w:space="0" w:color="auto"/>
        <w:right w:val="none" w:sz="0" w:space="0" w:color="auto"/>
      </w:divBdr>
    </w:div>
    <w:div w:id="1023631605">
      <w:bodyDiv w:val="1"/>
      <w:marLeft w:val="0"/>
      <w:marRight w:val="0"/>
      <w:marTop w:val="0"/>
      <w:marBottom w:val="0"/>
      <w:divBdr>
        <w:top w:val="none" w:sz="0" w:space="0" w:color="auto"/>
        <w:left w:val="none" w:sz="0" w:space="0" w:color="auto"/>
        <w:bottom w:val="none" w:sz="0" w:space="0" w:color="auto"/>
        <w:right w:val="none" w:sz="0" w:space="0" w:color="auto"/>
      </w:divBdr>
    </w:div>
    <w:div w:id="1075393686">
      <w:bodyDiv w:val="1"/>
      <w:marLeft w:val="0"/>
      <w:marRight w:val="0"/>
      <w:marTop w:val="0"/>
      <w:marBottom w:val="0"/>
      <w:divBdr>
        <w:top w:val="none" w:sz="0" w:space="0" w:color="auto"/>
        <w:left w:val="none" w:sz="0" w:space="0" w:color="auto"/>
        <w:bottom w:val="none" w:sz="0" w:space="0" w:color="auto"/>
        <w:right w:val="none" w:sz="0" w:space="0" w:color="auto"/>
      </w:divBdr>
    </w:div>
    <w:div w:id="1232734558">
      <w:bodyDiv w:val="1"/>
      <w:marLeft w:val="0"/>
      <w:marRight w:val="0"/>
      <w:marTop w:val="0"/>
      <w:marBottom w:val="0"/>
      <w:divBdr>
        <w:top w:val="none" w:sz="0" w:space="0" w:color="auto"/>
        <w:left w:val="none" w:sz="0" w:space="0" w:color="auto"/>
        <w:bottom w:val="none" w:sz="0" w:space="0" w:color="auto"/>
        <w:right w:val="none" w:sz="0" w:space="0" w:color="auto"/>
      </w:divBdr>
    </w:div>
    <w:div w:id="1498306375">
      <w:bodyDiv w:val="1"/>
      <w:marLeft w:val="0"/>
      <w:marRight w:val="0"/>
      <w:marTop w:val="0"/>
      <w:marBottom w:val="0"/>
      <w:divBdr>
        <w:top w:val="none" w:sz="0" w:space="0" w:color="auto"/>
        <w:left w:val="none" w:sz="0" w:space="0" w:color="auto"/>
        <w:bottom w:val="none" w:sz="0" w:space="0" w:color="auto"/>
        <w:right w:val="none" w:sz="0" w:space="0" w:color="auto"/>
      </w:divBdr>
    </w:div>
    <w:div w:id="1609237049">
      <w:bodyDiv w:val="1"/>
      <w:marLeft w:val="0"/>
      <w:marRight w:val="0"/>
      <w:marTop w:val="0"/>
      <w:marBottom w:val="0"/>
      <w:divBdr>
        <w:top w:val="none" w:sz="0" w:space="0" w:color="auto"/>
        <w:left w:val="none" w:sz="0" w:space="0" w:color="auto"/>
        <w:bottom w:val="none" w:sz="0" w:space="0" w:color="auto"/>
        <w:right w:val="none" w:sz="0" w:space="0" w:color="auto"/>
      </w:divBdr>
    </w:div>
    <w:div w:id="1791169317">
      <w:bodyDiv w:val="1"/>
      <w:marLeft w:val="0"/>
      <w:marRight w:val="0"/>
      <w:marTop w:val="0"/>
      <w:marBottom w:val="0"/>
      <w:divBdr>
        <w:top w:val="none" w:sz="0" w:space="0" w:color="auto"/>
        <w:left w:val="none" w:sz="0" w:space="0" w:color="auto"/>
        <w:bottom w:val="none" w:sz="0" w:space="0" w:color="auto"/>
        <w:right w:val="none" w:sz="0" w:space="0" w:color="auto"/>
      </w:divBdr>
    </w:div>
    <w:div w:id="1903128530">
      <w:bodyDiv w:val="1"/>
      <w:marLeft w:val="0"/>
      <w:marRight w:val="0"/>
      <w:marTop w:val="0"/>
      <w:marBottom w:val="0"/>
      <w:divBdr>
        <w:top w:val="none" w:sz="0" w:space="0" w:color="auto"/>
        <w:left w:val="none" w:sz="0" w:space="0" w:color="auto"/>
        <w:bottom w:val="none" w:sz="0" w:space="0" w:color="auto"/>
        <w:right w:val="none" w:sz="0" w:space="0" w:color="auto"/>
      </w:divBdr>
    </w:div>
    <w:div w:id="1938052883">
      <w:bodyDiv w:val="1"/>
      <w:marLeft w:val="0"/>
      <w:marRight w:val="0"/>
      <w:marTop w:val="0"/>
      <w:marBottom w:val="0"/>
      <w:divBdr>
        <w:top w:val="none" w:sz="0" w:space="0" w:color="auto"/>
        <w:left w:val="none" w:sz="0" w:space="0" w:color="auto"/>
        <w:bottom w:val="none" w:sz="0" w:space="0" w:color="auto"/>
        <w:right w:val="none" w:sz="0" w:space="0" w:color="auto"/>
      </w:divBdr>
    </w:div>
    <w:div w:id="2061634658">
      <w:bodyDiv w:val="1"/>
      <w:marLeft w:val="0"/>
      <w:marRight w:val="0"/>
      <w:marTop w:val="0"/>
      <w:marBottom w:val="0"/>
      <w:divBdr>
        <w:top w:val="none" w:sz="0" w:space="0" w:color="auto"/>
        <w:left w:val="none" w:sz="0" w:space="0" w:color="auto"/>
        <w:bottom w:val="none" w:sz="0" w:space="0" w:color="auto"/>
        <w:right w:val="none" w:sz="0" w:space="0" w:color="auto"/>
      </w:divBdr>
    </w:div>
    <w:div w:id="213647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8" ma:contentTypeDescription="Create a new document." ma:contentTypeScope="" ma:versionID="df1d6c6d285cd96b3336cc94b7ef54e2">
  <xsd:schema xmlns:xsd="http://www.w3.org/2001/XMLSchema" xmlns:xs="http://www.w3.org/2001/XMLSchema" xmlns:p="http://schemas.microsoft.com/office/2006/metadata/properties" xmlns:ns3="6e49b178-b109-40ec-ba3a-08c7a1a9acc4" targetNamespace="http://schemas.microsoft.com/office/2006/metadata/properties" ma:root="true" ma:fieldsID="e796d9bcf9fe1d40124af98917b6be32" ns3:_="">
    <xsd:import namespace="6e49b178-b109-40ec-ba3a-08c7a1a9ac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248F9-2368-4E69-8797-CEC637048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C88B9D-BB16-494E-9AA8-271AC472D0DB}">
  <ds:schemaRefs>
    <ds:schemaRef ds:uri="http://schemas.microsoft.com/sharepoint/v3/contenttype/forms"/>
  </ds:schemaRefs>
</ds:datastoreItem>
</file>

<file path=customXml/itemProps3.xml><?xml version="1.0" encoding="utf-8"?>
<ds:datastoreItem xmlns:ds="http://schemas.openxmlformats.org/officeDocument/2006/customXml" ds:itemID="{3C89EA73-66A0-42DD-B7E6-8D8FAB393B27}">
  <ds:schemaRefs>
    <ds:schemaRef ds:uri="http://schemas.microsoft.com/office/infopath/2007/PartnerControls"/>
    <ds:schemaRef ds:uri="6e49b178-b109-40ec-ba3a-08c7a1a9acc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 Kapesha</dc:creator>
  <cp:keywords/>
  <dc:description/>
  <cp:lastModifiedBy>Munshya Zoya M. Masocha</cp:lastModifiedBy>
  <cp:revision>4</cp:revision>
  <cp:lastPrinted>2019-10-21T12:46:00Z</cp:lastPrinted>
  <dcterms:created xsi:type="dcterms:W3CDTF">2019-10-21T15:30:00Z</dcterms:created>
  <dcterms:modified xsi:type="dcterms:W3CDTF">2019-10-21T15:31:00Z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