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FC06F7" w14:paraId="74D02AAE" w14:textId="77777777" w:rsidTr="004061ED">
        <w:trPr>
          <w:trHeight w:val="515"/>
        </w:trPr>
        <w:tc>
          <w:tcPr>
            <w:tcW w:w="4536" w:type="dxa"/>
            <w:shd w:val="clear" w:color="auto" w:fill="44546A" w:themeFill="text2"/>
          </w:tcPr>
          <w:p w14:paraId="07DB73CF" w14:textId="305F0C24" w:rsidR="0088042E" w:rsidRPr="00FC06F7" w:rsidRDefault="0088042E" w:rsidP="00EA5707">
            <w:pPr>
              <w:rPr>
                <w:rFonts w:ascii="Arial" w:hAnsi="Arial" w:cs="Arial"/>
                <w:b/>
                <w:bCs/>
                <w:color w:val="000000" w:themeColor="text1"/>
                <w:lang w:val="en-GB"/>
              </w:rPr>
            </w:pPr>
            <w:bookmarkStart w:id="0" w:name="_GoBack"/>
            <w:bookmarkEnd w:id="0"/>
            <w:r w:rsidRPr="00FC06F7">
              <w:rPr>
                <w:rFonts w:ascii="Arial" w:hAnsi="Arial" w:cs="Arial"/>
                <w:b/>
                <w:bCs/>
                <w:color w:val="000000" w:themeColor="text1"/>
                <w:lang w:val="en-GB"/>
              </w:rPr>
              <w:t>Name of Donor</w:t>
            </w:r>
          </w:p>
        </w:tc>
        <w:tc>
          <w:tcPr>
            <w:tcW w:w="4536" w:type="dxa"/>
            <w:shd w:val="clear" w:color="auto" w:fill="44546A" w:themeFill="text2"/>
          </w:tcPr>
          <w:p w14:paraId="0B18D5A4" w14:textId="36CD950A" w:rsidR="0088042E" w:rsidRPr="00FC06F7" w:rsidRDefault="0088042E" w:rsidP="00EA5707">
            <w:pPr>
              <w:rPr>
                <w:rFonts w:ascii="Arial" w:hAnsi="Arial" w:cs="Arial"/>
                <w:b/>
                <w:bCs/>
                <w:color w:val="000000" w:themeColor="text1"/>
                <w:lang w:val="en-GB"/>
              </w:rPr>
            </w:pPr>
            <w:r w:rsidRPr="00FC06F7">
              <w:rPr>
                <w:rFonts w:ascii="Arial" w:hAnsi="Arial" w:cs="Arial"/>
                <w:b/>
                <w:bCs/>
                <w:color w:val="000000" w:themeColor="text1"/>
                <w:lang w:val="en-GB"/>
              </w:rPr>
              <w:t>Name of Project</w:t>
            </w:r>
          </w:p>
        </w:tc>
      </w:tr>
      <w:tr w:rsidR="0088042E" w:rsidRPr="00FC06F7" w14:paraId="0EF239F4" w14:textId="77777777" w:rsidTr="0088042E">
        <w:trPr>
          <w:trHeight w:val="70"/>
        </w:trPr>
        <w:tc>
          <w:tcPr>
            <w:tcW w:w="4536" w:type="dxa"/>
          </w:tcPr>
          <w:p w14:paraId="715F3A9B" w14:textId="4A8EEBB7" w:rsidR="0088042E" w:rsidRPr="00E50CB0" w:rsidRDefault="00B1557A" w:rsidP="00EA5707">
            <w:pPr>
              <w:rPr>
                <w:rFonts w:ascii="Arial" w:hAnsi="Arial" w:cs="Arial"/>
                <w:b/>
                <w:lang w:val="en-GB"/>
              </w:rPr>
            </w:pPr>
            <w:r w:rsidRPr="00E50CB0">
              <w:rPr>
                <w:rFonts w:ascii="Arial" w:hAnsi="Arial" w:cs="Arial"/>
                <w:b/>
                <w:lang w:val="en-GB"/>
              </w:rPr>
              <w:t>African Development Bank (</w:t>
            </w:r>
            <w:r w:rsidR="004D705A" w:rsidRPr="00E50CB0">
              <w:rPr>
                <w:rFonts w:ascii="Arial" w:hAnsi="Arial" w:cs="Arial"/>
                <w:b/>
                <w:lang w:val="en-GB"/>
              </w:rPr>
              <w:t>AfDB)</w:t>
            </w:r>
          </w:p>
        </w:tc>
        <w:tc>
          <w:tcPr>
            <w:tcW w:w="4536" w:type="dxa"/>
          </w:tcPr>
          <w:p w14:paraId="1BF3CA04" w14:textId="5F7D8847" w:rsidR="0088042E" w:rsidRPr="00FC06F7" w:rsidRDefault="00FB2EF6" w:rsidP="00EA5707">
            <w:pPr>
              <w:rPr>
                <w:rFonts w:ascii="Arial" w:hAnsi="Arial" w:cs="Arial"/>
                <w:lang w:val="en-GB"/>
              </w:rPr>
            </w:pPr>
            <w:r w:rsidRPr="00FC06F7">
              <w:rPr>
                <w:rFonts w:ascii="Arial" w:hAnsi="Arial" w:cs="Arial"/>
                <w:lang w:val="en-GB"/>
              </w:rPr>
              <w:t>Statistical Capacity Building Programme</w:t>
            </w:r>
            <w:r w:rsidR="002F7766" w:rsidRPr="00FC06F7">
              <w:rPr>
                <w:rFonts w:ascii="Arial" w:hAnsi="Arial" w:cs="Arial"/>
                <w:lang w:val="en-GB"/>
              </w:rPr>
              <w:t xml:space="preserve"> (SCB 4.2)</w:t>
            </w:r>
          </w:p>
        </w:tc>
      </w:tr>
      <w:tr w:rsidR="0088042E" w:rsidRPr="00FC06F7" w14:paraId="367372E1" w14:textId="77777777" w:rsidTr="0088042E">
        <w:trPr>
          <w:trHeight w:val="70"/>
        </w:trPr>
        <w:tc>
          <w:tcPr>
            <w:tcW w:w="4536" w:type="dxa"/>
          </w:tcPr>
          <w:p w14:paraId="77A16C34" w14:textId="6F344DC1" w:rsidR="0088042E" w:rsidRPr="00FC06F7" w:rsidRDefault="0088042E" w:rsidP="00EA5707">
            <w:pPr>
              <w:rPr>
                <w:rFonts w:ascii="Arial" w:hAnsi="Arial" w:cs="Arial"/>
                <w:lang w:val="en-GB"/>
              </w:rPr>
            </w:pPr>
            <w:r w:rsidRPr="00FC06F7">
              <w:rPr>
                <w:rFonts w:ascii="Arial" w:hAnsi="Arial" w:cs="Arial"/>
                <w:b/>
                <w:bCs/>
                <w:lang w:val="en-GB"/>
              </w:rPr>
              <w:t>Grant start date</w:t>
            </w:r>
            <w:r w:rsidRPr="00FC06F7">
              <w:rPr>
                <w:rFonts w:ascii="Arial" w:hAnsi="Arial" w:cs="Arial"/>
                <w:lang w:val="en-GB"/>
              </w:rPr>
              <w:t xml:space="preserve">: </w:t>
            </w:r>
            <w:r w:rsidRPr="00FC06F7">
              <w:rPr>
                <w:rFonts w:ascii="Arial" w:hAnsi="Arial" w:cs="Arial"/>
                <w:lang w:val="en-GB"/>
              </w:rPr>
              <w:tab/>
            </w:r>
          </w:p>
        </w:tc>
        <w:tc>
          <w:tcPr>
            <w:tcW w:w="4536" w:type="dxa"/>
          </w:tcPr>
          <w:p w14:paraId="06C10898" w14:textId="5FA2DA96" w:rsidR="0088042E" w:rsidRPr="00FC06F7" w:rsidRDefault="0088042E" w:rsidP="00EA5707">
            <w:pPr>
              <w:rPr>
                <w:rFonts w:ascii="Arial" w:hAnsi="Arial" w:cs="Arial"/>
                <w:lang w:val="en-GB"/>
              </w:rPr>
            </w:pPr>
            <w:r w:rsidRPr="00FC06F7">
              <w:rPr>
                <w:rFonts w:ascii="Arial" w:hAnsi="Arial" w:cs="Arial"/>
                <w:lang w:val="en-GB"/>
              </w:rPr>
              <w:t>1</w:t>
            </w:r>
            <w:r w:rsidRPr="00FC06F7">
              <w:rPr>
                <w:rFonts w:ascii="Arial" w:hAnsi="Arial" w:cs="Arial"/>
                <w:vertAlign w:val="superscript"/>
                <w:lang w:val="en-GB"/>
              </w:rPr>
              <w:t>st</w:t>
            </w:r>
            <w:r w:rsidRPr="00FC06F7">
              <w:rPr>
                <w:rFonts w:ascii="Arial" w:hAnsi="Arial" w:cs="Arial"/>
                <w:lang w:val="en-GB"/>
              </w:rPr>
              <w:t xml:space="preserve"> </w:t>
            </w:r>
            <w:r w:rsidR="002F7766" w:rsidRPr="00FC06F7">
              <w:rPr>
                <w:rFonts w:ascii="Arial" w:hAnsi="Arial" w:cs="Arial"/>
                <w:lang w:val="en-GB"/>
              </w:rPr>
              <w:t>April</w:t>
            </w:r>
            <w:r w:rsidRPr="00FC06F7">
              <w:rPr>
                <w:rFonts w:ascii="Arial" w:hAnsi="Arial" w:cs="Arial"/>
                <w:lang w:val="en-GB"/>
              </w:rPr>
              <w:t>,</w:t>
            </w:r>
            <w:r w:rsidR="00DB0D69" w:rsidRPr="00FC06F7">
              <w:rPr>
                <w:rFonts w:ascii="Arial" w:hAnsi="Arial" w:cs="Arial"/>
                <w:lang w:val="en-GB"/>
              </w:rPr>
              <w:t xml:space="preserve"> </w:t>
            </w:r>
            <w:r w:rsidRPr="00FC06F7">
              <w:rPr>
                <w:rFonts w:ascii="Arial" w:hAnsi="Arial" w:cs="Arial"/>
                <w:lang w:val="en-GB"/>
              </w:rPr>
              <w:t>2016</w:t>
            </w:r>
          </w:p>
        </w:tc>
      </w:tr>
      <w:tr w:rsidR="0088042E" w:rsidRPr="00FC06F7" w14:paraId="1D1BDB24" w14:textId="77777777" w:rsidTr="0088042E">
        <w:trPr>
          <w:trHeight w:val="70"/>
        </w:trPr>
        <w:tc>
          <w:tcPr>
            <w:tcW w:w="4536" w:type="dxa"/>
            <w:vAlign w:val="center"/>
          </w:tcPr>
          <w:p w14:paraId="5FED7F95" w14:textId="4BF53C8F" w:rsidR="0088042E" w:rsidRPr="00FC06F7" w:rsidRDefault="0088042E" w:rsidP="00EA5707">
            <w:pPr>
              <w:rPr>
                <w:rFonts w:ascii="Arial" w:hAnsi="Arial" w:cs="Arial"/>
                <w:lang w:val="en-GB"/>
              </w:rPr>
            </w:pPr>
            <w:r w:rsidRPr="00FC06F7">
              <w:rPr>
                <w:rFonts w:ascii="Arial" w:hAnsi="Arial" w:cs="Arial"/>
                <w:b/>
                <w:bCs/>
                <w:color w:val="000000"/>
                <w:lang w:val="en-GB"/>
              </w:rPr>
              <w:t>Grant End date:</w:t>
            </w:r>
          </w:p>
        </w:tc>
        <w:tc>
          <w:tcPr>
            <w:tcW w:w="4536" w:type="dxa"/>
            <w:vAlign w:val="center"/>
          </w:tcPr>
          <w:p w14:paraId="35446D24" w14:textId="10CB67C2" w:rsidR="0088042E" w:rsidRPr="00FC06F7" w:rsidRDefault="0088042E" w:rsidP="00EA5707">
            <w:pPr>
              <w:rPr>
                <w:rFonts w:ascii="Arial" w:hAnsi="Arial" w:cs="Arial"/>
                <w:lang w:val="en-GB"/>
              </w:rPr>
            </w:pPr>
            <w:r w:rsidRPr="00FC06F7">
              <w:rPr>
                <w:rFonts w:ascii="Arial" w:hAnsi="Arial" w:cs="Arial"/>
                <w:color w:val="000000"/>
                <w:lang w:val="en-GB"/>
              </w:rPr>
              <w:t>3</w:t>
            </w:r>
            <w:r w:rsidR="00DB0D69" w:rsidRPr="00FC06F7">
              <w:rPr>
                <w:rFonts w:ascii="Arial" w:hAnsi="Arial" w:cs="Arial"/>
                <w:color w:val="000000"/>
                <w:lang w:val="en-GB"/>
              </w:rPr>
              <w:t>0 June</w:t>
            </w:r>
            <w:r w:rsidRPr="00FC06F7">
              <w:rPr>
                <w:rFonts w:ascii="Arial" w:hAnsi="Arial" w:cs="Arial"/>
                <w:color w:val="000000"/>
                <w:lang w:val="en-GB"/>
              </w:rPr>
              <w:t>,</w:t>
            </w:r>
            <w:r w:rsidR="00DB0D69" w:rsidRPr="00FC06F7">
              <w:rPr>
                <w:rFonts w:ascii="Arial" w:hAnsi="Arial" w:cs="Arial"/>
                <w:color w:val="000000"/>
                <w:lang w:val="en-GB"/>
              </w:rPr>
              <w:t xml:space="preserve"> </w:t>
            </w:r>
            <w:r w:rsidRPr="00FC06F7">
              <w:rPr>
                <w:rFonts w:ascii="Arial" w:hAnsi="Arial" w:cs="Arial"/>
                <w:color w:val="000000"/>
                <w:lang w:val="en-GB"/>
              </w:rPr>
              <w:t>20</w:t>
            </w:r>
            <w:r w:rsidR="00DB0D69" w:rsidRPr="00FC06F7">
              <w:rPr>
                <w:rFonts w:ascii="Arial" w:hAnsi="Arial" w:cs="Arial"/>
                <w:color w:val="000000"/>
                <w:lang w:val="en-GB"/>
              </w:rPr>
              <w:t>20</w:t>
            </w:r>
          </w:p>
        </w:tc>
      </w:tr>
      <w:tr w:rsidR="0088042E" w:rsidRPr="00FC06F7" w14:paraId="0C48C495" w14:textId="77777777" w:rsidTr="0088042E">
        <w:trPr>
          <w:trHeight w:val="70"/>
        </w:trPr>
        <w:tc>
          <w:tcPr>
            <w:tcW w:w="4536" w:type="dxa"/>
            <w:vAlign w:val="center"/>
          </w:tcPr>
          <w:p w14:paraId="589D8A69" w14:textId="1A210627" w:rsidR="0088042E" w:rsidRPr="00FC06F7" w:rsidRDefault="0088042E" w:rsidP="00EA5707">
            <w:pPr>
              <w:rPr>
                <w:rFonts w:ascii="Arial" w:hAnsi="Arial" w:cs="Arial"/>
                <w:lang w:val="en-GB"/>
              </w:rPr>
            </w:pPr>
            <w:r w:rsidRPr="00FC06F7">
              <w:rPr>
                <w:rFonts w:ascii="Arial" w:hAnsi="Arial" w:cs="Arial"/>
                <w:b/>
                <w:bCs/>
                <w:color w:val="000000"/>
                <w:lang w:val="en-GB"/>
              </w:rPr>
              <w:t>Grant Amount:</w:t>
            </w:r>
          </w:p>
        </w:tc>
        <w:tc>
          <w:tcPr>
            <w:tcW w:w="4536" w:type="dxa"/>
            <w:vAlign w:val="center"/>
          </w:tcPr>
          <w:p w14:paraId="2ED3BEBA" w14:textId="4D8DD98B" w:rsidR="0088042E" w:rsidRPr="00FC06F7" w:rsidRDefault="0088042E" w:rsidP="00EA5707">
            <w:pPr>
              <w:rPr>
                <w:rFonts w:ascii="Arial" w:hAnsi="Arial" w:cs="Arial"/>
                <w:lang w:val="en-GB"/>
              </w:rPr>
            </w:pPr>
            <w:r w:rsidRPr="00FC06F7">
              <w:rPr>
                <w:rFonts w:ascii="Arial" w:hAnsi="Arial" w:cs="Arial"/>
                <w:color w:val="000000"/>
                <w:lang w:val="en-GB"/>
              </w:rPr>
              <w:t>USD</w:t>
            </w:r>
            <w:r w:rsidR="002F7766" w:rsidRPr="00FC06F7">
              <w:rPr>
                <w:rFonts w:ascii="Arial" w:hAnsi="Arial" w:cs="Arial"/>
                <w:color w:val="000000"/>
                <w:lang w:val="en-GB"/>
              </w:rPr>
              <w:t xml:space="preserve"> 2,080,850</w:t>
            </w:r>
          </w:p>
        </w:tc>
      </w:tr>
      <w:tr w:rsidR="0088042E" w:rsidRPr="00FC06F7" w14:paraId="61C3A07E" w14:textId="77777777" w:rsidTr="0088042E">
        <w:trPr>
          <w:trHeight w:val="70"/>
        </w:trPr>
        <w:tc>
          <w:tcPr>
            <w:tcW w:w="4536" w:type="dxa"/>
            <w:vAlign w:val="center"/>
          </w:tcPr>
          <w:p w14:paraId="0E3D1E96" w14:textId="7FF5D597" w:rsidR="0088042E" w:rsidRPr="00FC06F7" w:rsidRDefault="0088042E" w:rsidP="00EA5707">
            <w:pPr>
              <w:rPr>
                <w:rFonts w:ascii="Arial" w:hAnsi="Arial" w:cs="Arial"/>
                <w:lang w:val="en-GB"/>
              </w:rPr>
            </w:pPr>
            <w:r w:rsidRPr="00FC06F7">
              <w:rPr>
                <w:rFonts w:ascii="Arial" w:hAnsi="Arial" w:cs="Arial"/>
                <w:b/>
                <w:bCs/>
                <w:color w:val="000000"/>
                <w:lang w:val="en-GB"/>
              </w:rPr>
              <w:t>Disbursed before current year:</w:t>
            </w:r>
            <w:r w:rsidRPr="00FC06F7">
              <w:rPr>
                <w:rFonts w:ascii="Arial" w:hAnsi="Arial" w:cs="Arial"/>
                <w:color w:val="000000"/>
                <w:lang w:val="en-GB"/>
              </w:rPr>
              <w:t xml:space="preserve"> (2019)</w:t>
            </w:r>
          </w:p>
        </w:tc>
        <w:tc>
          <w:tcPr>
            <w:tcW w:w="4536" w:type="dxa"/>
            <w:vAlign w:val="center"/>
          </w:tcPr>
          <w:p w14:paraId="59CB27D3" w14:textId="1A04F754" w:rsidR="0088042E" w:rsidRPr="00FC06F7" w:rsidRDefault="004C597F" w:rsidP="00EA5707">
            <w:pPr>
              <w:rPr>
                <w:rFonts w:ascii="Arial" w:hAnsi="Arial" w:cs="Arial"/>
                <w:lang w:val="en-GB"/>
              </w:rPr>
            </w:pPr>
            <w:r w:rsidRPr="00FC06F7">
              <w:rPr>
                <w:rFonts w:ascii="Arial" w:hAnsi="Arial" w:cs="Arial"/>
                <w:color w:val="000000"/>
                <w:lang w:val="en-GB"/>
              </w:rPr>
              <w:t>USD 2,080,850</w:t>
            </w:r>
          </w:p>
        </w:tc>
      </w:tr>
      <w:tr w:rsidR="0088042E" w:rsidRPr="00FC06F7" w14:paraId="70FD73D1" w14:textId="77777777" w:rsidTr="0088042E">
        <w:trPr>
          <w:trHeight w:val="70"/>
        </w:trPr>
        <w:tc>
          <w:tcPr>
            <w:tcW w:w="4536" w:type="dxa"/>
            <w:vAlign w:val="center"/>
          </w:tcPr>
          <w:p w14:paraId="59346465" w14:textId="150FF061" w:rsidR="0088042E" w:rsidRPr="00FC06F7" w:rsidRDefault="0088042E" w:rsidP="00EA5707">
            <w:pPr>
              <w:rPr>
                <w:rFonts w:ascii="Arial" w:hAnsi="Arial" w:cs="Arial"/>
                <w:lang w:val="en-GB"/>
              </w:rPr>
            </w:pPr>
            <w:r w:rsidRPr="00FC06F7">
              <w:rPr>
                <w:rFonts w:ascii="Arial" w:hAnsi="Arial" w:cs="Arial"/>
                <w:b/>
                <w:bCs/>
                <w:color w:val="000000"/>
                <w:lang w:val="en-GB"/>
              </w:rPr>
              <w:t>Balance:</w:t>
            </w:r>
          </w:p>
        </w:tc>
        <w:tc>
          <w:tcPr>
            <w:tcW w:w="4536" w:type="dxa"/>
            <w:vAlign w:val="center"/>
          </w:tcPr>
          <w:p w14:paraId="49FC595F" w14:textId="7BA0795F" w:rsidR="0088042E" w:rsidRPr="00FC06F7" w:rsidRDefault="004C597F" w:rsidP="00EA5707">
            <w:pPr>
              <w:rPr>
                <w:rFonts w:ascii="Arial" w:hAnsi="Arial" w:cs="Arial"/>
                <w:lang w:val="en-GB"/>
              </w:rPr>
            </w:pPr>
            <w:r w:rsidRPr="00FC06F7">
              <w:rPr>
                <w:rFonts w:ascii="Arial" w:hAnsi="Arial" w:cs="Arial"/>
                <w:lang w:val="en-GB"/>
              </w:rPr>
              <w:t>Nil</w:t>
            </w:r>
          </w:p>
        </w:tc>
      </w:tr>
      <w:tr w:rsidR="0088042E" w:rsidRPr="00FC06F7" w14:paraId="542C5901" w14:textId="77777777" w:rsidTr="0088042E">
        <w:trPr>
          <w:trHeight w:val="70"/>
        </w:trPr>
        <w:tc>
          <w:tcPr>
            <w:tcW w:w="4536" w:type="dxa"/>
            <w:vAlign w:val="center"/>
          </w:tcPr>
          <w:p w14:paraId="5C6A47F4" w14:textId="1F8569B8" w:rsidR="0088042E" w:rsidRPr="00FC06F7" w:rsidRDefault="0088042E" w:rsidP="00EA5707">
            <w:pPr>
              <w:rPr>
                <w:rFonts w:ascii="Arial" w:hAnsi="Arial" w:cs="Arial"/>
                <w:lang w:val="en-GB"/>
              </w:rPr>
            </w:pPr>
            <w:r w:rsidRPr="00FC06F7">
              <w:rPr>
                <w:rFonts w:ascii="Arial" w:hAnsi="Arial" w:cs="Arial"/>
                <w:b/>
                <w:bCs/>
                <w:color w:val="000000"/>
                <w:lang w:val="en-GB"/>
              </w:rPr>
              <w:t>Disbursed in 2019</w:t>
            </w:r>
            <w:r w:rsidRPr="00FC06F7">
              <w:rPr>
                <w:rFonts w:ascii="Arial" w:hAnsi="Arial" w:cs="Arial"/>
                <w:color w:val="000000"/>
                <w:lang w:val="en-GB"/>
              </w:rPr>
              <w:t xml:space="preserve">: </w:t>
            </w:r>
          </w:p>
        </w:tc>
        <w:tc>
          <w:tcPr>
            <w:tcW w:w="4536" w:type="dxa"/>
            <w:vAlign w:val="center"/>
          </w:tcPr>
          <w:p w14:paraId="74574CDB" w14:textId="56679782" w:rsidR="0088042E" w:rsidRPr="00FC06F7" w:rsidRDefault="004C597F" w:rsidP="00EA5707">
            <w:pPr>
              <w:rPr>
                <w:rFonts w:ascii="Arial" w:hAnsi="Arial" w:cs="Arial"/>
                <w:lang w:val="en-GB"/>
              </w:rPr>
            </w:pPr>
            <w:r w:rsidRPr="00FC06F7">
              <w:rPr>
                <w:rFonts w:ascii="Arial" w:hAnsi="Arial" w:cs="Arial"/>
                <w:lang w:val="en-GB"/>
              </w:rPr>
              <w:t>Nil</w:t>
            </w:r>
          </w:p>
        </w:tc>
      </w:tr>
      <w:tr w:rsidR="0088042E" w:rsidRPr="00FC06F7" w14:paraId="522A9FE2" w14:textId="77777777" w:rsidTr="0088042E">
        <w:trPr>
          <w:trHeight w:val="70"/>
        </w:trPr>
        <w:tc>
          <w:tcPr>
            <w:tcW w:w="4536" w:type="dxa"/>
            <w:vAlign w:val="center"/>
          </w:tcPr>
          <w:p w14:paraId="3F3E1030" w14:textId="5C357F53" w:rsidR="0088042E" w:rsidRPr="00FC06F7" w:rsidRDefault="0088042E" w:rsidP="00EA5707">
            <w:pPr>
              <w:rPr>
                <w:rFonts w:ascii="Arial" w:hAnsi="Arial" w:cs="Arial"/>
                <w:lang w:val="en-GB"/>
              </w:rPr>
            </w:pPr>
            <w:r w:rsidRPr="00FC06F7">
              <w:rPr>
                <w:rFonts w:ascii="Arial" w:hAnsi="Arial" w:cs="Arial"/>
                <w:b/>
                <w:bCs/>
                <w:color w:val="000000"/>
                <w:lang w:val="en-GB"/>
              </w:rPr>
              <w:t>Balance yet to be disbursed:</w:t>
            </w:r>
          </w:p>
        </w:tc>
        <w:tc>
          <w:tcPr>
            <w:tcW w:w="4536" w:type="dxa"/>
            <w:vAlign w:val="center"/>
          </w:tcPr>
          <w:p w14:paraId="4AFFCB64" w14:textId="20112197" w:rsidR="0088042E" w:rsidRPr="00FC06F7" w:rsidRDefault="004C597F" w:rsidP="00EA5707">
            <w:pPr>
              <w:rPr>
                <w:rFonts w:ascii="Arial" w:hAnsi="Arial" w:cs="Arial"/>
                <w:lang w:val="en-GB"/>
              </w:rPr>
            </w:pPr>
            <w:r w:rsidRPr="00FC06F7">
              <w:rPr>
                <w:rFonts w:ascii="Arial" w:hAnsi="Arial" w:cs="Arial"/>
                <w:lang w:val="en-GB"/>
              </w:rPr>
              <w:t>Nil</w:t>
            </w:r>
          </w:p>
        </w:tc>
      </w:tr>
    </w:tbl>
    <w:p w14:paraId="53F367F0" w14:textId="27317155" w:rsidR="00E20F23" w:rsidRPr="00FC06F7" w:rsidRDefault="00E20F23">
      <w:pPr>
        <w:rPr>
          <w:rFonts w:ascii="Arial" w:hAnsi="Arial" w:cs="Arial"/>
        </w:rPr>
      </w:pPr>
    </w:p>
    <w:p w14:paraId="7E58501E" w14:textId="067D8708" w:rsidR="00852CDB" w:rsidRPr="00FC06F7" w:rsidRDefault="0088042E" w:rsidP="00B43A07">
      <w:pPr>
        <w:pStyle w:val="ListParagraph"/>
        <w:numPr>
          <w:ilvl w:val="0"/>
          <w:numId w:val="3"/>
        </w:numPr>
        <w:rPr>
          <w:rFonts w:ascii="Arial" w:hAnsi="Arial" w:cs="Arial"/>
          <w:b/>
          <w:bCs/>
          <w:lang w:val="en-GB"/>
        </w:rPr>
      </w:pPr>
      <w:r w:rsidRPr="00FC06F7">
        <w:rPr>
          <w:rFonts w:ascii="Arial" w:hAnsi="Arial" w:cs="Arial"/>
          <w:b/>
          <w:bCs/>
          <w:lang w:val="en-GB"/>
        </w:rPr>
        <w:t>Brief about the programme</w:t>
      </w:r>
    </w:p>
    <w:p w14:paraId="5102B951" w14:textId="77777777" w:rsidR="004E396E" w:rsidRPr="00FC06F7" w:rsidRDefault="004E396E" w:rsidP="004E396E">
      <w:pPr>
        <w:spacing w:after="0" w:line="240" w:lineRule="auto"/>
        <w:rPr>
          <w:rFonts w:ascii="Arial" w:hAnsi="Arial" w:cs="Arial"/>
          <w:b/>
        </w:rPr>
      </w:pPr>
      <w:r w:rsidRPr="00FC06F7">
        <w:rPr>
          <w:rFonts w:ascii="Arial" w:hAnsi="Arial" w:cs="Arial"/>
          <w:b/>
        </w:rPr>
        <w:t>Overview</w:t>
      </w:r>
    </w:p>
    <w:p w14:paraId="708C34E2" w14:textId="77777777" w:rsidR="004E396E" w:rsidRPr="00FC06F7" w:rsidRDefault="004E396E" w:rsidP="004E396E">
      <w:pPr>
        <w:spacing w:after="0" w:line="240" w:lineRule="auto"/>
        <w:rPr>
          <w:rFonts w:ascii="Arial" w:hAnsi="Arial" w:cs="Arial"/>
          <w:b/>
        </w:rPr>
      </w:pPr>
    </w:p>
    <w:p w14:paraId="4DD5C7D9" w14:textId="77777777" w:rsidR="004E396E" w:rsidRPr="00FC06F7" w:rsidRDefault="004E396E" w:rsidP="004E396E">
      <w:pPr>
        <w:ind w:right="4"/>
        <w:jc w:val="both"/>
        <w:rPr>
          <w:rFonts w:ascii="Arial" w:hAnsi="Arial" w:cs="Arial"/>
        </w:rPr>
      </w:pPr>
      <w:r w:rsidRPr="00FC06F7">
        <w:rPr>
          <w:rFonts w:ascii="Arial" w:hAnsi="Arial" w:cs="Arial"/>
        </w:rPr>
        <w:t>The Common Market for Eastern and Southern Africa (COMESA) Secretariat, with the financial support of the African Development Bank (AfDB), has been implementing the Statistical Capacity Building (SCB) program in selected COMESA member states.  COMESA acts in its capacity as the administrator of the Multinational Program to Build Statistical Capacity for Sustainable Development Goals (SDGs) Monitoring and Results Measurement.</w:t>
      </w:r>
    </w:p>
    <w:p w14:paraId="1D60B284" w14:textId="206059F9" w:rsidR="004E396E" w:rsidRPr="00FC06F7" w:rsidRDefault="004E396E" w:rsidP="004E396E">
      <w:pPr>
        <w:ind w:right="4"/>
        <w:jc w:val="both"/>
        <w:rPr>
          <w:rFonts w:ascii="Arial" w:hAnsi="Arial" w:cs="Arial"/>
        </w:rPr>
      </w:pPr>
      <w:r w:rsidRPr="00FC06F7">
        <w:rPr>
          <w:rFonts w:ascii="Arial" w:hAnsi="Arial" w:cs="Arial"/>
        </w:rPr>
        <w:t xml:space="preserve"> In 2016, the </w:t>
      </w:r>
      <w:r w:rsidRPr="00FC06F7">
        <w:rPr>
          <w:rFonts w:ascii="Arial" w:hAnsi="Arial" w:cs="Arial"/>
          <w:lang w:val="en-ZA"/>
        </w:rPr>
        <w:t xml:space="preserve">Program completed phase III activities and begun implementing phase 4.2 activities. The </w:t>
      </w:r>
      <w:r w:rsidRPr="00FC06F7">
        <w:rPr>
          <w:rFonts w:ascii="Arial" w:hAnsi="Arial" w:cs="Arial"/>
        </w:rPr>
        <w:t xml:space="preserve">agreement for SCB phase 4.2 was signed on 19 April 2016. The closing date of the grant is </w:t>
      </w:r>
      <w:r w:rsidR="008A5910" w:rsidRPr="00FC06F7">
        <w:rPr>
          <w:rFonts w:ascii="Arial" w:hAnsi="Arial" w:cs="Arial"/>
          <w:lang w:val="en-US"/>
        </w:rPr>
        <w:t xml:space="preserve"> currently 30 June 2020</w:t>
      </w:r>
      <w:r w:rsidR="00F56AA6" w:rsidRPr="00FC06F7">
        <w:rPr>
          <w:rFonts w:ascii="Arial" w:hAnsi="Arial" w:cs="Arial"/>
          <w:lang w:val="en-US"/>
        </w:rPr>
        <w:t>.</w:t>
      </w:r>
      <w:r w:rsidRPr="00FC06F7">
        <w:rPr>
          <w:rFonts w:ascii="Arial" w:hAnsi="Arial" w:cs="Arial"/>
        </w:rPr>
        <w:t xml:space="preserve"> SCB 4.2 follows and builds on the achievements of three similar earlier programs (SCB I, II and III), implemented from 2004 to 2007, 2009 to 2011 and from 2012 to 2015 respectively.</w:t>
      </w:r>
    </w:p>
    <w:p w14:paraId="3799ED8F" w14:textId="77777777" w:rsidR="00FA57E4" w:rsidRPr="00FC06F7" w:rsidRDefault="00FA57E4" w:rsidP="00646BA6">
      <w:pPr>
        <w:spacing w:after="0" w:line="240" w:lineRule="auto"/>
        <w:rPr>
          <w:rFonts w:ascii="Arial" w:hAnsi="Arial" w:cs="Arial"/>
          <w:b/>
        </w:rPr>
      </w:pPr>
      <w:r w:rsidRPr="00FC06F7">
        <w:rPr>
          <w:rFonts w:ascii="Arial" w:hAnsi="Arial" w:cs="Arial"/>
          <w:b/>
        </w:rPr>
        <w:t xml:space="preserve">Overview of relevant issues in 2016-2020 Medium Term Strategic Plan </w:t>
      </w:r>
    </w:p>
    <w:p w14:paraId="2942767C" w14:textId="3F8C026B" w:rsidR="00FA57E4" w:rsidRPr="00FC06F7" w:rsidRDefault="00FA57E4" w:rsidP="00FA57E4">
      <w:pPr>
        <w:rPr>
          <w:rFonts w:ascii="Arial" w:hAnsi="Arial" w:cs="Arial"/>
          <w:i/>
          <w:u w:val="single"/>
        </w:rPr>
      </w:pPr>
      <w:r w:rsidRPr="00FC06F7">
        <w:rPr>
          <w:rFonts w:ascii="Arial" w:hAnsi="Arial" w:cs="Arial"/>
          <w:i/>
          <w:u w:val="single"/>
        </w:rPr>
        <w:t xml:space="preserve"> </w:t>
      </w:r>
    </w:p>
    <w:p w14:paraId="4A24E2F7" w14:textId="5D005C4E" w:rsidR="00AD3119" w:rsidRPr="00FC06F7" w:rsidRDefault="00AD3119" w:rsidP="00AD3119">
      <w:pPr>
        <w:pStyle w:val="ListParagraph"/>
        <w:tabs>
          <w:tab w:val="left" w:pos="426"/>
        </w:tabs>
        <w:spacing w:before="120" w:after="0" w:line="240" w:lineRule="auto"/>
        <w:ind w:left="0"/>
        <w:contextualSpacing w:val="0"/>
        <w:jc w:val="both"/>
        <w:rPr>
          <w:rFonts w:ascii="Arial" w:hAnsi="Arial" w:cs="Arial"/>
          <w:lang w:val="en-US"/>
        </w:rPr>
      </w:pPr>
      <w:r w:rsidRPr="00FC06F7">
        <w:rPr>
          <w:rFonts w:ascii="Arial" w:hAnsi="Arial" w:cs="Arial"/>
          <w:lang w:val="en-US"/>
        </w:rPr>
        <w:t xml:space="preserve">The Common Market for Eastern and Southern Africa (COMESA) develops Medium-Term Strategic Plans (MTSP) for a period of five years, the current MTSP spans from 2016-2020 and aims to respond to the COMESA Treaty provisions to foster economic development through regional integration that covers market integration, industrialization, and infrastructure development. The MTSP 2016-2020’ policy objectives focus on creating jobs, raising incomes, and achieving economic transformation towards improved livelihoods and well-being of the people. In order to strengthen evidence-based decision-making, the MTSP 2016-2020 has clearly highlighted the need for policy responsive statistics. </w:t>
      </w:r>
    </w:p>
    <w:p w14:paraId="0423EFDB" w14:textId="77777777" w:rsidR="00AD3119" w:rsidRPr="00FC06F7" w:rsidRDefault="00AD3119" w:rsidP="00AD3119">
      <w:pPr>
        <w:tabs>
          <w:tab w:val="left" w:pos="426"/>
        </w:tabs>
        <w:spacing w:before="120" w:after="0" w:line="240" w:lineRule="auto"/>
        <w:jc w:val="both"/>
        <w:rPr>
          <w:rFonts w:ascii="Arial" w:hAnsi="Arial" w:cs="Arial"/>
          <w:lang w:val="en-US"/>
        </w:rPr>
      </w:pPr>
      <w:r w:rsidRPr="00FC06F7">
        <w:rPr>
          <w:rFonts w:ascii="Arial" w:hAnsi="Arial" w:cs="Arial"/>
          <w:lang w:val="en-US"/>
        </w:rPr>
        <w:t xml:space="preserve">Six of the nine MTSP’ strategic objectives require statistical response, and cover the following areas: market integration, investment, blue economy, economic infrastructure, industrialization and gender equality and social development. </w:t>
      </w:r>
    </w:p>
    <w:p w14:paraId="71B55B07" w14:textId="77777777" w:rsidR="00AD3119" w:rsidRPr="00FC06F7" w:rsidRDefault="00AD3119" w:rsidP="00AD3119">
      <w:pPr>
        <w:tabs>
          <w:tab w:val="left" w:pos="426"/>
        </w:tabs>
        <w:spacing w:before="120" w:after="0" w:line="240" w:lineRule="auto"/>
        <w:jc w:val="both"/>
        <w:rPr>
          <w:rFonts w:ascii="Arial" w:hAnsi="Arial" w:cs="Arial"/>
          <w:lang w:val="en-US"/>
        </w:rPr>
      </w:pPr>
      <w:r w:rsidRPr="00FC06F7">
        <w:rPr>
          <w:rFonts w:ascii="Arial" w:hAnsi="Arial" w:cs="Arial"/>
          <w:lang w:val="en-US"/>
        </w:rPr>
        <w:t xml:space="preserve">As a response to the MTSP 2016-2020 statistics demand, </w:t>
      </w:r>
      <w:r w:rsidRPr="00FC06F7">
        <w:rPr>
          <w:rFonts w:ascii="Arial" w:hAnsi="Arial" w:cs="Arial"/>
        </w:rPr>
        <w:t xml:space="preserve">in 2017, </w:t>
      </w:r>
      <w:r w:rsidRPr="00FC06F7">
        <w:rPr>
          <w:rFonts w:ascii="Arial" w:hAnsi="Arial" w:cs="Arial"/>
          <w:lang w:val="en-US"/>
        </w:rPr>
        <w:t xml:space="preserve">COMESA developed and adopted the COMESA Statistics Strategy 2017-2020 that takes on board the need to align the tenure of the statistical response to the MTSP 2016-2020 and </w:t>
      </w:r>
      <w:proofErr w:type="gramStart"/>
      <w:r w:rsidRPr="00FC06F7">
        <w:rPr>
          <w:rFonts w:ascii="Arial" w:hAnsi="Arial" w:cs="Arial"/>
          <w:lang w:val="en-US"/>
        </w:rPr>
        <w:t>takes into account</w:t>
      </w:r>
      <w:proofErr w:type="gramEnd"/>
      <w:r w:rsidRPr="00FC06F7">
        <w:rPr>
          <w:rFonts w:ascii="Arial" w:hAnsi="Arial" w:cs="Arial"/>
          <w:lang w:val="en-US"/>
        </w:rPr>
        <w:t xml:space="preserve"> the requirements of the United Nations agenda 2030 for Sustainable Development Goals and the African Union agenda 2063. </w:t>
      </w:r>
    </w:p>
    <w:p w14:paraId="55721DC4" w14:textId="77777777" w:rsidR="00AD3119" w:rsidRPr="00FC06F7" w:rsidRDefault="00AD3119" w:rsidP="00AD3119">
      <w:pPr>
        <w:pStyle w:val="ListParagraph"/>
        <w:tabs>
          <w:tab w:val="left" w:pos="426"/>
        </w:tabs>
        <w:spacing w:before="120" w:after="0" w:line="240" w:lineRule="auto"/>
        <w:ind w:left="3"/>
        <w:contextualSpacing w:val="0"/>
        <w:jc w:val="both"/>
        <w:rPr>
          <w:rFonts w:ascii="Arial" w:hAnsi="Arial" w:cs="Arial"/>
          <w:lang w:val="en-US"/>
        </w:rPr>
      </w:pPr>
      <w:r w:rsidRPr="00FC06F7">
        <w:rPr>
          <w:rFonts w:ascii="Arial" w:hAnsi="Arial" w:cs="Arial"/>
          <w:lang w:val="en-US"/>
        </w:rPr>
        <w:t>As one of the key Regional Economic Communities (RECs), COMESA has been entrusted with the role of Regional Coordinator of the Strategy for the Harmonization of Statistics in Africa 2017-2026 (</w:t>
      </w:r>
      <w:proofErr w:type="spellStart"/>
      <w:r w:rsidRPr="00FC06F7">
        <w:rPr>
          <w:rFonts w:ascii="Arial" w:hAnsi="Arial" w:cs="Arial"/>
          <w:lang w:val="en-US"/>
        </w:rPr>
        <w:t>SHaSA</w:t>
      </w:r>
      <w:proofErr w:type="spellEnd"/>
      <w:r w:rsidRPr="00FC06F7">
        <w:rPr>
          <w:rFonts w:ascii="Arial" w:hAnsi="Arial" w:cs="Arial"/>
          <w:lang w:val="en-US"/>
        </w:rPr>
        <w:t xml:space="preserve"> 2) adopted by the Summit of the African Union Heads of State and Government in Addis Ababa in January 2018.</w:t>
      </w:r>
    </w:p>
    <w:p w14:paraId="4583C94E" w14:textId="29D999C4" w:rsidR="00852CDB" w:rsidRPr="00FC06F7" w:rsidRDefault="00AD3119" w:rsidP="00C52C8B">
      <w:pPr>
        <w:rPr>
          <w:rFonts w:ascii="Arial" w:hAnsi="Arial" w:cs="Arial"/>
          <w:i/>
          <w:u w:val="single"/>
        </w:rPr>
      </w:pPr>
      <w:bookmarkStart w:id="1" w:name="_Hlk16961653"/>
      <w:r w:rsidRPr="00FC06F7">
        <w:rPr>
          <w:rFonts w:ascii="Arial" w:hAnsi="Arial" w:cs="Arial"/>
          <w:lang w:val="en-US"/>
        </w:rPr>
        <w:t>The COMESA Statistics Strategy 2017-2020</w:t>
      </w:r>
      <w:bookmarkEnd w:id="1"/>
      <w:r w:rsidRPr="00FC06F7">
        <w:rPr>
          <w:rFonts w:ascii="Arial" w:hAnsi="Arial" w:cs="Arial"/>
          <w:lang w:val="en-US"/>
        </w:rPr>
        <w:t xml:space="preserve"> includes six strategic objectives with one related outcome each : (i) strengthen producer/user dialogue to boost the use of statistics in </w:t>
      </w:r>
      <w:r w:rsidRPr="00FC06F7">
        <w:rPr>
          <w:rFonts w:ascii="Arial" w:hAnsi="Arial" w:cs="Arial"/>
          <w:lang w:val="en-US"/>
        </w:rPr>
        <w:lastRenderedPageBreak/>
        <w:t>policy and decision-making; (ii) strengthen statistics to support MTSP 2016-2020 strategic objectives; (iii) strengthen strategic partnerships; (iv) consolidate harmonization of statistics to ensure that statistics in the region are produced using harmonized frameworks that enable regional and international comparative analysis; (v) enhance statistical technical skills, competencies, literacy and structures; and (vi) strengthen technologies and systems as enablers for the statistical system.</w:t>
      </w:r>
    </w:p>
    <w:p w14:paraId="3A607EA7" w14:textId="1C4C96A7" w:rsidR="00852CDB" w:rsidRPr="00FC06F7" w:rsidRDefault="0088042E" w:rsidP="003B6F1F">
      <w:pPr>
        <w:pStyle w:val="ListParagraph"/>
        <w:numPr>
          <w:ilvl w:val="0"/>
          <w:numId w:val="3"/>
        </w:numPr>
        <w:rPr>
          <w:rFonts w:ascii="Arial" w:hAnsi="Arial" w:cs="Arial"/>
          <w:lang w:val="en-GB"/>
        </w:rPr>
      </w:pPr>
      <w:r w:rsidRPr="00FC06F7">
        <w:rPr>
          <w:rFonts w:ascii="Arial" w:hAnsi="Arial" w:cs="Arial"/>
          <w:b/>
          <w:bCs/>
          <w:lang w:val="en-GB"/>
        </w:rPr>
        <w:t>Overview of 2019 programme and expenditure implementation</w:t>
      </w:r>
    </w:p>
    <w:tbl>
      <w:tblPr>
        <w:tblW w:w="10980" w:type="dxa"/>
        <w:tblInd w:w="-702" w:type="dxa"/>
        <w:tblLook w:val="04A0" w:firstRow="1" w:lastRow="0" w:firstColumn="1" w:lastColumn="0" w:noHBand="0" w:noVBand="1"/>
      </w:tblPr>
      <w:tblGrid>
        <w:gridCol w:w="2658"/>
        <w:gridCol w:w="1482"/>
        <w:gridCol w:w="2524"/>
        <w:gridCol w:w="4316"/>
      </w:tblGrid>
      <w:tr w:rsidR="00614BC9" w:rsidRPr="0033758E" w14:paraId="146115D3" w14:textId="77777777" w:rsidTr="00B243AF">
        <w:trPr>
          <w:trHeight w:val="477"/>
        </w:trPr>
        <w:tc>
          <w:tcPr>
            <w:tcW w:w="265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B4B5FE" w14:textId="77777777" w:rsidR="0001015B" w:rsidRPr="0033758E" w:rsidRDefault="0001015B" w:rsidP="00B243AF">
            <w:pPr>
              <w:spacing w:after="0" w:line="240" w:lineRule="auto"/>
              <w:jc w:val="center"/>
              <w:rPr>
                <w:rFonts w:ascii="Arial" w:eastAsia="Times New Roman" w:hAnsi="Arial" w:cs="Arial"/>
                <w:b/>
                <w:bCs/>
                <w:sz w:val="16"/>
                <w:szCs w:val="16"/>
              </w:rPr>
            </w:pPr>
            <w:r w:rsidRPr="0033758E">
              <w:rPr>
                <w:rFonts w:ascii="Arial" w:eastAsia="Times New Roman" w:hAnsi="Arial" w:cs="Arial"/>
                <w:b/>
                <w:bCs/>
                <w:sz w:val="16"/>
                <w:szCs w:val="16"/>
              </w:rPr>
              <w:t>COMESA Sub Regional Activities</w:t>
            </w:r>
          </w:p>
        </w:tc>
        <w:tc>
          <w:tcPr>
            <w:tcW w:w="1482" w:type="dxa"/>
            <w:tcBorders>
              <w:top w:val="nil"/>
              <w:left w:val="nil"/>
              <w:bottom w:val="single" w:sz="4" w:space="0" w:color="auto"/>
              <w:right w:val="single" w:sz="4" w:space="0" w:color="auto"/>
            </w:tcBorders>
            <w:shd w:val="clear" w:color="000000" w:fill="BFBFBF"/>
            <w:vAlign w:val="center"/>
            <w:hideMark/>
          </w:tcPr>
          <w:p w14:paraId="68B6917C" w14:textId="77777777" w:rsidR="0001015B" w:rsidRPr="0033758E" w:rsidRDefault="0001015B" w:rsidP="00B243AF">
            <w:pPr>
              <w:spacing w:after="0" w:line="240" w:lineRule="auto"/>
              <w:jc w:val="center"/>
              <w:rPr>
                <w:rFonts w:ascii="Arial" w:eastAsia="Times New Roman" w:hAnsi="Arial" w:cs="Arial"/>
                <w:sz w:val="16"/>
                <w:szCs w:val="16"/>
              </w:rPr>
            </w:pPr>
            <w:r w:rsidRPr="0033758E">
              <w:rPr>
                <w:rFonts w:ascii="Arial" w:eastAsia="Times New Roman" w:hAnsi="Arial" w:cs="Arial"/>
                <w:sz w:val="16"/>
                <w:szCs w:val="16"/>
              </w:rPr>
              <w:t> </w:t>
            </w:r>
          </w:p>
        </w:tc>
        <w:tc>
          <w:tcPr>
            <w:tcW w:w="2524" w:type="dxa"/>
            <w:tcBorders>
              <w:top w:val="single" w:sz="4" w:space="0" w:color="auto"/>
              <w:left w:val="nil"/>
              <w:bottom w:val="single" w:sz="4" w:space="0" w:color="auto"/>
              <w:right w:val="single" w:sz="4" w:space="0" w:color="auto"/>
            </w:tcBorders>
            <w:shd w:val="clear" w:color="000000" w:fill="BFBFBF"/>
            <w:vAlign w:val="center"/>
            <w:hideMark/>
          </w:tcPr>
          <w:p w14:paraId="3EF83570"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 xml:space="preserve">Planned </w:t>
            </w:r>
          </w:p>
        </w:tc>
        <w:tc>
          <w:tcPr>
            <w:tcW w:w="4316" w:type="dxa"/>
            <w:tcBorders>
              <w:top w:val="single" w:sz="4" w:space="0" w:color="auto"/>
              <w:left w:val="nil"/>
              <w:bottom w:val="single" w:sz="4" w:space="0" w:color="auto"/>
              <w:right w:val="single" w:sz="4" w:space="0" w:color="auto"/>
            </w:tcBorders>
            <w:shd w:val="clear" w:color="000000" w:fill="BFBFBF"/>
            <w:vAlign w:val="center"/>
            <w:hideMark/>
          </w:tcPr>
          <w:p w14:paraId="5326D909"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Accomplished</w:t>
            </w:r>
          </w:p>
        </w:tc>
      </w:tr>
      <w:tr w:rsidR="00614BC9" w:rsidRPr="0033758E" w14:paraId="5D46DACE" w14:textId="77777777" w:rsidTr="00B243AF">
        <w:trPr>
          <w:trHeight w:val="683"/>
        </w:trPr>
        <w:tc>
          <w:tcPr>
            <w:tcW w:w="2658" w:type="dxa"/>
            <w:tcBorders>
              <w:top w:val="nil"/>
              <w:left w:val="single" w:sz="4" w:space="0" w:color="auto"/>
              <w:bottom w:val="single" w:sz="4" w:space="0" w:color="auto"/>
              <w:right w:val="single" w:sz="4" w:space="0" w:color="auto"/>
            </w:tcBorders>
            <w:shd w:val="clear" w:color="000000" w:fill="FFFFFF"/>
            <w:vAlign w:val="center"/>
            <w:hideMark/>
          </w:tcPr>
          <w:p w14:paraId="6B8EF42D" w14:textId="77777777" w:rsidR="0001015B" w:rsidRPr="0033758E" w:rsidRDefault="0001015B" w:rsidP="00B243AF">
            <w:pPr>
              <w:spacing w:after="0" w:line="240" w:lineRule="auto"/>
              <w:jc w:val="center"/>
              <w:rPr>
                <w:rFonts w:ascii="Arial" w:eastAsia="Times New Roman" w:hAnsi="Arial" w:cs="Arial"/>
                <w:b/>
                <w:bCs/>
                <w:sz w:val="16"/>
                <w:szCs w:val="16"/>
              </w:rPr>
            </w:pPr>
            <w:r w:rsidRPr="0033758E">
              <w:rPr>
                <w:rFonts w:ascii="Arial" w:eastAsia="Times New Roman" w:hAnsi="Arial" w:cs="Arial"/>
                <w:b/>
                <w:bCs/>
                <w:sz w:val="16"/>
                <w:szCs w:val="16"/>
              </w:rPr>
              <w:t>Improving Economic Statistics</w:t>
            </w:r>
          </w:p>
        </w:tc>
        <w:tc>
          <w:tcPr>
            <w:tcW w:w="1482" w:type="dxa"/>
            <w:tcBorders>
              <w:top w:val="nil"/>
              <w:left w:val="nil"/>
              <w:bottom w:val="single" w:sz="4" w:space="0" w:color="auto"/>
              <w:right w:val="single" w:sz="4" w:space="0" w:color="auto"/>
            </w:tcBorders>
            <w:shd w:val="clear" w:color="000000" w:fill="FFFFFF"/>
            <w:vAlign w:val="center"/>
            <w:hideMark/>
          </w:tcPr>
          <w:p w14:paraId="663A48D9"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Industrial Statistics</w:t>
            </w:r>
          </w:p>
        </w:tc>
        <w:tc>
          <w:tcPr>
            <w:tcW w:w="2524" w:type="dxa"/>
            <w:tcBorders>
              <w:top w:val="nil"/>
              <w:left w:val="nil"/>
              <w:bottom w:val="single" w:sz="4" w:space="0" w:color="auto"/>
              <w:right w:val="single" w:sz="4" w:space="0" w:color="auto"/>
            </w:tcBorders>
            <w:shd w:val="clear" w:color="000000" w:fill="FFFFFF"/>
            <w:vAlign w:val="center"/>
            <w:hideMark/>
          </w:tcPr>
          <w:p w14:paraId="65099940"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 xml:space="preserve">Technical Assistance to RMCs on implementation of </w:t>
            </w:r>
            <w:r w:rsidRPr="0033758E">
              <w:rPr>
                <w:rFonts w:ascii="Arial" w:eastAsia="Times New Roman" w:hAnsi="Arial" w:cs="Arial"/>
                <w:i/>
                <w:iCs/>
                <w:sz w:val="16"/>
                <w:szCs w:val="16"/>
              </w:rPr>
              <w:t>IRIS</w:t>
            </w:r>
            <w:r w:rsidRPr="0033758E">
              <w:rPr>
                <w:rFonts w:ascii="Arial" w:eastAsia="Times New Roman" w:hAnsi="Arial" w:cs="Arial"/>
                <w:sz w:val="16"/>
                <w:szCs w:val="16"/>
              </w:rPr>
              <w:t xml:space="preserve"> </w:t>
            </w:r>
            <w:r w:rsidRPr="0033758E">
              <w:rPr>
                <w:rFonts w:ascii="Arial" w:eastAsia="Times New Roman" w:hAnsi="Arial" w:cs="Arial"/>
                <w:i/>
                <w:iCs/>
                <w:sz w:val="16"/>
                <w:szCs w:val="16"/>
              </w:rPr>
              <w:t>2008</w:t>
            </w:r>
          </w:p>
        </w:tc>
        <w:tc>
          <w:tcPr>
            <w:tcW w:w="4316" w:type="dxa"/>
            <w:tcBorders>
              <w:top w:val="nil"/>
              <w:left w:val="nil"/>
              <w:bottom w:val="single" w:sz="4" w:space="0" w:color="auto"/>
              <w:right w:val="single" w:sz="4" w:space="0" w:color="auto"/>
            </w:tcBorders>
            <w:shd w:val="clear" w:color="000000" w:fill="FFFFFF"/>
            <w:vAlign w:val="center"/>
            <w:hideMark/>
          </w:tcPr>
          <w:p w14:paraId="3C492615" w14:textId="75C063D9" w:rsidR="0001015B" w:rsidRPr="0033758E" w:rsidRDefault="001336D6"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lang w:val="en-US"/>
              </w:rPr>
              <w:t>I</w:t>
            </w:r>
            <w:r w:rsidRPr="0033758E">
              <w:rPr>
                <w:rFonts w:ascii="Arial" w:eastAsia="Times New Roman" w:hAnsi="Arial" w:cs="Arial"/>
                <w:sz w:val="16"/>
                <w:szCs w:val="16"/>
              </w:rPr>
              <w:t xml:space="preserve">n collaboration with the </w:t>
            </w:r>
            <w:r w:rsidRPr="0033758E">
              <w:rPr>
                <w:rFonts w:ascii="Arial" w:eastAsia="Times New Roman" w:hAnsi="Arial" w:cs="Arial"/>
                <w:sz w:val="16"/>
                <w:szCs w:val="16"/>
                <w:lang w:val="en-US"/>
              </w:rPr>
              <w:t xml:space="preserve">COMESA </w:t>
            </w:r>
            <w:r w:rsidRPr="0033758E">
              <w:rPr>
                <w:rFonts w:ascii="Arial" w:eastAsia="Times New Roman" w:hAnsi="Arial" w:cs="Arial"/>
                <w:sz w:val="16"/>
                <w:szCs w:val="16"/>
              </w:rPr>
              <w:t>R</w:t>
            </w:r>
            <w:r w:rsidRPr="0033758E">
              <w:rPr>
                <w:rFonts w:ascii="Arial" w:eastAsia="Times New Roman" w:hAnsi="Arial" w:cs="Arial"/>
                <w:sz w:val="16"/>
                <w:szCs w:val="16"/>
                <w:lang w:val="en-US"/>
              </w:rPr>
              <w:t>egional Support Mechanism (R</w:t>
            </w:r>
            <w:r w:rsidRPr="0033758E">
              <w:rPr>
                <w:rFonts w:ascii="Arial" w:eastAsia="Times New Roman" w:hAnsi="Arial" w:cs="Arial"/>
                <w:sz w:val="16"/>
                <w:szCs w:val="16"/>
              </w:rPr>
              <w:t>ISM</w:t>
            </w:r>
            <w:r w:rsidRPr="0033758E">
              <w:rPr>
                <w:rFonts w:ascii="Arial" w:eastAsia="Times New Roman" w:hAnsi="Arial" w:cs="Arial"/>
                <w:sz w:val="16"/>
                <w:szCs w:val="16"/>
                <w:lang w:val="en-US"/>
              </w:rPr>
              <w:t>)</w:t>
            </w:r>
            <w:r w:rsidRPr="0033758E">
              <w:rPr>
                <w:rFonts w:ascii="Arial" w:eastAsia="Times New Roman" w:hAnsi="Arial" w:cs="Arial"/>
                <w:sz w:val="16"/>
                <w:szCs w:val="16"/>
              </w:rPr>
              <w:t xml:space="preserve"> </w:t>
            </w:r>
            <w:r w:rsidRPr="0033758E">
              <w:rPr>
                <w:rFonts w:ascii="Arial" w:eastAsia="Times New Roman" w:hAnsi="Arial" w:cs="Arial"/>
                <w:sz w:val="16"/>
                <w:szCs w:val="16"/>
                <w:lang w:val="en-US"/>
              </w:rPr>
              <w:t>U</w:t>
            </w:r>
            <w:r w:rsidRPr="0033758E">
              <w:rPr>
                <w:rFonts w:ascii="Arial" w:eastAsia="Times New Roman" w:hAnsi="Arial" w:cs="Arial"/>
                <w:sz w:val="16"/>
                <w:szCs w:val="16"/>
              </w:rPr>
              <w:t>nit</w:t>
            </w:r>
            <w:r w:rsidRPr="0033758E">
              <w:rPr>
                <w:rFonts w:ascii="Arial" w:eastAsia="Times New Roman" w:hAnsi="Arial" w:cs="Arial"/>
                <w:sz w:val="16"/>
                <w:szCs w:val="16"/>
                <w:lang w:val="en-US"/>
              </w:rPr>
              <w:t>, the Statistics Unit supported Sudan to undertake its first Industrial survey that will also help them to compute an Index of Industrial Production.</w:t>
            </w:r>
            <w:r w:rsidRPr="0033758E">
              <w:rPr>
                <w:rFonts w:ascii="Arial" w:eastAsia="Times New Roman" w:hAnsi="Arial" w:cs="Arial"/>
                <w:sz w:val="16"/>
                <w:szCs w:val="16"/>
              </w:rPr>
              <w:t xml:space="preserve"> </w:t>
            </w:r>
            <w:r w:rsidRPr="0033758E">
              <w:rPr>
                <w:rFonts w:ascii="Arial" w:eastAsia="Times New Roman" w:hAnsi="Arial" w:cs="Arial"/>
                <w:sz w:val="16"/>
                <w:szCs w:val="16"/>
                <w:lang w:val="en-US"/>
              </w:rPr>
              <w:t xml:space="preserve"> There was a follow up </w:t>
            </w:r>
            <w:r w:rsidRPr="0033758E">
              <w:rPr>
                <w:rFonts w:ascii="Arial" w:eastAsia="Times New Roman" w:hAnsi="Arial" w:cs="Arial"/>
                <w:sz w:val="16"/>
                <w:szCs w:val="16"/>
              </w:rPr>
              <w:t xml:space="preserve">assessment mission in September 2019 to determine the level of preparedness to implement agreed statistical activities in Sudan. </w:t>
            </w:r>
          </w:p>
        </w:tc>
      </w:tr>
      <w:tr w:rsidR="00614BC9" w:rsidRPr="0033758E" w14:paraId="30E94ABE" w14:textId="77777777" w:rsidTr="00B243AF">
        <w:trPr>
          <w:trHeight w:val="512"/>
        </w:trPr>
        <w:tc>
          <w:tcPr>
            <w:tcW w:w="2658" w:type="dxa"/>
            <w:tcBorders>
              <w:top w:val="nil"/>
              <w:left w:val="single" w:sz="4" w:space="0" w:color="auto"/>
              <w:bottom w:val="single" w:sz="4" w:space="0" w:color="auto"/>
              <w:right w:val="single" w:sz="4" w:space="0" w:color="auto"/>
            </w:tcBorders>
            <w:shd w:val="clear" w:color="000000" w:fill="FFFFFF"/>
            <w:vAlign w:val="center"/>
            <w:hideMark/>
          </w:tcPr>
          <w:p w14:paraId="0244EF40" w14:textId="77777777" w:rsidR="0001015B" w:rsidRPr="0033758E" w:rsidRDefault="0001015B" w:rsidP="00B243AF">
            <w:pPr>
              <w:spacing w:after="0" w:line="240" w:lineRule="auto"/>
              <w:jc w:val="center"/>
              <w:rPr>
                <w:rFonts w:ascii="Arial" w:eastAsia="Times New Roman" w:hAnsi="Arial" w:cs="Arial"/>
                <w:b/>
                <w:bCs/>
                <w:sz w:val="16"/>
                <w:szCs w:val="16"/>
              </w:rPr>
            </w:pPr>
            <w:r w:rsidRPr="0033758E">
              <w:rPr>
                <w:rFonts w:ascii="Arial" w:eastAsia="Times New Roman" w:hAnsi="Arial" w:cs="Arial"/>
                <w:b/>
                <w:bCs/>
                <w:sz w:val="16"/>
                <w:szCs w:val="16"/>
              </w:rPr>
              <w:t> </w:t>
            </w:r>
          </w:p>
        </w:tc>
        <w:tc>
          <w:tcPr>
            <w:tcW w:w="1482" w:type="dxa"/>
            <w:tcBorders>
              <w:top w:val="nil"/>
              <w:left w:val="nil"/>
              <w:bottom w:val="single" w:sz="4" w:space="0" w:color="auto"/>
              <w:right w:val="single" w:sz="4" w:space="0" w:color="auto"/>
            </w:tcBorders>
            <w:shd w:val="clear" w:color="000000" w:fill="FFFFFF"/>
            <w:vAlign w:val="center"/>
            <w:hideMark/>
          </w:tcPr>
          <w:p w14:paraId="299B18A2"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Statistics of International Trade in Services</w:t>
            </w:r>
          </w:p>
        </w:tc>
        <w:tc>
          <w:tcPr>
            <w:tcW w:w="2524" w:type="dxa"/>
            <w:tcBorders>
              <w:top w:val="nil"/>
              <w:left w:val="nil"/>
              <w:bottom w:val="single" w:sz="4" w:space="0" w:color="auto"/>
              <w:right w:val="single" w:sz="4" w:space="0" w:color="auto"/>
            </w:tcBorders>
            <w:shd w:val="clear" w:color="000000" w:fill="FFFFFF"/>
            <w:vAlign w:val="center"/>
            <w:hideMark/>
          </w:tcPr>
          <w:p w14:paraId="3E0CC30A" w14:textId="70C36361"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Technical Assistance on implementation o</w:t>
            </w:r>
            <w:r w:rsidR="001336D6" w:rsidRPr="0033758E">
              <w:rPr>
                <w:rFonts w:ascii="Arial" w:eastAsia="Times New Roman" w:hAnsi="Arial" w:cs="Arial"/>
                <w:sz w:val="16"/>
                <w:szCs w:val="16"/>
                <w:lang w:val="en-US"/>
              </w:rPr>
              <w:t>f</w:t>
            </w:r>
            <w:r w:rsidRPr="0033758E">
              <w:rPr>
                <w:rFonts w:ascii="Arial" w:eastAsia="Times New Roman" w:hAnsi="Arial" w:cs="Arial"/>
                <w:sz w:val="16"/>
                <w:szCs w:val="16"/>
              </w:rPr>
              <w:t xml:space="preserve"> MSITS 2010 recommendations</w:t>
            </w:r>
          </w:p>
        </w:tc>
        <w:tc>
          <w:tcPr>
            <w:tcW w:w="4316" w:type="dxa"/>
            <w:tcBorders>
              <w:top w:val="nil"/>
              <w:left w:val="nil"/>
              <w:bottom w:val="single" w:sz="4" w:space="0" w:color="auto"/>
              <w:right w:val="single" w:sz="4" w:space="0" w:color="auto"/>
            </w:tcBorders>
            <w:shd w:val="clear" w:color="000000" w:fill="FFFFFF"/>
            <w:vAlign w:val="center"/>
            <w:hideMark/>
          </w:tcPr>
          <w:p w14:paraId="07C0A066" w14:textId="12C881A4" w:rsidR="0001015B" w:rsidRPr="0033758E" w:rsidRDefault="00D54406" w:rsidP="00CF6DA1">
            <w:pPr>
              <w:pStyle w:val="ListParagraph"/>
              <w:numPr>
                <w:ilvl w:val="0"/>
                <w:numId w:val="17"/>
              </w:numPr>
              <w:spacing w:after="0" w:line="240" w:lineRule="auto"/>
              <w:ind w:left="316"/>
              <w:rPr>
                <w:rFonts w:ascii="Arial" w:eastAsia="Times New Roman" w:hAnsi="Arial" w:cs="Arial"/>
                <w:iCs/>
                <w:sz w:val="16"/>
                <w:szCs w:val="16"/>
                <w:lang w:val="en-US"/>
              </w:rPr>
            </w:pPr>
            <w:r w:rsidRPr="0033758E">
              <w:rPr>
                <w:rFonts w:ascii="Arial" w:eastAsia="Times New Roman" w:hAnsi="Arial" w:cs="Arial"/>
                <w:iCs/>
                <w:sz w:val="16"/>
                <w:szCs w:val="16"/>
                <w:lang w:val="en-US"/>
              </w:rPr>
              <w:t>Continuous engagement of member countries to come up with Action Plans to implement MSITS2010 recommendations. So far Rwanda and Seychelles have been assisted to come up with road maps and are currently under implementation.</w:t>
            </w:r>
          </w:p>
          <w:p w14:paraId="486D5AF1" w14:textId="77777777" w:rsidR="00E5411D" w:rsidRPr="0033758E" w:rsidRDefault="00E5411D" w:rsidP="00B243AF">
            <w:pPr>
              <w:spacing w:after="0" w:line="240" w:lineRule="auto"/>
              <w:rPr>
                <w:rFonts w:ascii="Arial" w:eastAsia="Times New Roman" w:hAnsi="Arial" w:cs="Arial"/>
                <w:i/>
                <w:iCs/>
                <w:sz w:val="16"/>
                <w:szCs w:val="16"/>
                <w:lang w:val="en-US"/>
              </w:rPr>
            </w:pPr>
          </w:p>
          <w:p w14:paraId="0AA32C5B" w14:textId="26469828" w:rsidR="00E5411D" w:rsidRPr="0033758E" w:rsidRDefault="00E5411D" w:rsidP="00CF6DA1">
            <w:pPr>
              <w:pStyle w:val="ListParagraph"/>
              <w:numPr>
                <w:ilvl w:val="0"/>
                <w:numId w:val="17"/>
              </w:numPr>
              <w:spacing w:after="0" w:line="240" w:lineRule="auto"/>
              <w:ind w:left="226" w:hanging="270"/>
              <w:rPr>
                <w:rFonts w:ascii="Arial" w:eastAsia="Times New Roman" w:hAnsi="Arial" w:cs="Arial"/>
                <w:iCs/>
                <w:sz w:val="16"/>
                <w:szCs w:val="16"/>
                <w:lang w:val="en-US"/>
              </w:rPr>
            </w:pPr>
            <w:r w:rsidRPr="0033758E">
              <w:rPr>
                <w:rFonts w:ascii="Arial" w:eastAsia="Times New Roman" w:hAnsi="Arial" w:cs="Arial"/>
                <w:sz w:val="16"/>
                <w:szCs w:val="16"/>
                <w:lang w:val="en-US"/>
              </w:rPr>
              <w:t>11th EDF support to development of Statistics of International Trade in Services under the Trade Facilitation Program. On a pilot basis, the COMESA statistics Unit has been working with Ministry of Trade and Industry in Zambia to introduce the program before reaching out to other countries</w:t>
            </w:r>
          </w:p>
        </w:tc>
      </w:tr>
      <w:tr w:rsidR="00614BC9" w:rsidRPr="0033758E" w14:paraId="68C60AB9" w14:textId="77777777" w:rsidTr="00B243AF">
        <w:trPr>
          <w:trHeight w:val="575"/>
        </w:trPr>
        <w:tc>
          <w:tcPr>
            <w:tcW w:w="2658" w:type="dxa"/>
            <w:tcBorders>
              <w:top w:val="nil"/>
              <w:left w:val="single" w:sz="4" w:space="0" w:color="auto"/>
              <w:bottom w:val="single" w:sz="4" w:space="0" w:color="auto"/>
              <w:right w:val="single" w:sz="4" w:space="0" w:color="auto"/>
            </w:tcBorders>
            <w:shd w:val="clear" w:color="000000" w:fill="FFFFFF"/>
            <w:vAlign w:val="center"/>
            <w:hideMark/>
          </w:tcPr>
          <w:p w14:paraId="00E530E5" w14:textId="77777777" w:rsidR="0001015B" w:rsidRPr="0033758E" w:rsidRDefault="0001015B" w:rsidP="00B243AF">
            <w:pPr>
              <w:spacing w:after="0" w:line="240" w:lineRule="auto"/>
              <w:jc w:val="center"/>
              <w:rPr>
                <w:rFonts w:ascii="Arial" w:eastAsia="Times New Roman" w:hAnsi="Arial" w:cs="Arial"/>
                <w:b/>
                <w:bCs/>
                <w:sz w:val="16"/>
                <w:szCs w:val="16"/>
              </w:rPr>
            </w:pPr>
            <w:r w:rsidRPr="0033758E">
              <w:rPr>
                <w:rFonts w:ascii="Arial" w:eastAsia="Times New Roman" w:hAnsi="Arial" w:cs="Arial"/>
                <w:b/>
                <w:bCs/>
                <w:sz w:val="16"/>
                <w:szCs w:val="16"/>
              </w:rPr>
              <w:t>Improving Environment Statistics</w:t>
            </w:r>
          </w:p>
        </w:tc>
        <w:tc>
          <w:tcPr>
            <w:tcW w:w="1482" w:type="dxa"/>
            <w:tcBorders>
              <w:top w:val="nil"/>
              <w:left w:val="nil"/>
              <w:bottom w:val="single" w:sz="4" w:space="0" w:color="auto"/>
              <w:right w:val="single" w:sz="4" w:space="0" w:color="auto"/>
            </w:tcBorders>
            <w:shd w:val="clear" w:color="000000" w:fill="FFFFFF"/>
            <w:vAlign w:val="center"/>
            <w:hideMark/>
          </w:tcPr>
          <w:p w14:paraId="73917ACF"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Environment Statistics</w:t>
            </w:r>
          </w:p>
        </w:tc>
        <w:tc>
          <w:tcPr>
            <w:tcW w:w="2524" w:type="dxa"/>
            <w:tcBorders>
              <w:top w:val="nil"/>
              <w:left w:val="nil"/>
              <w:bottom w:val="single" w:sz="4" w:space="0" w:color="auto"/>
              <w:right w:val="single" w:sz="4" w:space="0" w:color="auto"/>
            </w:tcBorders>
            <w:shd w:val="clear" w:color="000000" w:fill="FFFFFF"/>
            <w:vAlign w:val="center"/>
            <w:hideMark/>
          </w:tcPr>
          <w:p w14:paraId="2F214B31"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Implementation of FDES in COMESA countries</w:t>
            </w:r>
          </w:p>
        </w:tc>
        <w:tc>
          <w:tcPr>
            <w:tcW w:w="4316" w:type="dxa"/>
            <w:tcBorders>
              <w:top w:val="nil"/>
              <w:left w:val="nil"/>
              <w:bottom w:val="single" w:sz="4" w:space="0" w:color="auto"/>
              <w:right w:val="single" w:sz="4" w:space="0" w:color="auto"/>
            </w:tcBorders>
            <w:shd w:val="clear" w:color="000000" w:fill="FFFFFF"/>
            <w:vAlign w:val="center"/>
            <w:hideMark/>
          </w:tcPr>
          <w:p w14:paraId="2B4E5CB6"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 xml:space="preserve">a. Short Term Expert on FDES engaged.  </w:t>
            </w:r>
          </w:p>
          <w:p w14:paraId="784777A6"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b. National FDES workshops undertaken in Ethiopia.</w:t>
            </w:r>
          </w:p>
        </w:tc>
      </w:tr>
      <w:tr w:rsidR="00614BC9" w:rsidRPr="0033758E" w14:paraId="3A7C10A1" w14:textId="77777777" w:rsidTr="00B243AF">
        <w:trPr>
          <w:trHeight w:val="440"/>
        </w:trPr>
        <w:tc>
          <w:tcPr>
            <w:tcW w:w="2658" w:type="dxa"/>
            <w:tcBorders>
              <w:top w:val="nil"/>
              <w:left w:val="single" w:sz="4" w:space="0" w:color="auto"/>
              <w:bottom w:val="single" w:sz="4" w:space="0" w:color="auto"/>
              <w:right w:val="single" w:sz="4" w:space="0" w:color="auto"/>
            </w:tcBorders>
            <w:shd w:val="clear" w:color="000000" w:fill="FFFFFF"/>
            <w:vAlign w:val="center"/>
            <w:hideMark/>
          </w:tcPr>
          <w:p w14:paraId="109638F2" w14:textId="77777777" w:rsidR="0001015B" w:rsidRPr="0033758E" w:rsidRDefault="0001015B" w:rsidP="00B243AF">
            <w:pPr>
              <w:spacing w:after="0" w:line="240" w:lineRule="auto"/>
              <w:jc w:val="center"/>
              <w:rPr>
                <w:rFonts w:ascii="Arial" w:eastAsia="Times New Roman" w:hAnsi="Arial" w:cs="Arial"/>
                <w:b/>
                <w:bCs/>
                <w:sz w:val="16"/>
                <w:szCs w:val="16"/>
              </w:rPr>
            </w:pPr>
            <w:r w:rsidRPr="0033758E">
              <w:rPr>
                <w:rFonts w:ascii="Arial" w:eastAsia="Times New Roman" w:hAnsi="Arial" w:cs="Arial"/>
                <w:b/>
                <w:bCs/>
                <w:sz w:val="16"/>
                <w:szCs w:val="16"/>
              </w:rPr>
              <w:t>Capacity Building for Secretariat</w:t>
            </w:r>
          </w:p>
        </w:tc>
        <w:tc>
          <w:tcPr>
            <w:tcW w:w="1482" w:type="dxa"/>
            <w:tcBorders>
              <w:top w:val="nil"/>
              <w:left w:val="nil"/>
              <w:bottom w:val="single" w:sz="4" w:space="0" w:color="auto"/>
              <w:right w:val="single" w:sz="4" w:space="0" w:color="auto"/>
            </w:tcBorders>
            <w:shd w:val="clear" w:color="000000" w:fill="FFFFFF"/>
            <w:vAlign w:val="center"/>
            <w:hideMark/>
          </w:tcPr>
          <w:p w14:paraId="6E13584E"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 </w:t>
            </w:r>
          </w:p>
        </w:tc>
        <w:tc>
          <w:tcPr>
            <w:tcW w:w="2524" w:type="dxa"/>
            <w:tcBorders>
              <w:top w:val="nil"/>
              <w:left w:val="nil"/>
              <w:bottom w:val="single" w:sz="4" w:space="0" w:color="auto"/>
              <w:right w:val="single" w:sz="4" w:space="0" w:color="auto"/>
            </w:tcBorders>
            <w:shd w:val="clear" w:color="000000" w:fill="FFFFFF"/>
            <w:vAlign w:val="center"/>
            <w:hideMark/>
          </w:tcPr>
          <w:p w14:paraId="772F919B"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 xml:space="preserve"> Courses on statistics/Data Analytics/Software</w:t>
            </w:r>
          </w:p>
        </w:tc>
        <w:tc>
          <w:tcPr>
            <w:tcW w:w="4316" w:type="dxa"/>
            <w:tcBorders>
              <w:top w:val="nil"/>
              <w:left w:val="nil"/>
              <w:bottom w:val="single" w:sz="4" w:space="0" w:color="auto"/>
              <w:right w:val="single" w:sz="4" w:space="0" w:color="auto"/>
            </w:tcBorders>
            <w:shd w:val="clear" w:color="000000" w:fill="FFFFFF"/>
            <w:vAlign w:val="center"/>
            <w:hideMark/>
          </w:tcPr>
          <w:p w14:paraId="76F1EF73" w14:textId="1E17B737" w:rsidR="0001015B" w:rsidRPr="0033758E" w:rsidRDefault="0001015B" w:rsidP="00B243AF">
            <w:pPr>
              <w:spacing w:after="0" w:line="240" w:lineRule="auto"/>
              <w:rPr>
                <w:rFonts w:ascii="Arial" w:eastAsia="Times New Roman" w:hAnsi="Arial" w:cs="Arial"/>
                <w:sz w:val="16"/>
                <w:szCs w:val="16"/>
                <w:lang w:val="en-US"/>
              </w:rPr>
            </w:pPr>
            <w:r w:rsidRPr="0033758E">
              <w:rPr>
                <w:rFonts w:ascii="Arial" w:eastAsia="Times New Roman" w:hAnsi="Arial" w:cs="Arial"/>
                <w:sz w:val="16"/>
                <w:szCs w:val="16"/>
              </w:rPr>
              <w:t>Statistics unit staff trained on Statistical Data and Meta data exchange (SDMX)</w:t>
            </w:r>
            <w:r w:rsidR="003E17C7" w:rsidRPr="0033758E">
              <w:rPr>
                <w:rFonts w:ascii="Arial" w:eastAsia="Times New Roman" w:hAnsi="Arial" w:cs="Arial"/>
                <w:sz w:val="16"/>
                <w:szCs w:val="16"/>
                <w:lang w:val="en-US"/>
              </w:rPr>
              <w:t xml:space="preserve"> and a program for rollout to member countries underway.</w:t>
            </w:r>
          </w:p>
        </w:tc>
      </w:tr>
      <w:tr w:rsidR="00614BC9" w:rsidRPr="0033758E" w14:paraId="463ABEB0" w14:textId="77777777" w:rsidTr="00B243AF">
        <w:trPr>
          <w:trHeight w:val="800"/>
        </w:trPr>
        <w:tc>
          <w:tcPr>
            <w:tcW w:w="26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96C216" w14:textId="77777777" w:rsidR="0001015B" w:rsidRPr="0033758E" w:rsidRDefault="0001015B" w:rsidP="00B243AF">
            <w:pPr>
              <w:spacing w:after="0" w:line="240" w:lineRule="auto"/>
              <w:jc w:val="center"/>
              <w:rPr>
                <w:rFonts w:ascii="Arial" w:eastAsia="Times New Roman" w:hAnsi="Arial" w:cs="Arial"/>
                <w:b/>
                <w:bCs/>
                <w:sz w:val="16"/>
                <w:szCs w:val="16"/>
              </w:rPr>
            </w:pPr>
            <w:r w:rsidRPr="0033758E">
              <w:rPr>
                <w:rFonts w:ascii="Arial" w:eastAsia="Times New Roman" w:hAnsi="Arial" w:cs="Arial"/>
                <w:b/>
                <w:bCs/>
                <w:sz w:val="16"/>
                <w:szCs w:val="16"/>
              </w:rPr>
              <w:t>Improving Economic Statistics</w:t>
            </w:r>
          </w:p>
        </w:tc>
        <w:tc>
          <w:tcPr>
            <w:tcW w:w="1482" w:type="dxa"/>
            <w:vMerge w:val="restart"/>
            <w:tcBorders>
              <w:top w:val="nil"/>
              <w:left w:val="single" w:sz="4" w:space="0" w:color="auto"/>
              <w:bottom w:val="nil"/>
              <w:right w:val="single" w:sz="4" w:space="0" w:color="auto"/>
            </w:tcBorders>
            <w:shd w:val="clear" w:color="000000" w:fill="FFFFFF"/>
            <w:vAlign w:val="center"/>
            <w:hideMark/>
          </w:tcPr>
          <w:p w14:paraId="66A09869" w14:textId="77777777" w:rsidR="0001015B" w:rsidRPr="0033758E" w:rsidRDefault="0001015B" w:rsidP="00B243AF">
            <w:pPr>
              <w:spacing w:after="0" w:line="240" w:lineRule="auto"/>
              <w:jc w:val="center"/>
              <w:rPr>
                <w:rFonts w:ascii="Arial" w:eastAsia="Times New Roman" w:hAnsi="Arial" w:cs="Arial"/>
                <w:sz w:val="16"/>
                <w:szCs w:val="16"/>
              </w:rPr>
            </w:pPr>
            <w:r w:rsidRPr="0033758E">
              <w:rPr>
                <w:rFonts w:ascii="Arial" w:eastAsia="Times New Roman" w:hAnsi="Arial" w:cs="Arial"/>
                <w:sz w:val="16"/>
                <w:szCs w:val="16"/>
              </w:rPr>
              <w:t>Consumer Price Statistics</w:t>
            </w:r>
          </w:p>
        </w:tc>
        <w:tc>
          <w:tcPr>
            <w:tcW w:w="2524" w:type="dxa"/>
            <w:tcBorders>
              <w:top w:val="nil"/>
              <w:left w:val="nil"/>
              <w:bottom w:val="single" w:sz="4" w:space="0" w:color="auto"/>
              <w:right w:val="single" w:sz="4" w:space="0" w:color="auto"/>
            </w:tcBorders>
            <w:shd w:val="clear" w:color="000000" w:fill="FFFFFF"/>
            <w:vAlign w:val="center"/>
            <w:hideMark/>
          </w:tcPr>
          <w:p w14:paraId="3A03ECDB" w14:textId="3DD55F73" w:rsidR="0001015B" w:rsidRPr="0033758E" w:rsidRDefault="0001015B" w:rsidP="00B243AF">
            <w:pPr>
              <w:spacing w:after="0" w:line="240" w:lineRule="auto"/>
              <w:rPr>
                <w:rFonts w:ascii="Arial" w:eastAsia="Times New Roman" w:hAnsi="Arial" w:cs="Arial"/>
                <w:sz w:val="16"/>
                <w:szCs w:val="16"/>
                <w:lang w:val="en-US"/>
              </w:rPr>
            </w:pPr>
            <w:r w:rsidRPr="0033758E">
              <w:rPr>
                <w:rFonts w:ascii="Arial" w:eastAsia="Times New Roman" w:hAnsi="Arial" w:cs="Arial"/>
                <w:sz w:val="16"/>
                <w:szCs w:val="16"/>
              </w:rPr>
              <w:t>One Workshop Improving HCPIs in COMESA/SADC regions</w:t>
            </w:r>
            <w:r w:rsidR="00D54406" w:rsidRPr="0033758E">
              <w:rPr>
                <w:rFonts w:ascii="Arial" w:eastAsia="Times New Roman" w:hAnsi="Arial" w:cs="Arial"/>
                <w:sz w:val="16"/>
                <w:szCs w:val="16"/>
                <w:lang w:val="en-US"/>
              </w:rPr>
              <w:t xml:space="preserve"> and one workshop on ICP</w:t>
            </w:r>
          </w:p>
        </w:tc>
        <w:tc>
          <w:tcPr>
            <w:tcW w:w="4316" w:type="dxa"/>
            <w:tcBorders>
              <w:top w:val="nil"/>
              <w:left w:val="nil"/>
              <w:bottom w:val="single" w:sz="4" w:space="0" w:color="auto"/>
              <w:right w:val="single" w:sz="4" w:space="0" w:color="auto"/>
            </w:tcBorders>
            <w:shd w:val="clear" w:color="000000" w:fill="FFFFFF"/>
            <w:vAlign w:val="center"/>
            <w:hideMark/>
          </w:tcPr>
          <w:p w14:paraId="0FE7F13C" w14:textId="31223EBB" w:rsidR="0001015B" w:rsidRPr="0033758E" w:rsidRDefault="00600126" w:rsidP="00CF6DA1">
            <w:pPr>
              <w:pStyle w:val="ListParagraph"/>
              <w:numPr>
                <w:ilvl w:val="0"/>
                <w:numId w:val="16"/>
              </w:numPr>
              <w:spacing w:after="0" w:line="240" w:lineRule="auto"/>
              <w:ind w:left="226" w:hanging="226"/>
              <w:rPr>
                <w:rFonts w:ascii="Arial" w:eastAsia="Times New Roman" w:hAnsi="Arial" w:cs="Arial"/>
                <w:sz w:val="16"/>
                <w:szCs w:val="16"/>
              </w:rPr>
            </w:pPr>
            <w:r w:rsidRPr="0033758E">
              <w:rPr>
                <w:rFonts w:ascii="Arial" w:eastAsia="Times New Roman" w:hAnsi="Arial" w:cs="Arial"/>
                <w:sz w:val="16"/>
                <w:szCs w:val="16"/>
              </w:rPr>
              <w:t>A technical assistance mission was undertaken to Tunisia to assess their HCPI readiness and to assist their Statistical Office to begin compilation of their national HCPI in readiness for inclusion into the COMESA aggregate HCPI in January 2020. The mission was successfully concluded and the National Institute for Statistics in Tunisia has started compilation of the national HCPI</w:t>
            </w:r>
          </w:p>
          <w:p w14:paraId="370D92E1" w14:textId="1AFCAE37" w:rsidR="00E5411D" w:rsidRPr="0033758E" w:rsidRDefault="00BF47EE" w:rsidP="00E5411D">
            <w:pPr>
              <w:pStyle w:val="ListParagraph"/>
              <w:numPr>
                <w:ilvl w:val="0"/>
                <w:numId w:val="16"/>
              </w:numPr>
              <w:spacing w:after="0" w:line="240" w:lineRule="auto"/>
              <w:ind w:left="226" w:hanging="226"/>
              <w:rPr>
                <w:rFonts w:ascii="Arial" w:eastAsia="Times New Roman" w:hAnsi="Arial" w:cs="Arial"/>
                <w:sz w:val="16"/>
                <w:szCs w:val="16"/>
                <w:lang w:val="en-US"/>
              </w:rPr>
            </w:pPr>
            <w:r>
              <w:rPr>
                <w:rFonts w:ascii="Arial" w:eastAsia="Times New Roman" w:hAnsi="Arial" w:cs="Arial"/>
                <w:sz w:val="16"/>
                <w:szCs w:val="16"/>
                <w:lang w:val="en-US"/>
              </w:rPr>
              <w:t>An</w:t>
            </w:r>
            <w:r w:rsidR="000A6C66" w:rsidRPr="0033758E">
              <w:rPr>
                <w:rFonts w:ascii="Arial" w:eastAsia="Times New Roman" w:hAnsi="Arial" w:cs="Arial"/>
                <w:sz w:val="16"/>
                <w:szCs w:val="16"/>
                <w:lang w:val="en-US"/>
              </w:rPr>
              <w:t xml:space="preserve"> ICP data validation and closure workshop was held in April 2019 that also included training on </w:t>
            </w:r>
            <w:r w:rsidR="009F170C" w:rsidRPr="0033758E">
              <w:rPr>
                <w:rFonts w:ascii="Arial" w:eastAsia="Times New Roman" w:hAnsi="Arial" w:cs="Arial"/>
                <w:sz w:val="16"/>
                <w:szCs w:val="16"/>
                <w:lang w:val="en-US"/>
              </w:rPr>
              <w:t xml:space="preserve">improving </w:t>
            </w:r>
            <w:r w:rsidR="000A6C66" w:rsidRPr="0033758E">
              <w:rPr>
                <w:rFonts w:ascii="Arial" w:eastAsia="Times New Roman" w:hAnsi="Arial" w:cs="Arial"/>
                <w:sz w:val="16"/>
                <w:szCs w:val="16"/>
                <w:lang w:val="en-US"/>
              </w:rPr>
              <w:t>HCPI</w:t>
            </w:r>
            <w:r w:rsidR="009F170C" w:rsidRPr="0033758E">
              <w:rPr>
                <w:rFonts w:ascii="Arial" w:eastAsia="Times New Roman" w:hAnsi="Arial" w:cs="Arial"/>
                <w:sz w:val="16"/>
                <w:szCs w:val="16"/>
                <w:lang w:val="en-US"/>
              </w:rPr>
              <w:t>s</w:t>
            </w:r>
            <w:r w:rsidR="00AF2E0E" w:rsidRPr="0033758E">
              <w:rPr>
                <w:rFonts w:ascii="Arial" w:eastAsia="Times New Roman" w:hAnsi="Arial" w:cs="Arial"/>
                <w:sz w:val="16"/>
                <w:szCs w:val="16"/>
                <w:lang w:val="en-US"/>
              </w:rPr>
              <w:t>.</w:t>
            </w:r>
            <w:r w:rsidR="000A6C66" w:rsidRPr="0033758E">
              <w:rPr>
                <w:rFonts w:ascii="Arial" w:eastAsia="Times New Roman" w:hAnsi="Arial" w:cs="Arial"/>
                <w:sz w:val="16"/>
                <w:szCs w:val="16"/>
                <w:lang w:val="en-US"/>
              </w:rPr>
              <w:t xml:space="preserve"> </w:t>
            </w:r>
          </w:p>
          <w:p w14:paraId="43A258F0" w14:textId="06B20499" w:rsidR="003E17C7" w:rsidRPr="0033758E" w:rsidRDefault="003E17C7" w:rsidP="00CF6DA1">
            <w:pPr>
              <w:pStyle w:val="ListParagraph"/>
              <w:numPr>
                <w:ilvl w:val="0"/>
                <w:numId w:val="16"/>
              </w:numPr>
              <w:spacing w:after="0" w:line="240" w:lineRule="auto"/>
              <w:ind w:left="226" w:hanging="226"/>
              <w:rPr>
                <w:rFonts w:ascii="Arial" w:eastAsia="Times New Roman" w:hAnsi="Arial" w:cs="Arial"/>
                <w:sz w:val="16"/>
                <w:szCs w:val="16"/>
                <w:lang w:val="en-US"/>
              </w:rPr>
            </w:pPr>
            <w:r w:rsidRPr="0033758E">
              <w:rPr>
                <w:rFonts w:ascii="Arial" w:eastAsia="Times New Roman" w:hAnsi="Arial" w:cs="Arial"/>
                <w:sz w:val="16"/>
                <w:szCs w:val="16"/>
                <w:lang w:val="en-US"/>
              </w:rPr>
              <w:t xml:space="preserve">Engaging member countries to come up with a </w:t>
            </w:r>
            <w:r w:rsidR="00771F55" w:rsidRPr="0033758E">
              <w:rPr>
                <w:rFonts w:ascii="Arial" w:eastAsia="Times New Roman" w:hAnsi="Arial" w:cs="Arial"/>
                <w:sz w:val="16"/>
                <w:szCs w:val="16"/>
                <w:lang w:val="en-US"/>
              </w:rPr>
              <w:t>roadmap</w:t>
            </w:r>
            <w:r w:rsidRPr="0033758E">
              <w:rPr>
                <w:rFonts w:ascii="Arial" w:eastAsia="Times New Roman" w:hAnsi="Arial" w:cs="Arial"/>
                <w:sz w:val="16"/>
                <w:szCs w:val="16"/>
                <w:lang w:val="en-US"/>
              </w:rPr>
              <w:t xml:space="preserve"> for ICP-CPI integration.</w:t>
            </w:r>
          </w:p>
        </w:tc>
      </w:tr>
      <w:tr w:rsidR="00614BC9" w:rsidRPr="0033758E" w14:paraId="700B2365" w14:textId="77777777" w:rsidTr="00CF6DA1">
        <w:trPr>
          <w:trHeight w:val="440"/>
        </w:trPr>
        <w:tc>
          <w:tcPr>
            <w:tcW w:w="2658" w:type="dxa"/>
            <w:vMerge/>
            <w:tcBorders>
              <w:top w:val="nil"/>
              <w:left w:val="single" w:sz="4" w:space="0" w:color="auto"/>
              <w:bottom w:val="single" w:sz="4" w:space="0" w:color="000000"/>
              <w:right w:val="single" w:sz="4" w:space="0" w:color="auto"/>
            </w:tcBorders>
            <w:vAlign w:val="center"/>
            <w:hideMark/>
          </w:tcPr>
          <w:p w14:paraId="56B23510" w14:textId="77777777" w:rsidR="0001015B" w:rsidRPr="0033758E" w:rsidRDefault="0001015B" w:rsidP="00B243AF">
            <w:pPr>
              <w:spacing w:after="0" w:line="240" w:lineRule="auto"/>
              <w:rPr>
                <w:rFonts w:ascii="Arial" w:eastAsia="Times New Roman" w:hAnsi="Arial" w:cs="Arial"/>
                <w:b/>
                <w:bCs/>
                <w:sz w:val="16"/>
                <w:szCs w:val="16"/>
              </w:rPr>
            </w:pPr>
          </w:p>
        </w:tc>
        <w:tc>
          <w:tcPr>
            <w:tcW w:w="1482" w:type="dxa"/>
            <w:vMerge/>
            <w:tcBorders>
              <w:top w:val="nil"/>
              <w:left w:val="single" w:sz="4" w:space="0" w:color="auto"/>
              <w:bottom w:val="nil"/>
              <w:right w:val="single" w:sz="4" w:space="0" w:color="auto"/>
            </w:tcBorders>
            <w:vAlign w:val="center"/>
            <w:hideMark/>
          </w:tcPr>
          <w:p w14:paraId="0DAA7976" w14:textId="77777777" w:rsidR="0001015B" w:rsidRPr="0033758E" w:rsidRDefault="0001015B" w:rsidP="00B243AF">
            <w:pPr>
              <w:spacing w:after="0" w:line="240" w:lineRule="auto"/>
              <w:rPr>
                <w:rFonts w:ascii="Arial" w:eastAsia="Times New Roman" w:hAnsi="Arial" w:cs="Arial"/>
                <w:sz w:val="16"/>
                <w:szCs w:val="16"/>
              </w:rPr>
            </w:pPr>
          </w:p>
        </w:tc>
        <w:tc>
          <w:tcPr>
            <w:tcW w:w="2524" w:type="dxa"/>
            <w:tcBorders>
              <w:top w:val="nil"/>
              <w:left w:val="nil"/>
              <w:bottom w:val="single" w:sz="4" w:space="0" w:color="auto"/>
              <w:right w:val="single" w:sz="4" w:space="0" w:color="auto"/>
            </w:tcBorders>
            <w:shd w:val="clear" w:color="000000" w:fill="FFFFFF"/>
            <w:vAlign w:val="center"/>
          </w:tcPr>
          <w:p w14:paraId="600264C1" w14:textId="09CD50B9" w:rsidR="0001015B" w:rsidRPr="0033758E" w:rsidRDefault="0001015B" w:rsidP="00B243AF">
            <w:pPr>
              <w:spacing w:after="0" w:line="240" w:lineRule="auto"/>
              <w:rPr>
                <w:rFonts w:ascii="Arial" w:eastAsia="Times New Roman" w:hAnsi="Arial" w:cs="Arial"/>
                <w:sz w:val="16"/>
                <w:szCs w:val="16"/>
              </w:rPr>
            </w:pPr>
          </w:p>
        </w:tc>
        <w:tc>
          <w:tcPr>
            <w:tcW w:w="4316" w:type="dxa"/>
            <w:tcBorders>
              <w:top w:val="nil"/>
              <w:left w:val="nil"/>
              <w:bottom w:val="single" w:sz="4" w:space="0" w:color="auto"/>
              <w:right w:val="single" w:sz="4" w:space="0" w:color="auto"/>
            </w:tcBorders>
            <w:shd w:val="clear" w:color="000000" w:fill="FFFFFF"/>
            <w:vAlign w:val="center"/>
          </w:tcPr>
          <w:p w14:paraId="56E0257D" w14:textId="249E72F2" w:rsidR="0001015B" w:rsidRPr="0033758E" w:rsidRDefault="0001015B" w:rsidP="00B243AF">
            <w:pPr>
              <w:spacing w:after="0" w:line="240" w:lineRule="auto"/>
              <w:rPr>
                <w:rFonts w:ascii="Arial" w:eastAsia="Times New Roman" w:hAnsi="Arial" w:cs="Arial"/>
                <w:sz w:val="16"/>
                <w:szCs w:val="16"/>
              </w:rPr>
            </w:pPr>
          </w:p>
        </w:tc>
      </w:tr>
      <w:tr w:rsidR="00614BC9" w:rsidRPr="0033758E" w14:paraId="24A102D4" w14:textId="77777777" w:rsidTr="00B243AF">
        <w:trPr>
          <w:trHeight w:val="530"/>
        </w:trPr>
        <w:tc>
          <w:tcPr>
            <w:tcW w:w="2658" w:type="dxa"/>
            <w:vMerge/>
            <w:tcBorders>
              <w:top w:val="nil"/>
              <w:left w:val="single" w:sz="4" w:space="0" w:color="auto"/>
              <w:bottom w:val="single" w:sz="4" w:space="0" w:color="000000"/>
              <w:right w:val="single" w:sz="4" w:space="0" w:color="auto"/>
            </w:tcBorders>
            <w:vAlign w:val="center"/>
            <w:hideMark/>
          </w:tcPr>
          <w:p w14:paraId="7659C49C" w14:textId="77777777" w:rsidR="0001015B" w:rsidRPr="0033758E" w:rsidRDefault="0001015B" w:rsidP="00B243AF">
            <w:pPr>
              <w:spacing w:after="0" w:line="240" w:lineRule="auto"/>
              <w:rPr>
                <w:rFonts w:ascii="Arial" w:eastAsia="Times New Roman" w:hAnsi="Arial" w:cs="Arial"/>
                <w:b/>
                <w:bCs/>
                <w:sz w:val="16"/>
                <w:szCs w:val="16"/>
              </w:rPr>
            </w:pPr>
          </w:p>
        </w:tc>
        <w:tc>
          <w:tcPr>
            <w:tcW w:w="1482" w:type="dxa"/>
            <w:tcBorders>
              <w:top w:val="single" w:sz="4" w:space="0" w:color="auto"/>
              <w:left w:val="nil"/>
              <w:bottom w:val="single" w:sz="4" w:space="0" w:color="auto"/>
              <w:right w:val="single" w:sz="4" w:space="0" w:color="auto"/>
            </w:tcBorders>
            <w:shd w:val="clear" w:color="000000" w:fill="FFFFFF"/>
            <w:vAlign w:val="center"/>
            <w:hideMark/>
          </w:tcPr>
          <w:p w14:paraId="6CD89CAA"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Labour Statistics</w:t>
            </w:r>
          </w:p>
        </w:tc>
        <w:tc>
          <w:tcPr>
            <w:tcW w:w="2524" w:type="dxa"/>
            <w:tcBorders>
              <w:top w:val="nil"/>
              <w:left w:val="nil"/>
              <w:bottom w:val="single" w:sz="4" w:space="0" w:color="auto"/>
              <w:right w:val="single" w:sz="4" w:space="0" w:color="auto"/>
            </w:tcBorders>
            <w:shd w:val="clear" w:color="000000" w:fill="FFFFFF"/>
            <w:vAlign w:val="center"/>
            <w:hideMark/>
          </w:tcPr>
          <w:p w14:paraId="4CFF19AC"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 xml:space="preserve">1 Workshops in Labor Force Data Analysis &amp; LMIS </w:t>
            </w:r>
          </w:p>
        </w:tc>
        <w:tc>
          <w:tcPr>
            <w:tcW w:w="4316" w:type="dxa"/>
            <w:tcBorders>
              <w:top w:val="nil"/>
              <w:left w:val="nil"/>
              <w:bottom w:val="single" w:sz="4" w:space="0" w:color="auto"/>
              <w:right w:val="single" w:sz="4" w:space="0" w:color="auto"/>
            </w:tcBorders>
            <w:shd w:val="clear" w:color="000000" w:fill="FFFFFF"/>
            <w:vAlign w:val="center"/>
            <w:hideMark/>
          </w:tcPr>
          <w:p w14:paraId="7188B552" w14:textId="77777777"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Workshop undertaken with AfDB and ILO as a preparation for the twentieth ICLS</w:t>
            </w:r>
          </w:p>
        </w:tc>
      </w:tr>
      <w:tr w:rsidR="00614BC9" w:rsidRPr="0033758E" w14:paraId="3AE0DC17" w14:textId="77777777" w:rsidTr="00B243AF">
        <w:trPr>
          <w:trHeight w:val="350"/>
        </w:trPr>
        <w:tc>
          <w:tcPr>
            <w:tcW w:w="2658" w:type="dxa"/>
            <w:tcBorders>
              <w:top w:val="nil"/>
              <w:left w:val="single" w:sz="4" w:space="0" w:color="auto"/>
              <w:bottom w:val="nil"/>
              <w:right w:val="single" w:sz="4" w:space="0" w:color="auto"/>
            </w:tcBorders>
            <w:shd w:val="clear" w:color="000000" w:fill="FFFFFF"/>
            <w:vAlign w:val="center"/>
            <w:hideMark/>
          </w:tcPr>
          <w:p w14:paraId="4FF63231" w14:textId="77777777" w:rsidR="0001015B" w:rsidRPr="0033758E" w:rsidRDefault="0001015B" w:rsidP="00B243AF">
            <w:pPr>
              <w:spacing w:after="0" w:line="240" w:lineRule="auto"/>
              <w:jc w:val="center"/>
              <w:rPr>
                <w:rFonts w:ascii="Arial" w:eastAsia="Times New Roman" w:hAnsi="Arial" w:cs="Arial"/>
                <w:b/>
                <w:bCs/>
                <w:sz w:val="16"/>
                <w:szCs w:val="16"/>
              </w:rPr>
            </w:pPr>
            <w:r w:rsidRPr="0033758E">
              <w:rPr>
                <w:rFonts w:ascii="Arial" w:eastAsia="Times New Roman" w:hAnsi="Arial" w:cs="Arial"/>
                <w:b/>
                <w:bCs/>
                <w:sz w:val="16"/>
                <w:szCs w:val="16"/>
              </w:rPr>
              <w:t>Improving Infrastructure Statistics</w:t>
            </w:r>
          </w:p>
        </w:tc>
        <w:tc>
          <w:tcPr>
            <w:tcW w:w="1482" w:type="dxa"/>
            <w:tcBorders>
              <w:top w:val="nil"/>
              <w:left w:val="nil"/>
              <w:bottom w:val="nil"/>
              <w:right w:val="single" w:sz="4" w:space="0" w:color="auto"/>
            </w:tcBorders>
            <w:shd w:val="clear" w:color="000000" w:fill="FFFFFF"/>
            <w:noWrap/>
            <w:vAlign w:val="center"/>
            <w:hideMark/>
          </w:tcPr>
          <w:p w14:paraId="32F05DF7" w14:textId="77777777" w:rsidR="0001015B" w:rsidRPr="0033758E" w:rsidRDefault="0001015B" w:rsidP="00B243AF">
            <w:pPr>
              <w:spacing w:after="0" w:line="240" w:lineRule="auto"/>
              <w:jc w:val="center"/>
              <w:rPr>
                <w:rFonts w:ascii="Arial" w:eastAsia="Times New Roman" w:hAnsi="Arial" w:cs="Arial"/>
                <w:b/>
                <w:bCs/>
                <w:sz w:val="16"/>
                <w:szCs w:val="16"/>
              </w:rPr>
            </w:pPr>
            <w:r w:rsidRPr="0033758E">
              <w:rPr>
                <w:rFonts w:ascii="Arial" w:eastAsia="Times New Roman" w:hAnsi="Arial" w:cs="Arial"/>
                <w:b/>
                <w:bCs/>
                <w:sz w:val="16"/>
                <w:szCs w:val="16"/>
              </w:rPr>
              <w:t> </w:t>
            </w:r>
          </w:p>
        </w:tc>
        <w:tc>
          <w:tcPr>
            <w:tcW w:w="2524" w:type="dxa"/>
            <w:tcBorders>
              <w:top w:val="nil"/>
              <w:left w:val="nil"/>
              <w:bottom w:val="single" w:sz="4" w:space="0" w:color="auto"/>
              <w:right w:val="single" w:sz="4" w:space="0" w:color="auto"/>
            </w:tcBorders>
            <w:shd w:val="clear" w:color="000000" w:fill="FFFFFF"/>
            <w:vAlign w:val="center"/>
            <w:hideMark/>
          </w:tcPr>
          <w:p w14:paraId="4A51903E" w14:textId="6DAC680E" w:rsidR="0001015B" w:rsidRPr="0033758E" w:rsidRDefault="0001015B" w:rsidP="00B243AF">
            <w:pPr>
              <w:spacing w:after="0" w:line="240" w:lineRule="auto"/>
              <w:rPr>
                <w:rFonts w:ascii="Arial" w:eastAsia="Times New Roman" w:hAnsi="Arial" w:cs="Arial"/>
                <w:sz w:val="16"/>
                <w:szCs w:val="16"/>
              </w:rPr>
            </w:pPr>
            <w:r w:rsidRPr="0033758E">
              <w:rPr>
                <w:rFonts w:ascii="Arial" w:eastAsia="Times New Roman" w:hAnsi="Arial" w:cs="Arial"/>
                <w:sz w:val="16"/>
                <w:szCs w:val="16"/>
              </w:rPr>
              <w:t xml:space="preserve"> AIKP Data </w:t>
            </w:r>
            <w:r w:rsidR="00771F55" w:rsidRPr="0033758E">
              <w:rPr>
                <w:rFonts w:ascii="Arial" w:eastAsia="Times New Roman" w:hAnsi="Arial" w:cs="Arial"/>
                <w:sz w:val="16"/>
                <w:szCs w:val="16"/>
                <w:lang w:val="en-US"/>
              </w:rPr>
              <w:t>collection</w:t>
            </w:r>
            <w:r w:rsidRPr="0033758E">
              <w:rPr>
                <w:rFonts w:ascii="Arial" w:eastAsia="Times New Roman" w:hAnsi="Arial" w:cs="Arial"/>
                <w:sz w:val="16"/>
                <w:szCs w:val="16"/>
              </w:rPr>
              <w:t>Workshop</w:t>
            </w:r>
          </w:p>
        </w:tc>
        <w:tc>
          <w:tcPr>
            <w:tcW w:w="4316" w:type="dxa"/>
            <w:tcBorders>
              <w:top w:val="nil"/>
              <w:left w:val="nil"/>
              <w:bottom w:val="single" w:sz="4" w:space="0" w:color="auto"/>
              <w:right w:val="single" w:sz="4" w:space="0" w:color="auto"/>
            </w:tcBorders>
            <w:shd w:val="clear" w:color="000000" w:fill="FFFFFF"/>
            <w:vAlign w:val="center"/>
            <w:hideMark/>
          </w:tcPr>
          <w:p w14:paraId="36176740" w14:textId="2A2AA8BC" w:rsidR="0001015B" w:rsidRPr="0033758E" w:rsidRDefault="00EF6510" w:rsidP="00B243AF">
            <w:pPr>
              <w:spacing w:after="0" w:line="240" w:lineRule="auto"/>
              <w:rPr>
                <w:rFonts w:ascii="Arial" w:eastAsia="Times New Roman" w:hAnsi="Arial" w:cs="Arial"/>
                <w:i/>
                <w:iCs/>
                <w:sz w:val="16"/>
                <w:szCs w:val="16"/>
                <w:lang w:val="en-US"/>
              </w:rPr>
            </w:pPr>
            <w:r w:rsidRPr="0033758E">
              <w:rPr>
                <w:rFonts w:ascii="Arial" w:eastAsia="Times New Roman" w:hAnsi="Arial" w:cs="Arial"/>
                <w:iCs/>
                <w:sz w:val="16"/>
                <w:szCs w:val="16"/>
                <w:lang w:val="en-US"/>
              </w:rPr>
              <w:t>Data collection preparations for AIKP indicators started in April 2019 and will end in 2020</w:t>
            </w:r>
            <w:r w:rsidRPr="0033758E">
              <w:rPr>
                <w:rFonts w:ascii="Arial" w:eastAsia="Times New Roman" w:hAnsi="Arial" w:cs="Arial"/>
                <w:i/>
                <w:iCs/>
                <w:sz w:val="16"/>
                <w:szCs w:val="16"/>
                <w:lang w:val="en-US"/>
              </w:rPr>
              <w:t>.</w:t>
            </w:r>
          </w:p>
        </w:tc>
      </w:tr>
      <w:tr w:rsidR="00614BC9" w:rsidRPr="0033758E" w14:paraId="6FCA9A4C" w14:textId="77777777" w:rsidTr="00CF6DA1">
        <w:trPr>
          <w:trHeight w:val="477"/>
        </w:trPr>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tcPr>
          <w:p w14:paraId="5F683007" w14:textId="41980478" w:rsidR="0001015B" w:rsidRPr="0033758E" w:rsidRDefault="0001015B" w:rsidP="00B243AF">
            <w:pPr>
              <w:spacing w:after="0" w:line="240" w:lineRule="auto"/>
              <w:jc w:val="center"/>
              <w:rPr>
                <w:rFonts w:ascii="Arial" w:eastAsia="Times New Roman" w:hAnsi="Arial" w:cs="Arial"/>
                <w:b/>
                <w:bCs/>
                <w:sz w:val="16"/>
                <w:szCs w:val="16"/>
              </w:rPr>
            </w:pPr>
          </w:p>
        </w:tc>
        <w:tc>
          <w:tcPr>
            <w:tcW w:w="1482" w:type="dxa"/>
            <w:tcBorders>
              <w:top w:val="single" w:sz="4" w:space="0" w:color="auto"/>
              <w:left w:val="nil"/>
              <w:bottom w:val="single" w:sz="4" w:space="0" w:color="auto"/>
              <w:right w:val="single" w:sz="4" w:space="0" w:color="auto"/>
            </w:tcBorders>
            <w:shd w:val="clear" w:color="000000" w:fill="FFFFFF"/>
            <w:noWrap/>
            <w:vAlign w:val="center"/>
          </w:tcPr>
          <w:p w14:paraId="3B0755EF" w14:textId="7FF05711" w:rsidR="0001015B" w:rsidRPr="0033758E" w:rsidRDefault="0001015B" w:rsidP="00B243AF">
            <w:pPr>
              <w:spacing w:after="0" w:line="240" w:lineRule="auto"/>
              <w:rPr>
                <w:rFonts w:ascii="Arial" w:eastAsia="Times New Roman" w:hAnsi="Arial" w:cs="Arial"/>
                <w:sz w:val="16"/>
                <w:szCs w:val="16"/>
              </w:rPr>
            </w:pPr>
          </w:p>
        </w:tc>
        <w:tc>
          <w:tcPr>
            <w:tcW w:w="2524" w:type="dxa"/>
            <w:tcBorders>
              <w:top w:val="nil"/>
              <w:left w:val="nil"/>
              <w:bottom w:val="single" w:sz="4" w:space="0" w:color="auto"/>
              <w:right w:val="single" w:sz="4" w:space="0" w:color="auto"/>
            </w:tcBorders>
            <w:shd w:val="clear" w:color="000000" w:fill="FFFFFF"/>
            <w:vAlign w:val="center"/>
          </w:tcPr>
          <w:p w14:paraId="2378800D" w14:textId="42492175" w:rsidR="0001015B" w:rsidRPr="0033758E" w:rsidRDefault="0001015B" w:rsidP="00B243AF">
            <w:pPr>
              <w:spacing w:after="0" w:line="240" w:lineRule="auto"/>
              <w:rPr>
                <w:rFonts w:ascii="Arial" w:eastAsia="Times New Roman" w:hAnsi="Arial" w:cs="Arial"/>
                <w:sz w:val="16"/>
                <w:szCs w:val="16"/>
              </w:rPr>
            </w:pPr>
          </w:p>
        </w:tc>
        <w:tc>
          <w:tcPr>
            <w:tcW w:w="4316" w:type="dxa"/>
            <w:tcBorders>
              <w:top w:val="nil"/>
              <w:left w:val="nil"/>
              <w:bottom w:val="single" w:sz="4" w:space="0" w:color="auto"/>
              <w:right w:val="single" w:sz="4" w:space="0" w:color="auto"/>
            </w:tcBorders>
            <w:shd w:val="clear" w:color="000000" w:fill="FFFFFF"/>
            <w:vAlign w:val="center"/>
          </w:tcPr>
          <w:p w14:paraId="60D53E79" w14:textId="0A957021" w:rsidR="0001015B" w:rsidRPr="0033758E" w:rsidRDefault="0001015B" w:rsidP="00B243AF">
            <w:pPr>
              <w:spacing w:after="0" w:line="240" w:lineRule="auto"/>
              <w:rPr>
                <w:rFonts w:ascii="Arial" w:eastAsia="Times New Roman" w:hAnsi="Arial" w:cs="Arial"/>
                <w:sz w:val="16"/>
                <w:szCs w:val="16"/>
              </w:rPr>
            </w:pPr>
          </w:p>
        </w:tc>
      </w:tr>
    </w:tbl>
    <w:p w14:paraId="10426054" w14:textId="4BE883F4" w:rsidR="00EE0E3E" w:rsidRDefault="00EE0E3E" w:rsidP="00E50CB0">
      <w:pPr>
        <w:rPr>
          <w:rFonts w:ascii="Arial" w:hAnsi="Arial" w:cs="Arial"/>
          <w:lang w:val="en-GB"/>
        </w:rPr>
      </w:pPr>
    </w:p>
    <w:p w14:paraId="321B0A3F" w14:textId="5264EE39" w:rsidR="00035997" w:rsidRDefault="00035997" w:rsidP="00E50CB0">
      <w:pPr>
        <w:rPr>
          <w:rFonts w:ascii="Arial" w:hAnsi="Arial" w:cs="Arial"/>
          <w:lang w:val="en-GB"/>
        </w:rPr>
      </w:pPr>
    </w:p>
    <w:p w14:paraId="0513EAA9" w14:textId="77777777" w:rsidR="00035997" w:rsidRPr="00FC06F7" w:rsidRDefault="00035997" w:rsidP="00E50CB0">
      <w:pPr>
        <w:rPr>
          <w:rFonts w:ascii="Arial" w:hAnsi="Arial" w:cs="Arial"/>
          <w:lang w:val="en-GB"/>
        </w:rPr>
      </w:pPr>
    </w:p>
    <w:p w14:paraId="568AA8CC" w14:textId="2935CE91" w:rsidR="000C423F" w:rsidRPr="00FC06F7" w:rsidRDefault="00C15EE7" w:rsidP="000C423F">
      <w:pPr>
        <w:ind w:left="360"/>
        <w:rPr>
          <w:rFonts w:ascii="Arial" w:hAnsi="Arial" w:cs="Arial"/>
          <w:lang w:val="en-GB"/>
        </w:rPr>
      </w:pPr>
      <w:r w:rsidRPr="00FC06F7">
        <w:rPr>
          <w:rFonts w:ascii="Arial" w:hAnsi="Arial" w:cs="Arial"/>
          <w:lang w:val="en-GB"/>
        </w:rPr>
        <w:t>Table 1, below presents expenditure incurred in the period in implementing the above activities</w:t>
      </w:r>
    </w:p>
    <w:tbl>
      <w:tblPr>
        <w:tblW w:w="9705" w:type="dxa"/>
        <w:tblLook w:val="04A0" w:firstRow="1" w:lastRow="0" w:firstColumn="1" w:lastColumn="0" w:noHBand="0" w:noVBand="1"/>
      </w:tblPr>
      <w:tblGrid>
        <w:gridCol w:w="474"/>
        <w:gridCol w:w="1212"/>
        <w:gridCol w:w="1017"/>
        <w:gridCol w:w="1017"/>
        <w:gridCol w:w="1017"/>
        <w:gridCol w:w="1017"/>
        <w:gridCol w:w="1017"/>
        <w:gridCol w:w="990"/>
        <w:gridCol w:w="990"/>
        <w:gridCol w:w="954"/>
      </w:tblGrid>
      <w:tr w:rsidR="00614BC9" w:rsidRPr="005F16A6" w14:paraId="21E09F21" w14:textId="4AE559DF" w:rsidTr="00CD3E50">
        <w:trPr>
          <w:trHeight w:val="330"/>
        </w:trPr>
        <w:tc>
          <w:tcPr>
            <w:tcW w:w="474" w:type="dxa"/>
            <w:vMerge w:val="restart"/>
            <w:tcBorders>
              <w:top w:val="double" w:sz="6" w:space="0" w:color="auto"/>
              <w:left w:val="double" w:sz="6" w:space="0" w:color="auto"/>
              <w:bottom w:val="single" w:sz="4" w:space="0" w:color="000000"/>
              <w:right w:val="single" w:sz="4" w:space="0" w:color="auto"/>
            </w:tcBorders>
            <w:shd w:val="clear" w:color="000000" w:fill="BFBFBF"/>
            <w:hideMark/>
          </w:tcPr>
          <w:p w14:paraId="735F94AC" w14:textId="77777777" w:rsidR="004061ED" w:rsidRPr="005F16A6" w:rsidRDefault="004061ED" w:rsidP="000C423F">
            <w:pPr>
              <w:spacing w:after="0" w:line="240" w:lineRule="auto"/>
              <w:rPr>
                <w:rFonts w:ascii="Arial" w:eastAsia="Times New Roman" w:hAnsi="Arial" w:cs="Arial"/>
                <w:b/>
                <w:bCs/>
                <w:sz w:val="16"/>
                <w:szCs w:val="16"/>
              </w:rPr>
            </w:pPr>
            <w:r w:rsidRPr="005F16A6">
              <w:rPr>
                <w:rFonts w:ascii="Arial" w:eastAsia="Times New Roman" w:hAnsi="Arial" w:cs="Arial"/>
                <w:b/>
                <w:bCs/>
                <w:sz w:val="16"/>
                <w:szCs w:val="16"/>
              </w:rPr>
              <w:lastRenderedPageBreak/>
              <w:t>No.</w:t>
            </w:r>
          </w:p>
        </w:tc>
        <w:tc>
          <w:tcPr>
            <w:tcW w:w="1212" w:type="dxa"/>
            <w:vMerge w:val="restart"/>
            <w:tcBorders>
              <w:top w:val="double" w:sz="6" w:space="0" w:color="auto"/>
              <w:left w:val="single" w:sz="4" w:space="0" w:color="auto"/>
              <w:bottom w:val="single" w:sz="4" w:space="0" w:color="000000"/>
              <w:right w:val="single" w:sz="4" w:space="0" w:color="auto"/>
            </w:tcBorders>
            <w:shd w:val="clear" w:color="000000" w:fill="BFBFBF"/>
            <w:hideMark/>
          </w:tcPr>
          <w:p w14:paraId="34D78345" w14:textId="77777777" w:rsidR="004061ED" w:rsidRPr="005F16A6" w:rsidRDefault="004061ED" w:rsidP="000C423F">
            <w:pPr>
              <w:spacing w:after="0" w:line="240" w:lineRule="auto"/>
              <w:rPr>
                <w:rFonts w:ascii="Arial" w:eastAsia="Times New Roman" w:hAnsi="Arial" w:cs="Arial"/>
                <w:b/>
                <w:bCs/>
                <w:sz w:val="16"/>
                <w:szCs w:val="16"/>
              </w:rPr>
            </w:pPr>
            <w:r w:rsidRPr="005F16A6">
              <w:rPr>
                <w:rFonts w:ascii="Arial" w:eastAsia="Times New Roman" w:hAnsi="Arial" w:cs="Arial"/>
                <w:b/>
                <w:bCs/>
                <w:sz w:val="16"/>
                <w:szCs w:val="16"/>
              </w:rPr>
              <w:t>Budget Line Description [as in grant contract]</w:t>
            </w:r>
          </w:p>
        </w:tc>
        <w:tc>
          <w:tcPr>
            <w:tcW w:w="1017" w:type="dxa"/>
            <w:tcBorders>
              <w:top w:val="double" w:sz="6" w:space="0" w:color="auto"/>
              <w:left w:val="nil"/>
              <w:bottom w:val="single" w:sz="4" w:space="0" w:color="auto"/>
              <w:right w:val="single" w:sz="4" w:space="0" w:color="auto"/>
            </w:tcBorders>
            <w:shd w:val="clear" w:color="000000" w:fill="BFBFBF"/>
            <w:hideMark/>
          </w:tcPr>
          <w:p w14:paraId="4AD3C06A"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2018</w:t>
            </w:r>
          </w:p>
        </w:tc>
        <w:tc>
          <w:tcPr>
            <w:tcW w:w="6048" w:type="dxa"/>
            <w:gridSpan w:val="6"/>
            <w:tcBorders>
              <w:top w:val="double" w:sz="6" w:space="0" w:color="auto"/>
              <w:left w:val="nil"/>
              <w:bottom w:val="single" w:sz="4" w:space="0" w:color="auto"/>
              <w:right w:val="double" w:sz="6" w:space="0" w:color="auto"/>
            </w:tcBorders>
            <w:shd w:val="clear" w:color="000000" w:fill="BFBFBF"/>
            <w:hideMark/>
          </w:tcPr>
          <w:p w14:paraId="0CDC253A" w14:textId="77777777" w:rsidR="004061ED" w:rsidRPr="005F16A6" w:rsidRDefault="004061ED" w:rsidP="000C423F">
            <w:pPr>
              <w:spacing w:after="0" w:line="240" w:lineRule="auto"/>
              <w:jc w:val="center"/>
              <w:rPr>
                <w:rFonts w:ascii="Arial" w:eastAsia="Times New Roman" w:hAnsi="Arial" w:cs="Arial"/>
                <w:b/>
                <w:bCs/>
                <w:sz w:val="16"/>
                <w:szCs w:val="16"/>
              </w:rPr>
            </w:pPr>
            <w:r w:rsidRPr="005F16A6">
              <w:rPr>
                <w:rFonts w:ascii="Arial" w:eastAsia="Times New Roman" w:hAnsi="Arial" w:cs="Arial"/>
                <w:b/>
                <w:bCs/>
                <w:sz w:val="16"/>
                <w:szCs w:val="16"/>
              </w:rPr>
              <w:t>2019</w:t>
            </w:r>
          </w:p>
          <w:p w14:paraId="46A016CF" w14:textId="0697E941" w:rsidR="004061ED" w:rsidRPr="005F16A6" w:rsidRDefault="004061ED" w:rsidP="000C423F">
            <w:pPr>
              <w:spacing w:after="0" w:line="240" w:lineRule="auto"/>
              <w:rPr>
                <w:rFonts w:ascii="Arial" w:eastAsia="Times New Roman" w:hAnsi="Arial" w:cs="Arial"/>
                <w:b/>
                <w:bCs/>
                <w:sz w:val="16"/>
                <w:szCs w:val="16"/>
              </w:rPr>
            </w:pPr>
            <w:r w:rsidRPr="005F16A6">
              <w:rPr>
                <w:rFonts w:ascii="Arial" w:eastAsia="Times New Roman" w:hAnsi="Arial" w:cs="Arial"/>
                <w:b/>
                <w:bCs/>
                <w:sz w:val="16"/>
                <w:szCs w:val="16"/>
              </w:rPr>
              <w:t> </w:t>
            </w:r>
          </w:p>
          <w:p w14:paraId="345AFE75" w14:textId="2EE88FA3" w:rsidR="004061ED" w:rsidRPr="005F16A6" w:rsidRDefault="004061ED" w:rsidP="000C423F">
            <w:pPr>
              <w:spacing w:after="0" w:line="240" w:lineRule="auto"/>
              <w:rPr>
                <w:rFonts w:ascii="Arial" w:eastAsia="Times New Roman" w:hAnsi="Arial" w:cs="Arial"/>
                <w:b/>
                <w:bCs/>
                <w:sz w:val="16"/>
                <w:szCs w:val="16"/>
              </w:rPr>
            </w:pPr>
            <w:r w:rsidRPr="005F16A6">
              <w:rPr>
                <w:rFonts w:ascii="Arial" w:eastAsia="Times New Roman" w:hAnsi="Arial" w:cs="Arial"/>
                <w:b/>
                <w:bCs/>
                <w:sz w:val="16"/>
                <w:szCs w:val="16"/>
              </w:rPr>
              <w:t> </w:t>
            </w:r>
          </w:p>
        </w:tc>
        <w:tc>
          <w:tcPr>
            <w:tcW w:w="954" w:type="dxa"/>
            <w:tcBorders>
              <w:top w:val="double" w:sz="6" w:space="0" w:color="auto"/>
              <w:left w:val="nil"/>
              <w:bottom w:val="single" w:sz="4" w:space="0" w:color="auto"/>
              <w:right w:val="double" w:sz="6" w:space="0" w:color="auto"/>
            </w:tcBorders>
            <w:shd w:val="clear" w:color="000000" w:fill="BFBFBF"/>
          </w:tcPr>
          <w:p w14:paraId="5BB58DA3" w14:textId="77777777" w:rsidR="004061ED" w:rsidRPr="005F16A6" w:rsidRDefault="004061ED" w:rsidP="000C423F">
            <w:pPr>
              <w:spacing w:after="0" w:line="240" w:lineRule="auto"/>
              <w:jc w:val="center"/>
              <w:rPr>
                <w:rFonts w:ascii="Arial" w:eastAsia="Times New Roman" w:hAnsi="Arial" w:cs="Arial"/>
                <w:b/>
                <w:bCs/>
                <w:sz w:val="16"/>
                <w:szCs w:val="16"/>
              </w:rPr>
            </w:pPr>
          </w:p>
        </w:tc>
      </w:tr>
      <w:tr w:rsidR="00614BC9" w:rsidRPr="005F16A6" w14:paraId="6B55C653" w14:textId="5F0786F2" w:rsidTr="00CD3E50">
        <w:trPr>
          <w:trHeight w:val="780"/>
        </w:trPr>
        <w:tc>
          <w:tcPr>
            <w:tcW w:w="474" w:type="dxa"/>
            <w:vMerge/>
            <w:tcBorders>
              <w:top w:val="double" w:sz="6" w:space="0" w:color="auto"/>
              <w:left w:val="double" w:sz="6" w:space="0" w:color="auto"/>
              <w:bottom w:val="single" w:sz="4" w:space="0" w:color="000000"/>
              <w:right w:val="single" w:sz="4" w:space="0" w:color="auto"/>
            </w:tcBorders>
            <w:vAlign w:val="center"/>
            <w:hideMark/>
          </w:tcPr>
          <w:p w14:paraId="4145798C" w14:textId="77777777" w:rsidR="004061ED" w:rsidRPr="005F16A6" w:rsidRDefault="004061ED" w:rsidP="000C423F">
            <w:pPr>
              <w:spacing w:after="0" w:line="240" w:lineRule="auto"/>
              <w:rPr>
                <w:rFonts w:ascii="Arial" w:eastAsia="Times New Roman" w:hAnsi="Arial" w:cs="Arial"/>
                <w:b/>
                <w:bCs/>
                <w:sz w:val="16"/>
                <w:szCs w:val="16"/>
              </w:rPr>
            </w:pPr>
          </w:p>
        </w:tc>
        <w:tc>
          <w:tcPr>
            <w:tcW w:w="1212" w:type="dxa"/>
            <w:vMerge/>
            <w:tcBorders>
              <w:top w:val="double" w:sz="6" w:space="0" w:color="auto"/>
              <w:left w:val="single" w:sz="4" w:space="0" w:color="auto"/>
              <w:bottom w:val="single" w:sz="4" w:space="0" w:color="000000"/>
              <w:right w:val="single" w:sz="4" w:space="0" w:color="auto"/>
            </w:tcBorders>
            <w:vAlign w:val="center"/>
            <w:hideMark/>
          </w:tcPr>
          <w:p w14:paraId="2154D16B" w14:textId="77777777" w:rsidR="004061ED" w:rsidRPr="005F16A6" w:rsidRDefault="004061ED" w:rsidP="000C423F">
            <w:pPr>
              <w:spacing w:after="0" w:line="240" w:lineRule="auto"/>
              <w:rPr>
                <w:rFonts w:ascii="Arial" w:eastAsia="Times New Roman" w:hAnsi="Arial" w:cs="Arial"/>
                <w:b/>
                <w:bCs/>
                <w:sz w:val="16"/>
                <w:szCs w:val="16"/>
              </w:rPr>
            </w:pPr>
          </w:p>
        </w:tc>
        <w:tc>
          <w:tcPr>
            <w:tcW w:w="1017" w:type="dxa"/>
            <w:tcBorders>
              <w:top w:val="nil"/>
              <w:left w:val="nil"/>
              <w:bottom w:val="single" w:sz="4" w:space="0" w:color="auto"/>
              <w:right w:val="single" w:sz="4" w:space="0" w:color="auto"/>
            </w:tcBorders>
            <w:shd w:val="clear" w:color="000000" w:fill="BFBFBF"/>
            <w:hideMark/>
          </w:tcPr>
          <w:p w14:paraId="4DF2BC61"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Actual</w:t>
            </w:r>
          </w:p>
        </w:tc>
        <w:tc>
          <w:tcPr>
            <w:tcW w:w="1017" w:type="dxa"/>
            <w:tcBorders>
              <w:top w:val="nil"/>
              <w:left w:val="nil"/>
              <w:bottom w:val="single" w:sz="4" w:space="0" w:color="auto"/>
              <w:right w:val="single" w:sz="4" w:space="0" w:color="auto"/>
            </w:tcBorders>
            <w:shd w:val="clear" w:color="000000" w:fill="BFBFBF"/>
            <w:hideMark/>
          </w:tcPr>
          <w:p w14:paraId="7431AC27"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Original Budget</w:t>
            </w:r>
          </w:p>
        </w:tc>
        <w:tc>
          <w:tcPr>
            <w:tcW w:w="1017" w:type="dxa"/>
            <w:tcBorders>
              <w:top w:val="nil"/>
              <w:left w:val="nil"/>
              <w:bottom w:val="single" w:sz="4" w:space="0" w:color="auto"/>
              <w:right w:val="single" w:sz="4" w:space="0" w:color="auto"/>
            </w:tcBorders>
            <w:shd w:val="clear" w:color="000000" w:fill="BFBFBF"/>
            <w:hideMark/>
          </w:tcPr>
          <w:p w14:paraId="30A648FC"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Actual: Six months</w:t>
            </w:r>
          </w:p>
        </w:tc>
        <w:tc>
          <w:tcPr>
            <w:tcW w:w="1017" w:type="dxa"/>
            <w:tcBorders>
              <w:top w:val="nil"/>
              <w:left w:val="nil"/>
              <w:bottom w:val="single" w:sz="4" w:space="0" w:color="auto"/>
              <w:right w:val="single" w:sz="4" w:space="0" w:color="auto"/>
            </w:tcBorders>
            <w:shd w:val="clear" w:color="000000" w:fill="BFBFBF"/>
            <w:hideMark/>
          </w:tcPr>
          <w:p w14:paraId="764AA5EA"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Forecast: Six months</w:t>
            </w:r>
          </w:p>
        </w:tc>
        <w:tc>
          <w:tcPr>
            <w:tcW w:w="1017" w:type="dxa"/>
            <w:tcBorders>
              <w:top w:val="nil"/>
              <w:left w:val="nil"/>
              <w:bottom w:val="single" w:sz="4" w:space="0" w:color="auto"/>
              <w:right w:val="nil"/>
            </w:tcBorders>
            <w:shd w:val="clear" w:color="000000" w:fill="BFBFBF"/>
            <w:hideMark/>
          </w:tcPr>
          <w:p w14:paraId="28CBEEF5"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Revised Forecast</w:t>
            </w:r>
          </w:p>
        </w:tc>
        <w:tc>
          <w:tcPr>
            <w:tcW w:w="990" w:type="dxa"/>
            <w:tcBorders>
              <w:top w:val="double" w:sz="6" w:space="0" w:color="auto"/>
              <w:left w:val="double" w:sz="6" w:space="0" w:color="auto"/>
              <w:bottom w:val="single" w:sz="4" w:space="0" w:color="auto"/>
              <w:right w:val="single" w:sz="4" w:space="0" w:color="auto"/>
            </w:tcBorders>
            <w:shd w:val="clear" w:color="000000" w:fill="BFBFBF"/>
            <w:hideMark/>
          </w:tcPr>
          <w:p w14:paraId="329AE4AD"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 Budget Utilisation achieved</w:t>
            </w:r>
          </w:p>
        </w:tc>
        <w:tc>
          <w:tcPr>
            <w:tcW w:w="990" w:type="dxa"/>
            <w:tcBorders>
              <w:top w:val="double" w:sz="6" w:space="0" w:color="auto"/>
              <w:left w:val="nil"/>
              <w:bottom w:val="single" w:sz="4" w:space="0" w:color="auto"/>
              <w:right w:val="double" w:sz="6" w:space="0" w:color="auto"/>
            </w:tcBorders>
            <w:shd w:val="clear" w:color="000000" w:fill="BFBFBF"/>
            <w:hideMark/>
          </w:tcPr>
          <w:p w14:paraId="7B43991C"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 Forecast Budget Utilisation</w:t>
            </w:r>
          </w:p>
        </w:tc>
        <w:tc>
          <w:tcPr>
            <w:tcW w:w="954" w:type="dxa"/>
            <w:tcBorders>
              <w:top w:val="double" w:sz="6" w:space="0" w:color="auto"/>
              <w:left w:val="nil"/>
              <w:bottom w:val="single" w:sz="4" w:space="0" w:color="auto"/>
              <w:right w:val="double" w:sz="6" w:space="0" w:color="auto"/>
            </w:tcBorders>
            <w:shd w:val="clear" w:color="000000" w:fill="BFBFBF"/>
          </w:tcPr>
          <w:p w14:paraId="3ED0DEDC" w14:textId="19EB549B" w:rsidR="004061ED" w:rsidRPr="005F16A6" w:rsidRDefault="003A7C2F" w:rsidP="000C423F">
            <w:pPr>
              <w:spacing w:after="0" w:line="240" w:lineRule="auto"/>
              <w:jc w:val="right"/>
              <w:rPr>
                <w:rFonts w:ascii="Arial" w:eastAsia="Times New Roman" w:hAnsi="Arial" w:cs="Arial"/>
                <w:b/>
                <w:bCs/>
                <w:sz w:val="16"/>
                <w:szCs w:val="16"/>
                <w:lang w:val="en-GB"/>
              </w:rPr>
            </w:pPr>
            <w:r w:rsidRPr="005F16A6">
              <w:rPr>
                <w:rFonts w:ascii="Arial" w:eastAsia="Times New Roman" w:hAnsi="Arial" w:cs="Arial"/>
                <w:b/>
                <w:bCs/>
                <w:sz w:val="16"/>
                <w:szCs w:val="16"/>
                <w:lang w:val="en-GB"/>
              </w:rPr>
              <w:t>Proposed budget revision</w:t>
            </w:r>
          </w:p>
        </w:tc>
      </w:tr>
      <w:tr w:rsidR="00614BC9" w:rsidRPr="005F16A6" w14:paraId="78302C6E" w14:textId="6E027BCE" w:rsidTr="00CD3E50">
        <w:trPr>
          <w:trHeight w:val="510"/>
        </w:trPr>
        <w:tc>
          <w:tcPr>
            <w:tcW w:w="474" w:type="dxa"/>
            <w:vMerge/>
            <w:tcBorders>
              <w:top w:val="double" w:sz="6" w:space="0" w:color="auto"/>
              <w:left w:val="double" w:sz="6" w:space="0" w:color="auto"/>
              <w:bottom w:val="single" w:sz="4" w:space="0" w:color="000000"/>
              <w:right w:val="single" w:sz="4" w:space="0" w:color="auto"/>
            </w:tcBorders>
            <w:vAlign w:val="center"/>
            <w:hideMark/>
          </w:tcPr>
          <w:p w14:paraId="54A6416E" w14:textId="77777777" w:rsidR="004061ED" w:rsidRPr="005F16A6" w:rsidRDefault="004061ED" w:rsidP="000C423F">
            <w:pPr>
              <w:spacing w:after="0" w:line="240" w:lineRule="auto"/>
              <w:rPr>
                <w:rFonts w:ascii="Arial" w:eastAsia="Times New Roman" w:hAnsi="Arial" w:cs="Arial"/>
                <w:b/>
                <w:bCs/>
                <w:sz w:val="16"/>
                <w:szCs w:val="16"/>
              </w:rPr>
            </w:pPr>
          </w:p>
        </w:tc>
        <w:tc>
          <w:tcPr>
            <w:tcW w:w="1212" w:type="dxa"/>
            <w:vMerge/>
            <w:tcBorders>
              <w:top w:val="double" w:sz="6" w:space="0" w:color="auto"/>
              <w:left w:val="single" w:sz="4" w:space="0" w:color="auto"/>
              <w:bottom w:val="single" w:sz="4" w:space="0" w:color="000000"/>
              <w:right w:val="single" w:sz="4" w:space="0" w:color="auto"/>
            </w:tcBorders>
            <w:vAlign w:val="center"/>
            <w:hideMark/>
          </w:tcPr>
          <w:p w14:paraId="09290CBB" w14:textId="77777777" w:rsidR="004061ED" w:rsidRPr="005F16A6" w:rsidRDefault="004061ED" w:rsidP="000C423F">
            <w:pPr>
              <w:spacing w:after="0" w:line="240" w:lineRule="auto"/>
              <w:rPr>
                <w:rFonts w:ascii="Arial" w:eastAsia="Times New Roman" w:hAnsi="Arial" w:cs="Arial"/>
                <w:b/>
                <w:bCs/>
                <w:sz w:val="16"/>
                <w:szCs w:val="16"/>
              </w:rPr>
            </w:pPr>
          </w:p>
        </w:tc>
        <w:tc>
          <w:tcPr>
            <w:tcW w:w="1017" w:type="dxa"/>
            <w:tcBorders>
              <w:top w:val="nil"/>
              <w:left w:val="nil"/>
              <w:bottom w:val="single" w:sz="4" w:space="0" w:color="auto"/>
              <w:right w:val="single" w:sz="4" w:space="0" w:color="auto"/>
            </w:tcBorders>
            <w:shd w:val="clear" w:color="000000" w:fill="BFBFBF"/>
            <w:hideMark/>
          </w:tcPr>
          <w:p w14:paraId="06DA0767"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12 months</w:t>
            </w:r>
          </w:p>
        </w:tc>
        <w:tc>
          <w:tcPr>
            <w:tcW w:w="1017" w:type="dxa"/>
            <w:tcBorders>
              <w:top w:val="nil"/>
              <w:left w:val="nil"/>
              <w:bottom w:val="single" w:sz="4" w:space="0" w:color="auto"/>
              <w:right w:val="single" w:sz="4" w:space="0" w:color="auto"/>
            </w:tcBorders>
            <w:shd w:val="clear" w:color="000000" w:fill="BFBFBF"/>
            <w:hideMark/>
          </w:tcPr>
          <w:p w14:paraId="755AA6FF"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12 months</w:t>
            </w:r>
          </w:p>
        </w:tc>
        <w:tc>
          <w:tcPr>
            <w:tcW w:w="1017" w:type="dxa"/>
            <w:tcBorders>
              <w:top w:val="nil"/>
              <w:left w:val="nil"/>
              <w:bottom w:val="single" w:sz="4" w:space="0" w:color="auto"/>
              <w:right w:val="single" w:sz="4" w:space="0" w:color="auto"/>
            </w:tcBorders>
            <w:shd w:val="clear" w:color="000000" w:fill="BFBFBF"/>
            <w:hideMark/>
          </w:tcPr>
          <w:p w14:paraId="31C587C3"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Jan - June</w:t>
            </w:r>
          </w:p>
        </w:tc>
        <w:tc>
          <w:tcPr>
            <w:tcW w:w="1017" w:type="dxa"/>
            <w:tcBorders>
              <w:top w:val="nil"/>
              <w:left w:val="nil"/>
              <w:bottom w:val="single" w:sz="4" w:space="0" w:color="auto"/>
              <w:right w:val="single" w:sz="4" w:space="0" w:color="auto"/>
            </w:tcBorders>
            <w:shd w:val="clear" w:color="000000" w:fill="BFBFBF"/>
            <w:hideMark/>
          </w:tcPr>
          <w:p w14:paraId="01F618E3"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July-Dec</w:t>
            </w:r>
          </w:p>
        </w:tc>
        <w:tc>
          <w:tcPr>
            <w:tcW w:w="1017" w:type="dxa"/>
            <w:tcBorders>
              <w:top w:val="nil"/>
              <w:left w:val="nil"/>
              <w:bottom w:val="single" w:sz="4" w:space="0" w:color="auto"/>
              <w:right w:val="nil"/>
            </w:tcBorders>
            <w:shd w:val="clear" w:color="000000" w:fill="BFBFBF"/>
            <w:hideMark/>
          </w:tcPr>
          <w:p w14:paraId="59257629"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Jan - Dec: 12 months</w:t>
            </w:r>
          </w:p>
        </w:tc>
        <w:tc>
          <w:tcPr>
            <w:tcW w:w="990" w:type="dxa"/>
            <w:tcBorders>
              <w:top w:val="nil"/>
              <w:left w:val="double" w:sz="6" w:space="0" w:color="auto"/>
              <w:bottom w:val="single" w:sz="4" w:space="0" w:color="auto"/>
              <w:right w:val="single" w:sz="4" w:space="0" w:color="auto"/>
            </w:tcBorders>
            <w:shd w:val="clear" w:color="000000" w:fill="BFBFBF"/>
            <w:hideMark/>
          </w:tcPr>
          <w:p w14:paraId="0D32D77F"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Jan - June</w:t>
            </w:r>
          </w:p>
        </w:tc>
        <w:tc>
          <w:tcPr>
            <w:tcW w:w="990" w:type="dxa"/>
            <w:tcBorders>
              <w:top w:val="nil"/>
              <w:left w:val="nil"/>
              <w:bottom w:val="single" w:sz="4" w:space="0" w:color="auto"/>
              <w:right w:val="double" w:sz="6" w:space="0" w:color="auto"/>
            </w:tcBorders>
            <w:shd w:val="clear" w:color="000000" w:fill="BFBFBF"/>
            <w:hideMark/>
          </w:tcPr>
          <w:p w14:paraId="7281CA06"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Jan - Dec: 12 months</w:t>
            </w:r>
          </w:p>
        </w:tc>
        <w:tc>
          <w:tcPr>
            <w:tcW w:w="954" w:type="dxa"/>
            <w:tcBorders>
              <w:top w:val="nil"/>
              <w:left w:val="nil"/>
              <w:bottom w:val="single" w:sz="4" w:space="0" w:color="auto"/>
              <w:right w:val="double" w:sz="6" w:space="0" w:color="auto"/>
            </w:tcBorders>
            <w:shd w:val="clear" w:color="000000" w:fill="BFBFBF"/>
          </w:tcPr>
          <w:p w14:paraId="70547E87" w14:textId="77777777" w:rsidR="004061ED" w:rsidRPr="005F16A6" w:rsidRDefault="004061ED" w:rsidP="000C423F">
            <w:pPr>
              <w:spacing w:after="0" w:line="240" w:lineRule="auto"/>
              <w:jc w:val="right"/>
              <w:rPr>
                <w:rFonts w:ascii="Arial" w:eastAsia="Times New Roman" w:hAnsi="Arial" w:cs="Arial"/>
                <w:b/>
                <w:bCs/>
                <w:sz w:val="16"/>
                <w:szCs w:val="16"/>
              </w:rPr>
            </w:pPr>
          </w:p>
        </w:tc>
      </w:tr>
      <w:tr w:rsidR="00614BC9" w:rsidRPr="005F16A6" w14:paraId="12A97D6A" w14:textId="7486E212" w:rsidTr="00CD3E50">
        <w:trPr>
          <w:trHeight w:val="315"/>
        </w:trPr>
        <w:tc>
          <w:tcPr>
            <w:tcW w:w="474" w:type="dxa"/>
            <w:tcBorders>
              <w:top w:val="nil"/>
              <w:left w:val="double" w:sz="6" w:space="0" w:color="auto"/>
              <w:bottom w:val="double" w:sz="6" w:space="0" w:color="auto"/>
              <w:right w:val="single" w:sz="4" w:space="0" w:color="auto"/>
            </w:tcBorders>
            <w:shd w:val="clear" w:color="000000" w:fill="BFBFBF"/>
            <w:hideMark/>
          </w:tcPr>
          <w:p w14:paraId="6B2579A9" w14:textId="77777777" w:rsidR="004061ED" w:rsidRPr="005F16A6" w:rsidRDefault="004061ED" w:rsidP="000C423F">
            <w:pPr>
              <w:spacing w:after="0" w:line="240" w:lineRule="auto"/>
              <w:rPr>
                <w:rFonts w:ascii="Arial" w:eastAsia="Times New Roman" w:hAnsi="Arial" w:cs="Arial"/>
                <w:sz w:val="16"/>
                <w:szCs w:val="16"/>
              </w:rPr>
            </w:pPr>
            <w:r w:rsidRPr="005F16A6">
              <w:rPr>
                <w:rFonts w:ascii="Arial" w:eastAsia="Times New Roman" w:hAnsi="Arial" w:cs="Arial"/>
                <w:sz w:val="16"/>
                <w:szCs w:val="16"/>
              </w:rPr>
              <w:t>Col 1</w:t>
            </w:r>
          </w:p>
        </w:tc>
        <w:tc>
          <w:tcPr>
            <w:tcW w:w="1212" w:type="dxa"/>
            <w:tcBorders>
              <w:top w:val="nil"/>
              <w:left w:val="nil"/>
              <w:bottom w:val="double" w:sz="6" w:space="0" w:color="auto"/>
              <w:right w:val="single" w:sz="4" w:space="0" w:color="auto"/>
            </w:tcBorders>
            <w:shd w:val="clear" w:color="000000" w:fill="BFBFBF"/>
            <w:hideMark/>
          </w:tcPr>
          <w:p w14:paraId="17B9326C" w14:textId="77777777" w:rsidR="004061ED" w:rsidRPr="005F16A6" w:rsidRDefault="004061ED" w:rsidP="000C423F">
            <w:pPr>
              <w:spacing w:after="0" w:line="240" w:lineRule="auto"/>
              <w:rPr>
                <w:rFonts w:ascii="Arial" w:eastAsia="Times New Roman" w:hAnsi="Arial" w:cs="Arial"/>
                <w:sz w:val="16"/>
                <w:szCs w:val="16"/>
              </w:rPr>
            </w:pPr>
            <w:r w:rsidRPr="005F16A6">
              <w:rPr>
                <w:rFonts w:ascii="Arial" w:eastAsia="Times New Roman" w:hAnsi="Arial" w:cs="Arial"/>
                <w:sz w:val="16"/>
                <w:szCs w:val="16"/>
              </w:rPr>
              <w:t>Col 2</w:t>
            </w:r>
          </w:p>
        </w:tc>
        <w:tc>
          <w:tcPr>
            <w:tcW w:w="1017" w:type="dxa"/>
            <w:tcBorders>
              <w:top w:val="nil"/>
              <w:left w:val="nil"/>
              <w:bottom w:val="double" w:sz="6" w:space="0" w:color="auto"/>
              <w:right w:val="single" w:sz="4" w:space="0" w:color="auto"/>
            </w:tcBorders>
            <w:shd w:val="clear" w:color="000000" w:fill="BFBFBF"/>
            <w:hideMark/>
          </w:tcPr>
          <w:p w14:paraId="36D00D9C"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Col 3</w:t>
            </w:r>
          </w:p>
        </w:tc>
        <w:tc>
          <w:tcPr>
            <w:tcW w:w="1017" w:type="dxa"/>
            <w:tcBorders>
              <w:top w:val="nil"/>
              <w:left w:val="nil"/>
              <w:bottom w:val="double" w:sz="6" w:space="0" w:color="auto"/>
              <w:right w:val="single" w:sz="4" w:space="0" w:color="auto"/>
            </w:tcBorders>
            <w:shd w:val="clear" w:color="000000" w:fill="BFBFBF"/>
            <w:hideMark/>
          </w:tcPr>
          <w:p w14:paraId="66A6F23C"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Col 4</w:t>
            </w:r>
          </w:p>
        </w:tc>
        <w:tc>
          <w:tcPr>
            <w:tcW w:w="1017" w:type="dxa"/>
            <w:tcBorders>
              <w:top w:val="nil"/>
              <w:left w:val="nil"/>
              <w:bottom w:val="double" w:sz="6" w:space="0" w:color="auto"/>
              <w:right w:val="single" w:sz="4" w:space="0" w:color="auto"/>
            </w:tcBorders>
            <w:shd w:val="clear" w:color="000000" w:fill="BFBFBF"/>
            <w:hideMark/>
          </w:tcPr>
          <w:p w14:paraId="2DA7DC76"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Col 5</w:t>
            </w:r>
          </w:p>
        </w:tc>
        <w:tc>
          <w:tcPr>
            <w:tcW w:w="1017" w:type="dxa"/>
            <w:tcBorders>
              <w:top w:val="nil"/>
              <w:left w:val="nil"/>
              <w:bottom w:val="double" w:sz="6" w:space="0" w:color="auto"/>
              <w:right w:val="single" w:sz="4" w:space="0" w:color="auto"/>
            </w:tcBorders>
            <w:shd w:val="clear" w:color="000000" w:fill="BFBFBF"/>
            <w:hideMark/>
          </w:tcPr>
          <w:p w14:paraId="1BC16D97"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Col 6</w:t>
            </w:r>
          </w:p>
        </w:tc>
        <w:tc>
          <w:tcPr>
            <w:tcW w:w="1017" w:type="dxa"/>
            <w:tcBorders>
              <w:top w:val="nil"/>
              <w:left w:val="nil"/>
              <w:bottom w:val="double" w:sz="6" w:space="0" w:color="auto"/>
              <w:right w:val="nil"/>
            </w:tcBorders>
            <w:shd w:val="clear" w:color="000000" w:fill="BFBFBF"/>
            <w:hideMark/>
          </w:tcPr>
          <w:p w14:paraId="669601B6"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 xml:space="preserve"> Col 7=5+6</w:t>
            </w:r>
          </w:p>
        </w:tc>
        <w:tc>
          <w:tcPr>
            <w:tcW w:w="990" w:type="dxa"/>
            <w:tcBorders>
              <w:top w:val="nil"/>
              <w:left w:val="double" w:sz="6" w:space="0" w:color="auto"/>
              <w:bottom w:val="double" w:sz="6" w:space="0" w:color="auto"/>
              <w:right w:val="single" w:sz="4" w:space="0" w:color="auto"/>
            </w:tcBorders>
            <w:shd w:val="clear" w:color="000000" w:fill="BFBFBF"/>
            <w:hideMark/>
          </w:tcPr>
          <w:p w14:paraId="23CC8460"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Col 8=5/4</w:t>
            </w:r>
          </w:p>
        </w:tc>
        <w:tc>
          <w:tcPr>
            <w:tcW w:w="990" w:type="dxa"/>
            <w:tcBorders>
              <w:top w:val="nil"/>
              <w:left w:val="nil"/>
              <w:bottom w:val="double" w:sz="6" w:space="0" w:color="auto"/>
              <w:right w:val="double" w:sz="6" w:space="0" w:color="auto"/>
            </w:tcBorders>
            <w:shd w:val="clear" w:color="000000" w:fill="BFBFBF"/>
            <w:hideMark/>
          </w:tcPr>
          <w:p w14:paraId="77FF27DF"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Col 9=7/4</w:t>
            </w:r>
          </w:p>
        </w:tc>
        <w:tc>
          <w:tcPr>
            <w:tcW w:w="954" w:type="dxa"/>
            <w:tcBorders>
              <w:top w:val="nil"/>
              <w:left w:val="nil"/>
              <w:bottom w:val="double" w:sz="6" w:space="0" w:color="auto"/>
              <w:right w:val="double" w:sz="6" w:space="0" w:color="auto"/>
            </w:tcBorders>
            <w:shd w:val="clear" w:color="000000" w:fill="BFBFBF"/>
          </w:tcPr>
          <w:p w14:paraId="759BD56E" w14:textId="77777777" w:rsidR="004061ED" w:rsidRPr="005F16A6" w:rsidRDefault="004061ED" w:rsidP="000C423F">
            <w:pPr>
              <w:spacing w:after="0" w:line="240" w:lineRule="auto"/>
              <w:jc w:val="right"/>
              <w:rPr>
                <w:rFonts w:ascii="Arial" w:eastAsia="Times New Roman" w:hAnsi="Arial" w:cs="Arial"/>
                <w:b/>
                <w:bCs/>
                <w:sz w:val="16"/>
                <w:szCs w:val="16"/>
              </w:rPr>
            </w:pPr>
          </w:p>
        </w:tc>
      </w:tr>
      <w:tr w:rsidR="00614BC9" w:rsidRPr="005F16A6" w14:paraId="537E7FA9" w14:textId="7657D7C4" w:rsidTr="00CD3E50">
        <w:trPr>
          <w:trHeight w:val="315"/>
        </w:trPr>
        <w:tc>
          <w:tcPr>
            <w:tcW w:w="474" w:type="dxa"/>
            <w:tcBorders>
              <w:top w:val="nil"/>
              <w:left w:val="double" w:sz="6" w:space="0" w:color="auto"/>
              <w:bottom w:val="single" w:sz="4" w:space="0" w:color="auto"/>
              <w:right w:val="single" w:sz="4" w:space="0" w:color="auto"/>
            </w:tcBorders>
            <w:shd w:val="clear" w:color="000000" w:fill="BFBFBF"/>
            <w:hideMark/>
          </w:tcPr>
          <w:p w14:paraId="0B3D1876" w14:textId="77777777" w:rsidR="004061ED" w:rsidRPr="005F16A6" w:rsidRDefault="004061ED" w:rsidP="000C423F">
            <w:pPr>
              <w:spacing w:after="0" w:line="240" w:lineRule="auto"/>
              <w:rPr>
                <w:rFonts w:ascii="Arial" w:eastAsia="Times New Roman" w:hAnsi="Arial" w:cs="Arial"/>
                <w:sz w:val="16"/>
                <w:szCs w:val="16"/>
              </w:rPr>
            </w:pPr>
            <w:r w:rsidRPr="005F16A6">
              <w:rPr>
                <w:rFonts w:ascii="Arial" w:eastAsia="Times New Roman" w:hAnsi="Arial" w:cs="Arial"/>
                <w:sz w:val="16"/>
                <w:szCs w:val="16"/>
              </w:rPr>
              <w:t> </w:t>
            </w:r>
          </w:p>
        </w:tc>
        <w:tc>
          <w:tcPr>
            <w:tcW w:w="1212" w:type="dxa"/>
            <w:tcBorders>
              <w:top w:val="nil"/>
              <w:left w:val="nil"/>
              <w:bottom w:val="single" w:sz="4" w:space="0" w:color="auto"/>
              <w:right w:val="single" w:sz="4" w:space="0" w:color="auto"/>
            </w:tcBorders>
            <w:shd w:val="clear" w:color="000000" w:fill="BFBFBF"/>
            <w:hideMark/>
          </w:tcPr>
          <w:p w14:paraId="41E02F40" w14:textId="77777777" w:rsidR="004061ED" w:rsidRPr="005F16A6" w:rsidRDefault="004061ED" w:rsidP="000C423F">
            <w:pPr>
              <w:spacing w:after="0" w:line="240" w:lineRule="auto"/>
              <w:rPr>
                <w:rFonts w:ascii="Arial" w:eastAsia="Times New Roman" w:hAnsi="Arial" w:cs="Arial"/>
                <w:sz w:val="16"/>
                <w:szCs w:val="16"/>
              </w:rPr>
            </w:pPr>
            <w:r w:rsidRPr="005F16A6">
              <w:rPr>
                <w:rFonts w:ascii="Arial" w:eastAsia="Times New Roman" w:hAnsi="Arial" w:cs="Arial"/>
                <w:sz w:val="16"/>
                <w:szCs w:val="16"/>
              </w:rPr>
              <w:t> </w:t>
            </w:r>
          </w:p>
        </w:tc>
        <w:tc>
          <w:tcPr>
            <w:tcW w:w="1017" w:type="dxa"/>
            <w:tcBorders>
              <w:top w:val="nil"/>
              <w:left w:val="nil"/>
              <w:bottom w:val="single" w:sz="4" w:space="0" w:color="auto"/>
              <w:right w:val="single" w:sz="4" w:space="0" w:color="auto"/>
            </w:tcBorders>
            <w:shd w:val="clear" w:color="000000" w:fill="BFBFBF"/>
            <w:hideMark/>
          </w:tcPr>
          <w:p w14:paraId="50816F8F"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 </w:t>
            </w:r>
          </w:p>
        </w:tc>
        <w:tc>
          <w:tcPr>
            <w:tcW w:w="1017" w:type="dxa"/>
            <w:tcBorders>
              <w:top w:val="nil"/>
              <w:left w:val="nil"/>
              <w:bottom w:val="single" w:sz="4" w:space="0" w:color="auto"/>
              <w:right w:val="single" w:sz="4" w:space="0" w:color="auto"/>
            </w:tcBorders>
            <w:shd w:val="clear" w:color="000000" w:fill="BFBFBF"/>
            <w:hideMark/>
          </w:tcPr>
          <w:p w14:paraId="10A19B77"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 </w:t>
            </w:r>
          </w:p>
        </w:tc>
        <w:tc>
          <w:tcPr>
            <w:tcW w:w="1017" w:type="dxa"/>
            <w:tcBorders>
              <w:top w:val="nil"/>
              <w:left w:val="nil"/>
              <w:bottom w:val="single" w:sz="4" w:space="0" w:color="auto"/>
              <w:right w:val="single" w:sz="4" w:space="0" w:color="auto"/>
            </w:tcBorders>
            <w:shd w:val="clear" w:color="000000" w:fill="BFBFBF"/>
            <w:hideMark/>
          </w:tcPr>
          <w:p w14:paraId="22D5E7E5" w14:textId="77777777" w:rsidR="004061ED" w:rsidRPr="005F16A6" w:rsidRDefault="004061ED" w:rsidP="000C423F">
            <w:pPr>
              <w:spacing w:after="0" w:line="240" w:lineRule="auto"/>
              <w:rPr>
                <w:rFonts w:ascii="Arial" w:eastAsia="Times New Roman" w:hAnsi="Arial" w:cs="Arial"/>
                <w:b/>
                <w:bCs/>
                <w:sz w:val="16"/>
                <w:szCs w:val="16"/>
              </w:rPr>
            </w:pPr>
            <w:r w:rsidRPr="005F16A6">
              <w:rPr>
                <w:rFonts w:ascii="Arial" w:eastAsia="Times New Roman" w:hAnsi="Arial" w:cs="Arial"/>
                <w:b/>
                <w:bCs/>
                <w:sz w:val="16"/>
                <w:szCs w:val="16"/>
              </w:rPr>
              <w:t> </w:t>
            </w:r>
          </w:p>
        </w:tc>
        <w:tc>
          <w:tcPr>
            <w:tcW w:w="1017" w:type="dxa"/>
            <w:tcBorders>
              <w:top w:val="nil"/>
              <w:left w:val="nil"/>
              <w:bottom w:val="single" w:sz="4" w:space="0" w:color="auto"/>
              <w:right w:val="single" w:sz="4" w:space="0" w:color="auto"/>
            </w:tcBorders>
            <w:shd w:val="clear" w:color="000000" w:fill="BFBFBF"/>
            <w:hideMark/>
          </w:tcPr>
          <w:p w14:paraId="032DF07F" w14:textId="77777777" w:rsidR="004061ED" w:rsidRPr="005F16A6" w:rsidRDefault="004061ED" w:rsidP="000C423F">
            <w:pPr>
              <w:spacing w:after="0" w:line="240" w:lineRule="auto"/>
              <w:rPr>
                <w:rFonts w:ascii="Arial" w:eastAsia="Times New Roman" w:hAnsi="Arial" w:cs="Arial"/>
                <w:b/>
                <w:bCs/>
                <w:sz w:val="16"/>
                <w:szCs w:val="16"/>
              </w:rPr>
            </w:pPr>
            <w:r w:rsidRPr="005F16A6">
              <w:rPr>
                <w:rFonts w:ascii="Arial" w:eastAsia="Times New Roman" w:hAnsi="Arial" w:cs="Arial"/>
                <w:b/>
                <w:bCs/>
                <w:sz w:val="16"/>
                <w:szCs w:val="16"/>
              </w:rPr>
              <w:t> </w:t>
            </w:r>
          </w:p>
        </w:tc>
        <w:tc>
          <w:tcPr>
            <w:tcW w:w="1017" w:type="dxa"/>
            <w:tcBorders>
              <w:top w:val="nil"/>
              <w:left w:val="nil"/>
              <w:bottom w:val="single" w:sz="4" w:space="0" w:color="auto"/>
              <w:right w:val="nil"/>
            </w:tcBorders>
            <w:shd w:val="clear" w:color="000000" w:fill="BFBFBF"/>
            <w:hideMark/>
          </w:tcPr>
          <w:p w14:paraId="146FE360"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 </w:t>
            </w:r>
          </w:p>
        </w:tc>
        <w:tc>
          <w:tcPr>
            <w:tcW w:w="990" w:type="dxa"/>
            <w:tcBorders>
              <w:top w:val="nil"/>
              <w:left w:val="double" w:sz="6" w:space="0" w:color="auto"/>
              <w:bottom w:val="single" w:sz="4" w:space="0" w:color="auto"/>
              <w:right w:val="single" w:sz="4" w:space="0" w:color="auto"/>
            </w:tcBorders>
            <w:shd w:val="clear" w:color="000000" w:fill="BFBFBF"/>
            <w:hideMark/>
          </w:tcPr>
          <w:p w14:paraId="237285F0"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 </w:t>
            </w:r>
          </w:p>
        </w:tc>
        <w:tc>
          <w:tcPr>
            <w:tcW w:w="990" w:type="dxa"/>
            <w:tcBorders>
              <w:top w:val="nil"/>
              <w:left w:val="nil"/>
              <w:bottom w:val="single" w:sz="4" w:space="0" w:color="auto"/>
              <w:right w:val="double" w:sz="6" w:space="0" w:color="auto"/>
            </w:tcBorders>
            <w:shd w:val="clear" w:color="000000" w:fill="BFBFBF"/>
            <w:hideMark/>
          </w:tcPr>
          <w:p w14:paraId="7B890B2C" w14:textId="77777777" w:rsidR="004061ED" w:rsidRPr="005F16A6" w:rsidRDefault="004061ED" w:rsidP="000C423F">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 </w:t>
            </w:r>
          </w:p>
        </w:tc>
        <w:tc>
          <w:tcPr>
            <w:tcW w:w="954" w:type="dxa"/>
            <w:tcBorders>
              <w:top w:val="nil"/>
              <w:left w:val="nil"/>
              <w:bottom w:val="single" w:sz="4" w:space="0" w:color="auto"/>
              <w:right w:val="double" w:sz="6" w:space="0" w:color="auto"/>
            </w:tcBorders>
            <w:shd w:val="clear" w:color="000000" w:fill="BFBFBF"/>
          </w:tcPr>
          <w:p w14:paraId="22FD6F51" w14:textId="77777777" w:rsidR="004061ED" w:rsidRPr="005F16A6" w:rsidRDefault="004061ED" w:rsidP="000C423F">
            <w:pPr>
              <w:spacing w:after="0" w:line="240" w:lineRule="auto"/>
              <w:jc w:val="right"/>
              <w:rPr>
                <w:rFonts w:ascii="Arial" w:eastAsia="Times New Roman" w:hAnsi="Arial" w:cs="Arial"/>
                <w:b/>
                <w:bCs/>
                <w:sz w:val="16"/>
                <w:szCs w:val="16"/>
              </w:rPr>
            </w:pPr>
          </w:p>
        </w:tc>
      </w:tr>
      <w:tr w:rsidR="00614BC9" w:rsidRPr="005F16A6" w14:paraId="68783DCF" w14:textId="6FA44CAA" w:rsidTr="008A7107">
        <w:trPr>
          <w:trHeight w:val="300"/>
        </w:trPr>
        <w:tc>
          <w:tcPr>
            <w:tcW w:w="474" w:type="dxa"/>
            <w:tcBorders>
              <w:top w:val="nil"/>
              <w:left w:val="double" w:sz="6" w:space="0" w:color="auto"/>
              <w:bottom w:val="single" w:sz="4" w:space="0" w:color="auto"/>
              <w:right w:val="single" w:sz="4" w:space="0" w:color="auto"/>
            </w:tcBorders>
            <w:shd w:val="clear" w:color="000000" w:fill="FFFFFF"/>
            <w:vAlign w:val="bottom"/>
            <w:hideMark/>
          </w:tcPr>
          <w:p w14:paraId="2C19E3A8" w14:textId="77777777" w:rsidR="003A7C2F" w:rsidRPr="005F16A6" w:rsidRDefault="003A7C2F" w:rsidP="003A7C2F">
            <w:pPr>
              <w:spacing w:after="0" w:line="240" w:lineRule="auto"/>
              <w:rPr>
                <w:rFonts w:ascii="Arial" w:eastAsia="Times New Roman" w:hAnsi="Arial" w:cs="Arial"/>
                <w:b/>
                <w:bCs/>
                <w:sz w:val="16"/>
                <w:szCs w:val="16"/>
              </w:rPr>
            </w:pPr>
            <w:r w:rsidRPr="005F16A6">
              <w:rPr>
                <w:rFonts w:ascii="Arial" w:eastAsia="Times New Roman" w:hAnsi="Arial" w:cs="Arial"/>
                <w:b/>
                <w:bCs/>
                <w:sz w:val="16"/>
                <w:szCs w:val="16"/>
              </w:rPr>
              <w:t> </w:t>
            </w:r>
          </w:p>
          <w:p w14:paraId="36F446CB" w14:textId="2B751375" w:rsidR="003A7C2F" w:rsidRPr="005F16A6" w:rsidRDefault="003A7C2F" w:rsidP="003A7C2F">
            <w:pPr>
              <w:spacing w:after="0" w:line="240" w:lineRule="auto"/>
              <w:rPr>
                <w:rFonts w:ascii="Arial" w:eastAsia="Times New Roman" w:hAnsi="Arial" w:cs="Arial"/>
                <w:b/>
                <w:bCs/>
                <w:sz w:val="16"/>
                <w:szCs w:val="16"/>
              </w:rPr>
            </w:pPr>
            <w:r w:rsidRPr="005F16A6">
              <w:rPr>
                <w:rFonts w:ascii="Arial" w:eastAsia="Times New Roman" w:hAnsi="Arial" w:cs="Arial"/>
                <w:b/>
                <w:bCs/>
                <w:sz w:val="16"/>
                <w:szCs w:val="16"/>
                <w:lang w:val="en-GB"/>
              </w:rPr>
              <w:t>1</w:t>
            </w:r>
          </w:p>
        </w:tc>
        <w:tc>
          <w:tcPr>
            <w:tcW w:w="1212" w:type="dxa"/>
            <w:tcBorders>
              <w:top w:val="nil"/>
              <w:left w:val="nil"/>
              <w:bottom w:val="single" w:sz="4" w:space="0" w:color="auto"/>
              <w:right w:val="single" w:sz="4" w:space="0" w:color="auto"/>
            </w:tcBorders>
            <w:shd w:val="clear" w:color="000000" w:fill="FFFFFF"/>
            <w:vAlign w:val="bottom"/>
            <w:hideMark/>
          </w:tcPr>
          <w:p w14:paraId="7E6105D2" w14:textId="77777777" w:rsidR="003A7C2F" w:rsidRPr="008A7107" w:rsidRDefault="003A7C2F" w:rsidP="008A7107">
            <w:pPr>
              <w:spacing w:after="0" w:line="240" w:lineRule="auto"/>
              <w:jc w:val="right"/>
              <w:rPr>
                <w:rFonts w:ascii="Arial" w:eastAsia="Times New Roman" w:hAnsi="Arial" w:cs="Arial"/>
                <w:sz w:val="16"/>
                <w:szCs w:val="16"/>
              </w:rPr>
            </w:pPr>
            <w:r w:rsidRPr="005F16A6">
              <w:rPr>
                <w:rFonts w:ascii="Arial" w:eastAsia="Times New Roman" w:hAnsi="Arial" w:cs="Arial"/>
                <w:b/>
                <w:bCs/>
                <w:sz w:val="16"/>
                <w:szCs w:val="16"/>
              </w:rPr>
              <w:t> </w:t>
            </w:r>
          </w:p>
          <w:p w14:paraId="7D954A4A" w14:textId="5C4A5814" w:rsidR="003A7C2F" w:rsidRPr="008A7107" w:rsidRDefault="004848DD" w:rsidP="008A7107">
            <w:pPr>
              <w:spacing w:after="0" w:line="240" w:lineRule="auto"/>
              <w:rPr>
                <w:rFonts w:ascii="Arial" w:eastAsia="Times New Roman" w:hAnsi="Arial" w:cs="Arial"/>
                <w:b/>
                <w:sz w:val="16"/>
                <w:szCs w:val="16"/>
              </w:rPr>
            </w:pPr>
            <w:r w:rsidRPr="008A7107">
              <w:rPr>
                <w:rFonts w:ascii="Arial" w:eastAsia="Times New Roman" w:hAnsi="Arial" w:cs="Arial"/>
                <w:b/>
                <w:sz w:val="16"/>
                <w:szCs w:val="16"/>
              </w:rPr>
              <w:t>Program Coordination</w:t>
            </w:r>
          </w:p>
          <w:p w14:paraId="544CAFC3" w14:textId="00ACC07C" w:rsidR="003A7C2F" w:rsidRPr="005F16A6" w:rsidRDefault="003A7C2F" w:rsidP="003A7C2F">
            <w:pPr>
              <w:spacing w:after="0" w:line="240" w:lineRule="auto"/>
              <w:jc w:val="both"/>
              <w:rPr>
                <w:rFonts w:ascii="Arial" w:eastAsia="Times New Roman" w:hAnsi="Arial" w:cs="Arial"/>
                <w:b/>
                <w:bCs/>
                <w:sz w:val="16"/>
                <w:szCs w:val="16"/>
              </w:rPr>
            </w:pPr>
          </w:p>
        </w:tc>
        <w:tc>
          <w:tcPr>
            <w:tcW w:w="1017" w:type="dxa"/>
            <w:tcBorders>
              <w:top w:val="nil"/>
              <w:left w:val="nil"/>
              <w:bottom w:val="single" w:sz="4" w:space="0" w:color="auto"/>
              <w:right w:val="single" w:sz="4" w:space="0" w:color="auto"/>
            </w:tcBorders>
            <w:shd w:val="clear" w:color="000000" w:fill="FFFFFF"/>
            <w:vAlign w:val="bottom"/>
            <w:hideMark/>
          </w:tcPr>
          <w:p w14:paraId="63EC930A" w14:textId="77777777" w:rsidR="003A7C2F" w:rsidRPr="005F16A6" w:rsidRDefault="003A7C2F" w:rsidP="005F16A6">
            <w:pPr>
              <w:spacing w:after="0" w:line="240" w:lineRule="auto"/>
              <w:jc w:val="right"/>
              <w:rPr>
                <w:rFonts w:ascii="Arial" w:eastAsia="Times New Roman" w:hAnsi="Arial" w:cs="Arial"/>
                <w:sz w:val="16"/>
                <w:szCs w:val="16"/>
              </w:rPr>
            </w:pPr>
          </w:p>
          <w:p w14:paraId="5F3E40AC" w14:textId="77777777" w:rsidR="003A7C2F" w:rsidRPr="005F16A6" w:rsidRDefault="003A7C2F" w:rsidP="005F16A6">
            <w:pPr>
              <w:spacing w:after="0" w:line="240" w:lineRule="auto"/>
              <w:jc w:val="right"/>
              <w:rPr>
                <w:rFonts w:ascii="Arial" w:eastAsia="Times New Roman" w:hAnsi="Arial" w:cs="Arial"/>
                <w:sz w:val="16"/>
                <w:szCs w:val="16"/>
              </w:rPr>
            </w:pPr>
          </w:p>
          <w:p w14:paraId="1CFFB9C3" w14:textId="69282D2D" w:rsidR="003A7C2F" w:rsidRPr="005F16A6" w:rsidRDefault="009215AA" w:rsidP="005F16A6">
            <w:pPr>
              <w:spacing w:after="0" w:line="240" w:lineRule="auto"/>
              <w:jc w:val="right"/>
              <w:rPr>
                <w:rFonts w:ascii="Arial" w:eastAsia="Times New Roman" w:hAnsi="Arial" w:cs="Arial"/>
                <w:sz w:val="16"/>
                <w:szCs w:val="16"/>
                <w:lang w:val="en-US"/>
              </w:rPr>
            </w:pPr>
            <w:r w:rsidRPr="005F16A6">
              <w:rPr>
                <w:rFonts w:ascii="Arial" w:eastAsia="Times New Roman" w:hAnsi="Arial" w:cs="Arial"/>
                <w:sz w:val="16"/>
                <w:szCs w:val="16"/>
                <w:lang w:val="en-US"/>
              </w:rPr>
              <w:t>226,</w:t>
            </w:r>
            <w:r w:rsidR="005C4DA4" w:rsidRPr="005F16A6">
              <w:rPr>
                <w:rFonts w:ascii="Arial" w:eastAsia="Times New Roman" w:hAnsi="Arial" w:cs="Arial"/>
                <w:sz w:val="16"/>
                <w:szCs w:val="16"/>
                <w:lang w:val="en-US"/>
              </w:rPr>
              <w:t>756.00</w:t>
            </w:r>
          </w:p>
        </w:tc>
        <w:tc>
          <w:tcPr>
            <w:tcW w:w="1017" w:type="dxa"/>
            <w:tcBorders>
              <w:top w:val="nil"/>
              <w:left w:val="nil"/>
              <w:bottom w:val="single" w:sz="4" w:space="0" w:color="auto"/>
              <w:right w:val="single" w:sz="4" w:space="0" w:color="auto"/>
            </w:tcBorders>
            <w:shd w:val="clear" w:color="000000" w:fill="FFFFFF"/>
            <w:vAlign w:val="bottom"/>
            <w:hideMark/>
          </w:tcPr>
          <w:p w14:paraId="1F5BD717" w14:textId="77777777" w:rsidR="003A7C2F" w:rsidRPr="005F16A6" w:rsidRDefault="003A7C2F" w:rsidP="005F16A6">
            <w:pPr>
              <w:spacing w:after="0" w:line="240" w:lineRule="auto"/>
              <w:jc w:val="right"/>
              <w:rPr>
                <w:rFonts w:ascii="Arial" w:eastAsia="Times New Roman" w:hAnsi="Arial" w:cs="Arial"/>
                <w:sz w:val="16"/>
                <w:szCs w:val="16"/>
              </w:rPr>
            </w:pPr>
          </w:p>
          <w:p w14:paraId="2E027EA9" w14:textId="77777777" w:rsidR="003A7C2F" w:rsidRPr="005F16A6" w:rsidRDefault="003A7C2F" w:rsidP="005F16A6">
            <w:pPr>
              <w:spacing w:after="0" w:line="240" w:lineRule="auto"/>
              <w:jc w:val="right"/>
              <w:rPr>
                <w:rFonts w:ascii="Arial" w:eastAsia="Times New Roman" w:hAnsi="Arial" w:cs="Arial"/>
                <w:sz w:val="16"/>
                <w:szCs w:val="16"/>
              </w:rPr>
            </w:pPr>
          </w:p>
          <w:p w14:paraId="1986333A" w14:textId="58893EDF" w:rsidR="003A7C2F" w:rsidRPr="005F16A6" w:rsidRDefault="001A34C3" w:rsidP="005F16A6">
            <w:pPr>
              <w:spacing w:after="0" w:line="240" w:lineRule="auto"/>
              <w:jc w:val="right"/>
              <w:rPr>
                <w:rFonts w:ascii="Arial" w:eastAsia="Times New Roman" w:hAnsi="Arial" w:cs="Arial"/>
                <w:sz w:val="16"/>
                <w:szCs w:val="16"/>
                <w:lang w:val="en-US"/>
              </w:rPr>
            </w:pPr>
            <w:r w:rsidRPr="005F16A6">
              <w:rPr>
                <w:rFonts w:ascii="Arial" w:eastAsia="Times New Roman" w:hAnsi="Arial" w:cs="Arial"/>
                <w:sz w:val="16"/>
                <w:szCs w:val="16"/>
                <w:lang w:val="en-US"/>
              </w:rPr>
              <w:t>67,83</w:t>
            </w:r>
            <w:r w:rsidR="00CE32C5" w:rsidRPr="005F16A6">
              <w:rPr>
                <w:rFonts w:ascii="Arial" w:eastAsia="Times New Roman" w:hAnsi="Arial" w:cs="Arial"/>
                <w:sz w:val="16"/>
                <w:szCs w:val="16"/>
                <w:lang w:val="en-US"/>
              </w:rPr>
              <w:t>6.18</w:t>
            </w:r>
          </w:p>
        </w:tc>
        <w:tc>
          <w:tcPr>
            <w:tcW w:w="1017" w:type="dxa"/>
            <w:tcBorders>
              <w:top w:val="nil"/>
              <w:left w:val="nil"/>
              <w:bottom w:val="single" w:sz="4" w:space="0" w:color="auto"/>
              <w:right w:val="single" w:sz="4" w:space="0" w:color="auto"/>
            </w:tcBorders>
            <w:shd w:val="clear" w:color="000000" w:fill="FFFFFF"/>
            <w:vAlign w:val="bottom"/>
            <w:hideMark/>
          </w:tcPr>
          <w:p w14:paraId="3838A370" w14:textId="77777777" w:rsidR="003A7C2F" w:rsidRPr="005F16A6" w:rsidRDefault="003A7C2F" w:rsidP="005F16A6">
            <w:pPr>
              <w:spacing w:after="0" w:line="240" w:lineRule="auto"/>
              <w:jc w:val="right"/>
              <w:rPr>
                <w:rFonts w:ascii="Arial" w:eastAsia="Times New Roman" w:hAnsi="Arial" w:cs="Arial"/>
                <w:sz w:val="16"/>
                <w:szCs w:val="16"/>
              </w:rPr>
            </w:pPr>
          </w:p>
          <w:p w14:paraId="68C08FC1" w14:textId="77777777" w:rsidR="003A7C2F" w:rsidRPr="005F16A6" w:rsidRDefault="003A7C2F" w:rsidP="005F16A6">
            <w:pPr>
              <w:spacing w:after="0" w:line="240" w:lineRule="auto"/>
              <w:jc w:val="right"/>
              <w:rPr>
                <w:rFonts w:ascii="Arial" w:eastAsia="Times New Roman" w:hAnsi="Arial" w:cs="Arial"/>
                <w:sz w:val="16"/>
                <w:szCs w:val="16"/>
              </w:rPr>
            </w:pPr>
          </w:p>
          <w:p w14:paraId="4C67F330" w14:textId="1F490644" w:rsidR="003A7C2F" w:rsidRPr="005F16A6" w:rsidRDefault="005E0BF0" w:rsidP="005F16A6">
            <w:pPr>
              <w:spacing w:after="0" w:line="240" w:lineRule="auto"/>
              <w:jc w:val="right"/>
              <w:rPr>
                <w:rFonts w:ascii="Arial" w:eastAsia="Times New Roman" w:hAnsi="Arial" w:cs="Arial"/>
                <w:sz w:val="16"/>
                <w:szCs w:val="16"/>
                <w:lang w:val="en-US"/>
              </w:rPr>
            </w:pPr>
            <w:r w:rsidRPr="005F16A6">
              <w:rPr>
                <w:rFonts w:ascii="Arial" w:eastAsia="Times New Roman" w:hAnsi="Arial" w:cs="Arial"/>
                <w:sz w:val="16"/>
                <w:szCs w:val="16"/>
                <w:lang w:val="en-US"/>
              </w:rPr>
              <w:t>67,836.18</w:t>
            </w:r>
          </w:p>
        </w:tc>
        <w:tc>
          <w:tcPr>
            <w:tcW w:w="1017" w:type="dxa"/>
            <w:tcBorders>
              <w:top w:val="nil"/>
              <w:left w:val="nil"/>
              <w:bottom w:val="single" w:sz="4" w:space="0" w:color="auto"/>
              <w:right w:val="single" w:sz="4" w:space="0" w:color="auto"/>
            </w:tcBorders>
            <w:shd w:val="clear" w:color="000000" w:fill="FFFFFF"/>
            <w:vAlign w:val="bottom"/>
            <w:hideMark/>
          </w:tcPr>
          <w:p w14:paraId="1C8FD497" w14:textId="77777777" w:rsidR="003A7C2F" w:rsidRPr="005F16A6" w:rsidRDefault="003A7C2F" w:rsidP="005F16A6">
            <w:pPr>
              <w:spacing w:after="0" w:line="240" w:lineRule="auto"/>
              <w:jc w:val="right"/>
              <w:rPr>
                <w:rFonts w:ascii="Arial" w:eastAsia="Times New Roman" w:hAnsi="Arial" w:cs="Arial"/>
                <w:sz w:val="16"/>
                <w:szCs w:val="16"/>
              </w:rPr>
            </w:pPr>
          </w:p>
          <w:p w14:paraId="7E656036" w14:textId="77777777" w:rsidR="003A7C2F" w:rsidRPr="005F16A6" w:rsidRDefault="003A7C2F" w:rsidP="005F16A6">
            <w:pPr>
              <w:spacing w:after="0" w:line="240" w:lineRule="auto"/>
              <w:jc w:val="right"/>
              <w:rPr>
                <w:rFonts w:ascii="Arial" w:eastAsia="Times New Roman" w:hAnsi="Arial" w:cs="Arial"/>
                <w:sz w:val="16"/>
                <w:szCs w:val="16"/>
              </w:rPr>
            </w:pPr>
          </w:p>
          <w:p w14:paraId="4AE95E57" w14:textId="7FE27679" w:rsidR="003A7C2F" w:rsidRPr="005F16A6" w:rsidRDefault="00F5073B" w:rsidP="005F16A6">
            <w:pPr>
              <w:spacing w:after="0" w:line="240" w:lineRule="auto"/>
              <w:jc w:val="right"/>
              <w:rPr>
                <w:rFonts w:ascii="Arial" w:eastAsia="Times New Roman" w:hAnsi="Arial" w:cs="Arial"/>
                <w:sz w:val="16"/>
                <w:szCs w:val="16"/>
              </w:rPr>
            </w:pPr>
            <w:r w:rsidRPr="005F16A6">
              <w:rPr>
                <w:rFonts w:ascii="Arial" w:eastAsia="Times New Roman" w:hAnsi="Arial" w:cs="Arial"/>
                <w:sz w:val="16"/>
                <w:szCs w:val="16"/>
                <w:lang w:val="en-US"/>
              </w:rPr>
              <w:t xml:space="preserve">              </w:t>
            </w:r>
            <w:r w:rsidR="00EB49C3" w:rsidRPr="005F16A6">
              <w:rPr>
                <w:rFonts w:ascii="Arial" w:eastAsia="Times New Roman" w:hAnsi="Arial" w:cs="Arial"/>
                <w:sz w:val="16"/>
                <w:szCs w:val="16"/>
              </w:rPr>
              <w:t>-</w:t>
            </w:r>
          </w:p>
        </w:tc>
        <w:tc>
          <w:tcPr>
            <w:tcW w:w="1017" w:type="dxa"/>
            <w:tcBorders>
              <w:top w:val="nil"/>
              <w:left w:val="nil"/>
              <w:bottom w:val="single" w:sz="4" w:space="0" w:color="auto"/>
              <w:right w:val="nil"/>
            </w:tcBorders>
            <w:shd w:val="clear" w:color="000000" w:fill="FFFFFF"/>
            <w:vAlign w:val="bottom"/>
            <w:hideMark/>
          </w:tcPr>
          <w:p w14:paraId="179D7735" w14:textId="77777777" w:rsidR="003A7C2F" w:rsidRPr="005F16A6" w:rsidRDefault="003A7C2F" w:rsidP="005F16A6">
            <w:pPr>
              <w:spacing w:after="0" w:line="240" w:lineRule="auto"/>
              <w:jc w:val="right"/>
              <w:rPr>
                <w:rFonts w:ascii="Arial" w:eastAsia="Times New Roman" w:hAnsi="Arial" w:cs="Arial"/>
                <w:sz w:val="16"/>
                <w:szCs w:val="16"/>
              </w:rPr>
            </w:pPr>
          </w:p>
          <w:p w14:paraId="16F5253E" w14:textId="77777777" w:rsidR="003A7C2F" w:rsidRPr="005F16A6" w:rsidRDefault="003A7C2F" w:rsidP="005F16A6">
            <w:pPr>
              <w:spacing w:after="0" w:line="240" w:lineRule="auto"/>
              <w:jc w:val="right"/>
              <w:rPr>
                <w:rFonts w:ascii="Arial" w:eastAsia="Times New Roman" w:hAnsi="Arial" w:cs="Arial"/>
                <w:sz w:val="16"/>
                <w:szCs w:val="16"/>
              </w:rPr>
            </w:pPr>
          </w:p>
          <w:p w14:paraId="75D50AA4" w14:textId="2E59525B" w:rsidR="003A7C2F" w:rsidRPr="005F16A6" w:rsidRDefault="00010BF1" w:rsidP="005F16A6">
            <w:pPr>
              <w:spacing w:after="0" w:line="240" w:lineRule="auto"/>
              <w:jc w:val="right"/>
              <w:rPr>
                <w:rFonts w:ascii="Arial" w:eastAsia="Times New Roman" w:hAnsi="Arial" w:cs="Arial"/>
                <w:sz w:val="16"/>
                <w:szCs w:val="16"/>
              </w:rPr>
            </w:pPr>
            <w:r w:rsidRPr="005F16A6">
              <w:rPr>
                <w:rFonts w:ascii="Arial" w:eastAsia="Times New Roman" w:hAnsi="Arial" w:cs="Arial"/>
                <w:sz w:val="16"/>
                <w:szCs w:val="16"/>
                <w:lang w:val="en-US"/>
              </w:rPr>
              <w:t xml:space="preserve"> </w:t>
            </w:r>
            <w:r w:rsidR="008B4463" w:rsidRPr="005F16A6">
              <w:rPr>
                <w:rFonts w:ascii="Arial" w:eastAsia="Times New Roman" w:hAnsi="Arial" w:cs="Arial"/>
                <w:sz w:val="16"/>
                <w:szCs w:val="16"/>
                <w:lang w:val="en-US"/>
              </w:rPr>
              <w:t>67,836.18</w:t>
            </w:r>
          </w:p>
        </w:tc>
        <w:tc>
          <w:tcPr>
            <w:tcW w:w="990" w:type="dxa"/>
            <w:tcBorders>
              <w:top w:val="nil"/>
              <w:left w:val="double" w:sz="6" w:space="0" w:color="auto"/>
              <w:bottom w:val="single" w:sz="4" w:space="0" w:color="auto"/>
              <w:right w:val="single" w:sz="4" w:space="0" w:color="auto"/>
            </w:tcBorders>
            <w:shd w:val="clear" w:color="000000" w:fill="FFFFFF"/>
            <w:vAlign w:val="bottom"/>
            <w:hideMark/>
          </w:tcPr>
          <w:p w14:paraId="7A64BAB4" w14:textId="77777777" w:rsidR="003A7C2F" w:rsidRPr="005F16A6" w:rsidRDefault="003A7C2F" w:rsidP="005F16A6">
            <w:pPr>
              <w:spacing w:after="0" w:line="240" w:lineRule="auto"/>
              <w:jc w:val="right"/>
              <w:rPr>
                <w:rFonts w:ascii="Arial" w:eastAsia="Times New Roman" w:hAnsi="Arial" w:cs="Arial"/>
                <w:sz w:val="16"/>
                <w:szCs w:val="16"/>
              </w:rPr>
            </w:pPr>
          </w:p>
          <w:p w14:paraId="20F93B25" w14:textId="77777777" w:rsidR="003A7C2F" w:rsidRPr="005F16A6" w:rsidRDefault="003A7C2F" w:rsidP="005F16A6">
            <w:pPr>
              <w:spacing w:after="0" w:line="240" w:lineRule="auto"/>
              <w:jc w:val="right"/>
              <w:rPr>
                <w:rFonts w:ascii="Arial" w:eastAsia="Times New Roman" w:hAnsi="Arial" w:cs="Arial"/>
                <w:sz w:val="16"/>
                <w:szCs w:val="16"/>
              </w:rPr>
            </w:pPr>
          </w:p>
          <w:p w14:paraId="09062A05" w14:textId="3A43C8CA" w:rsidR="003A7C2F" w:rsidRPr="005F16A6" w:rsidRDefault="00EB49C3" w:rsidP="005F16A6">
            <w:pPr>
              <w:spacing w:after="0" w:line="240" w:lineRule="auto"/>
              <w:jc w:val="right"/>
              <w:rPr>
                <w:rFonts w:ascii="Arial" w:eastAsia="Times New Roman" w:hAnsi="Arial" w:cs="Arial"/>
                <w:sz w:val="16"/>
                <w:szCs w:val="16"/>
              </w:rPr>
            </w:pPr>
            <w:r w:rsidRPr="005F16A6">
              <w:rPr>
                <w:rFonts w:ascii="Arial" w:eastAsia="Times New Roman" w:hAnsi="Arial" w:cs="Arial"/>
                <w:sz w:val="16"/>
                <w:szCs w:val="16"/>
              </w:rPr>
              <w:t>100</w:t>
            </w:r>
          </w:p>
        </w:tc>
        <w:tc>
          <w:tcPr>
            <w:tcW w:w="990" w:type="dxa"/>
            <w:tcBorders>
              <w:top w:val="nil"/>
              <w:left w:val="nil"/>
              <w:bottom w:val="single" w:sz="4" w:space="0" w:color="auto"/>
              <w:right w:val="double" w:sz="6" w:space="0" w:color="auto"/>
            </w:tcBorders>
            <w:shd w:val="clear" w:color="000000" w:fill="FFFFFF"/>
            <w:vAlign w:val="bottom"/>
            <w:hideMark/>
          </w:tcPr>
          <w:p w14:paraId="2447955A" w14:textId="77777777" w:rsidR="003A7C2F" w:rsidRPr="005F16A6" w:rsidRDefault="003A7C2F" w:rsidP="005F16A6">
            <w:pPr>
              <w:spacing w:after="0" w:line="240" w:lineRule="auto"/>
              <w:jc w:val="right"/>
              <w:rPr>
                <w:rFonts w:ascii="Arial" w:eastAsia="Times New Roman" w:hAnsi="Arial" w:cs="Arial"/>
                <w:sz w:val="16"/>
                <w:szCs w:val="16"/>
              </w:rPr>
            </w:pPr>
          </w:p>
          <w:p w14:paraId="5C247A85" w14:textId="77777777" w:rsidR="003A7C2F" w:rsidRPr="005F16A6" w:rsidRDefault="003A7C2F" w:rsidP="005F16A6">
            <w:pPr>
              <w:spacing w:after="0" w:line="240" w:lineRule="auto"/>
              <w:jc w:val="right"/>
              <w:rPr>
                <w:rFonts w:ascii="Arial" w:eastAsia="Times New Roman" w:hAnsi="Arial" w:cs="Arial"/>
                <w:sz w:val="16"/>
                <w:szCs w:val="16"/>
              </w:rPr>
            </w:pPr>
          </w:p>
          <w:p w14:paraId="4C86BFC8" w14:textId="3735FC53" w:rsidR="003A7C2F" w:rsidRPr="005F16A6" w:rsidRDefault="00D757B4" w:rsidP="005F16A6">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 xml:space="preserve">     </w:t>
            </w:r>
            <w:r w:rsidR="00943B44" w:rsidRPr="005F16A6">
              <w:rPr>
                <w:rFonts w:ascii="Arial" w:eastAsia="Times New Roman" w:hAnsi="Arial" w:cs="Arial"/>
                <w:sz w:val="16"/>
                <w:szCs w:val="16"/>
                <w:lang w:val="en-GB"/>
              </w:rPr>
              <w:t>100</w:t>
            </w:r>
          </w:p>
        </w:tc>
        <w:tc>
          <w:tcPr>
            <w:tcW w:w="954" w:type="dxa"/>
            <w:tcBorders>
              <w:top w:val="nil"/>
              <w:left w:val="nil"/>
              <w:bottom w:val="single" w:sz="4" w:space="0" w:color="auto"/>
              <w:right w:val="double" w:sz="6" w:space="0" w:color="auto"/>
            </w:tcBorders>
            <w:shd w:val="clear" w:color="000000" w:fill="FFFFFF"/>
            <w:vAlign w:val="bottom"/>
          </w:tcPr>
          <w:p w14:paraId="5E795547" w14:textId="77777777" w:rsidR="003A7C2F" w:rsidRPr="005F16A6" w:rsidRDefault="003A7C2F" w:rsidP="005F16A6">
            <w:pPr>
              <w:spacing w:after="0" w:line="240" w:lineRule="auto"/>
              <w:jc w:val="right"/>
              <w:rPr>
                <w:rFonts w:ascii="Arial" w:eastAsia="Times New Roman" w:hAnsi="Arial" w:cs="Arial"/>
                <w:sz w:val="16"/>
                <w:szCs w:val="16"/>
              </w:rPr>
            </w:pPr>
          </w:p>
          <w:p w14:paraId="6FC96AB1" w14:textId="77777777" w:rsidR="003A7C2F" w:rsidRPr="005F16A6" w:rsidRDefault="003A7C2F" w:rsidP="005F16A6">
            <w:pPr>
              <w:spacing w:after="0" w:line="240" w:lineRule="auto"/>
              <w:jc w:val="right"/>
              <w:rPr>
                <w:rFonts w:ascii="Arial" w:eastAsia="Times New Roman" w:hAnsi="Arial" w:cs="Arial"/>
                <w:sz w:val="16"/>
                <w:szCs w:val="16"/>
              </w:rPr>
            </w:pPr>
          </w:p>
          <w:p w14:paraId="0D1E1896" w14:textId="44EC5378" w:rsidR="003A7C2F" w:rsidRPr="005F16A6" w:rsidRDefault="0097018F" w:rsidP="005F16A6">
            <w:pPr>
              <w:spacing w:after="0" w:line="240" w:lineRule="auto"/>
              <w:jc w:val="right"/>
              <w:rPr>
                <w:rFonts w:ascii="Arial" w:eastAsia="Times New Roman" w:hAnsi="Arial" w:cs="Arial"/>
                <w:sz w:val="16"/>
                <w:szCs w:val="16"/>
              </w:rPr>
            </w:pPr>
            <w:r w:rsidRPr="005F16A6">
              <w:rPr>
                <w:rFonts w:ascii="Arial" w:eastAsia="Times New Roman" w:hAnsi="Arial" w:cs="Arial"/>
                <w:sz w:val="16"/>
                <w:szCs w:val="16"/>
              </w:rPr>
              <w:t>-</w:t>
            </w:r>
          </w:p>
        </w:tc>
      </w:tr>
      <w:tr w:rsidR="00614BC9" w:rsidRPr="005F16A6" w14:paraId="733EBE3D" w14:textId="56A1EBA9" w:rsidTr="008A7107">
        <w:trPr>
          <w:trHeight w:val="300"/>
        </w:trPr>
        <w:tc>
          <w:tcPr>
            <w:tcW w:w="474" w:type="dxa"/>
            <w:tcBorders>
              <w:top w:val="nil"/>
              <w:left w:val="double" w:sz="6" w:space="0" w:color="auto"/>
              <w:bottom w:val="single" w:sz="4" w:space="0" w:color="auto"/>
              <w:right w:val="single" w:sz="4" w:space="0" w:color="auto"/>
            </w:tcBorders>
            <w:shd w:val="clear" w:color="000000" w:fill="FFFFFF"/>
            <w:vAlign w:val="bottom"/>
          </w:tcPr>
          <w:p w14:paraId="2F49ED2E" w14:textId="77777777" w:rsidR="003A7C2F" w:rsidRPr="005F16A6" w:rsidRDefault="003A7C2F" w:rsidP="003A7C2F">
            <w:pPr>
              <w:spacing w:after="0" w:line="240" w:lineRule="auto"/>
              <w:rPr>
                <w:rFonts w:ascii="Arial" w:eastAsia="Times New Roman" w:hAnsi="Arial" w:cs="Arial"/>
                <w:b/>
                <w:bCs/>
                <w:sz w:val="16"/>
                <w:szCs w:val="16"/>
              </w:rPr>
            </w:pPr>
          </w:p>
          <w:p w14:paraId="298B32B7" w14:textId="421CD78D" w:rsidR="003A7C2F" w:rsidRPr="005F16A6" w:rsidRDefault="003A7C2F" w:rsidP="003A7C2F">
            <w:pPr>
              <w:spacing w:after="0" w:line="240" w:lineRule="auto"/>
              <w:rPr>
                <w:rFonts w:ascii="Arial" w:eastAsia="Times New Roman" w:hAnsi="Arial" w:cs="Arial"/>
                <w:b/>
                <w:bCs/>
                <w:sz w:val="16"/>
                <w:szCs w:val="16"/>
                <w:lang w:val="en-GB"/>
              </w:rPr>
            </w:pPr>
            <w:r w:rsidRPr="005F16A6">
              <w:rPr>
                <w:rFonts w:ascii="Arial" w:eastAsia="Times New Roman" w:hAnsi="Arial" w:cs="Arial"/>
                <w:b/>
                <w:bCs/>
                <w:sz w:val="16"/>
                <w:szCs w:val="16"/>
                <w:lang w:val="en-GB"/>
              </w:rPr>
              <w:t>2</w:t>
            </w:r>
          </w:p>
        </w:tc>
        <w:tc>
          <w:tcPr>
            <w:tcW w:w="1212" w:type="dxa"/>
            <w:tcBorders>
              <w:top w:val="nil"/>
              <w:left w:val="nil"/>
              <w:bottom w:val="single" w:sz="4" w:space="0" w:color="auto"/>
              <w:right w:val="single" w:sz="4" w:space="0" w:color="auto"/>
            </w:tcBorders>
            <w:shd w:val="clear" w:color="000000" w:fill="FFFFFF"/>
            <w:vAlign w:val="bottom"/>
          </w:tcPr>
          <w:p w14:paraId="5C256EBF" w14:textId="767F1C7B" w:rsidR="003A7C2F" w:rsidRPr="005F16A6" w:rsidRDefault="00556D1A" w:rsidP="003A7C2F">
            <w:pPr>
              <w:spacing w:after="0" w:line="240" w:lineRule="auto"/>
              <w:jc w:val="both"/>
              <w:rPr>
                <w:rFonts w:ascii="Arial" w:eastAsia="Times New Roman" w:hAnsi="Arial" w:cs="Arial"/>
                <w:b/>
                <w:bCs/>
                <w:sz w:val="16"/>
                <w:szCs w:val="16"/>
                <w:lang w:val="en-US"/>
              </w:rPr>
            </w:pPr>
            <w:r w:rsidRPr="005F16A6">
              <w:rPr>
                <w:rFonts w:ascii="Arial" w:eastAsia="Times New Roman" w:hAnsi="Arial" w:cs="Arial"/>
                <w:b/>
                <w:bCs/>
                <w:sz w:val="16"/>
                <w:szCs w:val="16"/>
                <w:lang w:val="en-US"/>
              </w:rPr>
              <w:t>Program</w:t>
            </w:r>
            <w:r w:rsidR="001731A7" w:rsidRPr="005F16A6">
              <w:rPr>
                <w:rFonts w:ascii="Arial" w:eastAsia="Times New Roman" w:hAnsi="Arial" w:cs="Arial"/>
                <w:b/>
                <w:bCs/>
                <w:sz w:val="16"/>
                <w:szCs w:val="16"/>
                <w:lang w:val="en-US"/>
              </w:rPr>
              <w:t xml:space="preserve"> Supervision /Technical Missions/ Financial Management</w:t>
            </w:r>
          </w:p>
        </w:tc>
        <w:tc>
          <w:tcPr>
            <w:tcW w:w="1017" w:type="dxa"/>
            <w:tcBorders>
              <w:top w:val="nil"/>
              <w:left w:val="nil"/>
              <w:bottom w:val="single" w:sz="4" w:space="0" w:color="auto"/>
              <w:right w:val="single" w:sz="4" w:space="0" w:color="auto"/>
            </w:tcBorders>
            <w:shd w:val="clear" w:color="000000" w:fill="FFFFFF"/>
            <w:vAlign w:val="bottom"/>
          </w:tcPr>
          <w:p w14:paraId="6B669431" w14:textId="77777777" w:rsidR="003A7C2F" w:rsidRPr="005F16A6" w:rsidRDefault="003A7C2F" w:rsidP="005F16A6">
            <w:pPr>
              <w:spacing w:after="0" w:line="240" w:lineRule="auto"/>
              <w:jc w:val="right"/>
              <w:rPr>
                <w:rFonts w:ascii="Arial" w:eastAsia="Times New Roman" w:hAnsi="Arial" w:cs="Arial"/>
                <w:sz w:val="16"/>
                <w:szCs w:val="16"/>
              </w:rPr>
            </w:pPr>
          </w:p>
          <w:p w14:paraId="23166E2E" w14:textId="7B0999BB" w:rsidR="003A7C2F" w:rsidRPr="005F16A6" w:rsidRDefault="005C4DA4" w:rsidP="005F16A6">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97,753</w:t>
            </w:r>
            <w:r w:rsidR="00F87675" w:rsidRPr="005F16A6">
              <w:rPr>
                <w:rFonts w:ascii="Arial" w:eastAsia="Times New Roman" w:hAnsi="Arial" w:cs="Arial"/>
                <w:sz w:val="16"/>
                <w:szCs w:val="16"/>
                <w:lang w:val="en-GB"/>
              </w:rPr>
              <w:t>.00</w:t>
            </w:r>
          </w:p>
        </w:tc>
        <w:tc>
          <w:tcPr>
            <w:tcW w:w="1017" w:type="dxa"/>
            <w:tcBorders>
              <w:top w:val="nil"/>
              <w:left w:val="nil"/>
              <w:bottom w:val="single" w:sz="4" w:space="0" w:color="auto"/>
              <w:right w:val="single" w:sz="4" w:space="0" w:color="auto"/>
            </w:tcBorders>
            <w:shd w:val="clear" w:color="000000" w:fill="FFFFFF"/>
            <w:vAlign w:val="bottom"/>
          </w:tcPr>
          <w:p w14:paraId="7E028BC3" w14:textId="77777777" w:rsidR="00010BF1" w:rsidRPr="005F16A6" w:rsidRDefault="00010BF1" w:rsidP="005F16A6">
            <w:pPr>
              <w:spacing w:after="0" w:line="240" w:lineRule="auto"/>
              <w:jc w:val="right"/>
              <w:rPr>
                <w:rFonts w:ascii="Arial" w:eastAsia="Times New Roman" w:hAnsi="Arial" w:cs="Arial"/>
                <w:sz w:val="16"/>
                <w:szCs w:val="16"/>
                <w:lang w:val="en-US"/>
              </w:rPr>
            </w:pPr>
          </w:p>
          <w:p w14:paraId="2E8D978E" w14:textId="482A8FC5" w:rsidR="003A7C2F" w:rsidRPr="005F16A6" w:rsidRDefault="00010BF1" w:rsidP="005F16A6">
            <w:pPr>
              <w:spacing w:after="0" w:line="240" w:lineRule="auto"/>
              <w:jc w:val="right"/>
              <w:rPr>
                <w:rFonts w:ascii="Arial" w:eastAsia="Times New Roman" w:hAnsi="Arial" w:cs="Arial"/>
                <w:sz w:val="16"/>
                <w:szCs w:val="16"/>
                <w:lang w:val="en-US"/>
              </w:rPr>
            </w:pPr>
            <w:r w:rsidRPr="005F16A6">
              <w:rPr>
                <w:rFonts w:ascii="Arial" w:eastAsia="Times New Roman" w:hAnsi="Arial" w:cs="Arial"/>
                <w:sz w:val="16"/>
                <w:szCs w:val="16"/>
                <w:lang w:val="en-US"/>
              </w:rPr>
              <w:t xml:space="preserve">  </w:t>
            </w:r>
            <w:r w:rsidR="0081250B" w:rsidRPr="005F16A6">
              <w:rPr>
                <w:rFonts w:ascii="Arial" w:eastAsia="Times New Roman" w:hAnsi="Arial" w:cs="Arial"/>
                <w:sz w:val="16"/>
                <w:szCs w:val="16"/>
                <w:lang w:val="en-US"/>
              </w:rPr>
              <w:t>10,843.09</w:t>
            </w:r>
          </w:p>
        </w:tc>
        <w:tc>
          <w:tcPr>
            <w:tcW w:w="1017" w:type="dxa"/>
            <w:tcBorders>
              <w:top w:val="nil"/>
              <w:left w:val="nil"/>
              <w:bottom w:val="single" w:sz="4" w:space="0" w:color="auto"/>
              <w:right w:val="single" w:sz="4" w:space="0" w:color="auto"/>
            </w:tcBorders>
            <w:shd w:val="clear" w:color="000000" w:fill="FFFFFF"/>
            <w:vAlign w:val="bottom"/>
          </w:tcPr>
          <w:p w14:paraId="68B9166D" w14:textId="77777777" w:rsidR="006E214E" w:rsidRPr="005F16A6" w:rsidRDefault="006E214E" w:rsidP="005F16A6">
            <w:pPr>
              <w:spacing w:after="0" w:line="240" w:lineRule="auto"/>
              <w:jc w:val="right"/>
              <w:rPr>
                <w:rFonts w:ascii="Arial" w:eastAsia="Times New Roman" w:hAnsi="Arial" w:cs="Arial"/>
                <w:sz w:val="16"/>
                <w:szCs w:val="16"/>
              </w:rPr>
            </w:pPr>
          </w:p>
          <w:p w14:paraId="08FBE8F3" w14:textId="01D97596" w:rsidR="003A7C2F" w:rsidRPr="005F16A6" w:rsidRDefault="00010BF1" w:rsidP="005F16A6">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 xml:space="preserve">  </w:t>
            </w:r>
            <w:r w:rsidR="001C374D" w:rsidRPr="005F16A6">
              <w:rPr>
                <w:rFonts w:ascii="Arial" w:eastAsia="Times New Roman" w:hAnsi="Arial" w:cs="Arial"/>
                <w:sz w:val="16"/>
                <w:szCs w:val="16"/>
                <w:lang w:val="en-GB"/>
              </w:rPr>
              <w:t>10,</w:t>
            </w:r>
            <w:r w:rsidR="00832E66" w:rsidRPr="005F16A6">
              <w:rPr>
                <w:rFonts w:ascii="Arial" w:eastAsia="Times New Roman" w:hAnsi="Arial" w:cs="Arial"/>
                <w:sz w:val="16"/>
                <w:szCs w:val="16"/>
                <w:lang w:val="en-GB"/>
              </w:rPr>
              <w:t>843.09</w:t>
            </w:r>
          </w:p>
        </w:tc>
        <w:tc>
          <w:tcPr>
            <w:tcW w:w="1017" w:type="dxa"/>
            <w:tcBorders>
              <w:top w:val="nil"/>
              <w:left w:val="nil"/>
              <w:bottom w:val="single" w:sz="4" w:space="0" w:color="auto"/>
              <w:right w:val="single" w:sz="4" w:space="0" w:color="auto"/>
            </w:tcBorders>
            <w:shd w:val="clear" w:color="000000" w:fill="FFFFFF"/>
            <w:vAlign w:val="bottom"/>
          </w:tcPr>
          <w:p w14:paraId="54FE8705" w14:textId="77777777" w:rsidR="003A7C2F" w:rsidRPr="005F16A6" w:rsidRDefault="003A7C2F" w:rsidP="005F16A6">
            <w:pPr>
              <w:spacing w:after="0" w:line="240" w:lineRule="auto"/>
              <w:jc w:val="right"/>
              <w:rPr>
                <w:rFonts w:ascii="Arial" w:eastAsia="Times New Roman" w:hAnsi="Arial" w:cs="Arial"/>
                <w:sz w:val="16"/>
                <w:szCs w:val="16"/>
              </w:rPr>
            </w:pPr>
          </w:p>
          <w:p w14:paraId="547A59BE" w14:textId="77777777" w:rsidR="003A7C2F" w:rsidRPr="005F16A6" w:rsidRDefault="003A7C2F" w:rsidP="005F16A6">
            <w:pPr>
              <w:spacing w:after="0" w:line="240" w:lineRule="auto"/>
              <w:jc w:val="right"/>
              <w:rPr>
                <w:rFonts w:ascii="Arial" w:eastAsia="Times New Roman" w:hAnsi="Arial" w:cs="Arial"/>
                <w:sz w:val="16"/>
                <w:szCs w:val="16"/>
              </w:rPr>
            </w:pPr>
          </w:p>
          <w:p w14:paraId="432454E5" w14:textId="33CDD417" w:rsidR="003A7C2F" w:rsidRPr="005F16A6" w:rsidRDefault="00F5073B" w:rsidP="005F16A6">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w:t>
            </w:r>
          </w:p>
        </w:tc>
        <w:tc>
          <w:tcPr>
            <w:tcW w:w="1017" w:type="dxa"/>
            <w:tcBorders>
              <w:top w:val="nil"/>
              <w:left w:val="nil"/>
              <w:bottom w:val="single" w:sz="4" w:space="0" w:color="auto"/>
              <w:right w:val="nil"/>
            </w:tcBorders>
            <w:shd w:val="clear" w:color="000000" w:fill="FFFFFF"/>
            <w:vAlign w:val="bottom"/>
          </w:tcPr>
          <w:p w14:paraId="0D1DD3DE" w14:textId="77777777" w:rsidR="003A7C2F" w:rsidRPr="005F16A6" w:rsidRDefault="003A7C2F" w:rsidP="005F16A6">
            <w:pPr>
              <w:spacing w:after="0" w:line="240" w:lineRule="auto"/>
              <w:jc w:val="right"/>
              <w:rPr>
                <w:rFonts w:ascii="Arial" w:eastAsia="Times New Roman" w:hAnsi="Arial" w:cs="Arial"/>
                <w:sz w:val="16"/>
                <w:szCs w:val="16"/>
              </w:rPr>
            </w:pPr>
          </w:p>
          <w:p w14:paraId="63D9ABE2" w14:textId="7A0D0E88" w:rsidR="003A7C2F" w:rsidRPr="005F16A6" w:rsidRDefault="00D757B4" w:rsidP="005F16A6">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 xml:space="preserve">  </w:t>
            </w:r>
            <w:r w:rsidR="008B4463" w:rsidRPr="005F16A6">
              <w:rPr>
                <w:rFonts w:ascii="Arial" w:eastAsia="Times New Roman" w:hAnsi="Arial" w:cs="Arial"/>
                <w:sz w:val="16"/>
                <w:szCs w:val="16"/>
                <w:lang w:val="en-GB"/>
              </w:rPr>
              <w:t>10,843</w:t>
            </w:r>
            <w:r w:rsidR="00C7500F" w:rsidRPr="005F16A6">
              <w:rPr>
                <w:rFonts w:ascii="Arial" w:eastAsia="Times New Roman" w:hAnsi="Arial" w:cs="Arial"/>
                <w:sz w:val="16"/>
                <w:szCs w:val="16"/>
                <w:lang w:val="en-GB"/>
              </w:rPr>
              <w:t>.</w:t>
            </w:r>
            <w:r w:rsidR="008B4463" w:rsidRPr="005F16A6">
              <w:rPr>
                <w:rFonts w:ascii="Arial" w:eastAsia="Times New Roman" w:hAnsi="Arial" w:cs="Arial"/>
                <w:sz w:val="16"/>
                <w:szCs w:val="16"/>
                <w:lang w:val="en-GB"/>
              </w:rPr>
              <w:t>09</w:t>
            </w:r>
          </w:p>
        </w:tc>
        <w:tc>
          <w:tcPr>
            <w:tcW w:w="990" w:type="dxa"/>
            <w:tcBorders>
              <w:top w:val="nil"/>
              <w:left w:val="double" w:sz="6" w:space="0" w:color="auto"/>
              <w:bottom w:val="single" w:sz="4" w:space="0" w:color="auto"/>
              <w:right w:val="single" w:sz="4" w:space="0" w:color="auto"/>
            </w:tcBorders>
            <w:shd w:val="clear" w:color="000000" w:fill="FFFFFF"/>
            <w:vAlign w:val="bottom"/>
          </w:tcPr>
          <w:p w14:paraId="4E547C57" w14:textId="77777777" w:rsidR="003A7C2F" w:rsidRPr="005F16A6" w:rsidRDefault="003A7C2F" w:rsidP="005F16A6">
            <w:pPr>
              <w:spacing w:after="0" w:line="240" w:lineRule="auto"/>
              <w:jc w:val="right"/>
              <w:rPr>
                <w:rFonts w:ascii="Arial" w:eastAsia="Times New Roman" w:hAnsi="Arial" w:cs="Arial"/>
                <w:sz w:val="16"/>
                <w:szCs w:val="16"/>
              </w:rPr>
            </w:pPr>
          </w:p>
          <w:p w14:paraId="30A3DD03" w14:textId="786F8378" w:rsidR="003A7C2F" w:rsidRPr="005F16A6" w:rsidRDefault="00D757B4" w:rsidP="005F16A6">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 xml:space="preserve">           </w:t>
            </w:r>
            <w:r w:rsidR="00207BFE" w:rsidRPr="005F16A6">
              <w:rPr>
                <w:rFonts w:ascii="Arial" w:eastAsia="Times New Roman" w:hAnsi="Arial" w:cs="Arial"/>
                <w:sz w:val="16"/>
                <w:szCs w:val="16"/>
                <w:lang w:val="en-GB"/>
              </w:rPr>
              <w:t>100</w:t>
            </w:r>
          </w:p>
        </w:tc>
        <w:tc>
          <w:tcPr>
            <w:tcW w:w="990" w:type="dxa"/>
            <w:tcBorders>
              <w:top w:val="nil"/>
              <w:left w:val="nil"/>
              <w:bottom w:val="single" w:sz="4" w:space="0" w:color="auto"/>
              <w:right w:val="double" w:sz="6" w:space="0" w:color="auto"/>
            </w:tcBorders>
            <w:shd w:val="clear" w:color="000000" w:fill="FFFFFF"/>
            <w:vAlign w:val="bottom"/>
          </w:tcPr>
          <w:p w14:paraId="38B2D21B" w14:textId="77777777" w:rsidR="003A7C2F" w:rsidRPr="005F16A6" w:rsidRDefault="003A7C2F" w:rsidP="005F16A6">
            <w:pPr>
              <w:spacing w:after="0" w:line="240" w:lineRule="auto"/>
              <w:jc w:val="right"/>
              <w:rPr>
                <w:rFonts w:ascii="Arial" w:eastAsia="Times New Roman" w:hAnsi="Arial" w:cs="Arial"/>
                <w:sz w:val="16"/>
                <w:szCs w:val="16"/>
              </w:rPr>
            </w:pPr>
          </w:p>
          <w:p w14:paraId="196282C0" w14:textId="794258FD" w:rsidR="003A7C2F" w:rsidRPr="005F16A6" w:rsidRDefault="00D757B4" w:rsidP="005F16A6">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 xml:space="preserve">         </w:t>
            </w:r>
            <w:r w:rsidR="00943B44" w:rsidRPr="005F16A6">
              <w:rPr>
                <w:rFonts w:ascii="Arial" w:eastAsia="Times New Roman" w:hAnsi="Arial" w:cs="Arial"/>
                <w:sz w:val="16"/>
                <w:szCs w:val="16"/>
                <w:lang w:val="en-GB"/>
              </w:rPr>
              <w:t>100</w:t>
            </w:r>
          </w:p>
        </w:tc>
        <w:tc>
          <w:tcPr>
            <w:tcW w:w="954" w:type="dxa"/>
            <w:tcBorders>
              <w:top w:val="nil"/>
              <w:left w:val="nil"/>
              <w:bottom w:val="single" w:sz="4" w:space="0" w:color="auto"/>
              <w:right w:val="double" w:sz="6" w:space="0" w:color="auto"/>
            </w:tcBorders>
            <w:shd w:val="clear" w:color="000000" w:fill="FFFFFF"/>
            <w:vAlign w:val="bottom"/>
          </w:tcPr>
          <w:p w14:paraId="64F40C8A" w14:textId="77777777" w:rsidR="003A7C2F" w:rsidRPr="005F16A6" w:rsidRDefault="003A7C2F" w:rsidP="005F16A6">
            <w:pPr>
              <w:spacing w:after="0" w:line="240" w:lineRule="auto"/>
              <w:jc w:val="right"/>
              <w:rPr>
                <w:rFonts w:ascii="Arial" w:eastAsia="Times New Roman" w:hAnsi="Arial" w:cs="Arial"/>
                <w:sz w:val="16"/>
                <w:szCs w:val="16"/>
              </w:rPr>
            </w:pPr>
          </w:p>
          <w:p w14:paraId="0191F549" w14:textId="77777777" w:rsidR="003A7C2F" w:rsidRPr="005F16A6" w:rsidRDefault="003A7C2F" w:rsidP="005F16A6">
            <w:pPr>
              <w:spacing w:after="0" w:line="240" w:lineRule="auto"/>
              <w:jc w:val="right"/>
              <w:rPr>
                <w:rFonts w:ascii="Arial" w:eastAsia="Times New Roman" w:hAnsi="Arial" w:cs="Arial"/>
                <w:sz w:val="16"/>
                <w:szCs w:val="16"/>
              </w:rPr>
            </w:pPr>
          </w:p>
          <w:p w14:paraId="1CDAA2F0" w14:textId="01CB947B" w:rsidR="003A7C2F" w:rsidRPr="005F16A6" w:rsidRDefault="0097018F" w:rsidP="005F16A6">
            <w:pPr>
              <w:spacing w:after="0" w:line="240" w:lineRule="auto"/>
              <w:jc w:val="right"/>
              <w:rPr>
                <w:rFonts w:ascii="Arial" w:eastAsia="Times New Roman" w:hAnsi="Arial" w:cs="Arial"/>
                <w:sz w:val="16"/>
                <w:szCs w:val="16"/>
              </w:rPr>
            </w:pPr>
            <w:r w:rsidRPr="005F16A6">
              <w:rPr>
                <w:rFonts w:ascii="Arial" w:eastAsia="Times New Roman" w:hAnsi="Arial" w:cs="Arial"/>
                <w:sz w:val="16"/>
                <w:szCs w:val="16"/>
              </w:rPr>
              <w:t>-</w:t>
            </w:r>
          </w:p>
        </w:tc>
      </w:tr>
      <w:tr w:rsidR="00CD3E50" w:rsidRPr="005F16A6" w14:paraId="41C94083" w14:textId="0AA9A449" w:rsidTr="008A7107">
        <w:trPr>
          <w:trHeight w:val="300"/>
        </w:trPr>
        <w:tc>
          <w:tcPr>
            <w:tcW w:w="474" w:type="dxa"/>
            <w:tcBorders>
              <w:top w:val="nil"/>
              <w:left w:val="double" w:sz="6" w:space="0" w:color="auto"/>
              <w:bottom w:val="single" w:sz="4" w:space="0" w:color="auto"/>
              <w:right w:val="single" w:sz="4" w:space="0" w:color="auto"/>
            </w:tcBorders>
            <w:shd w:val="clear" w:color="000000" w:fill="FFFFFF"/>
            <w:vAlign w:val="bottom"/>
          </w:tcPr>
          <w:p w14:paraId="1CCFE395" w14:textId="77777777" w:rsidR="00CD3E50" w:rsidRPr="005F16A6" w:rsidRDefault="00CD3E50" w:rsidP="00CD3E50">
            <w:pPr>
              <w:spacing w:after="0" w:line="240" w:lineRule="auto"/>
              <w:rPr>
                <w:rFonts w:ascii="Arial" w:eastAsia="Times New Roman" w:hAnsi="Arial" w:cs="Arial"/>
                <w:b/>
                <w:bCs/>
                <w:sz w:val="16"/>
                <w:szCs w:val="16"/>
              </w:rPr>
            </w:pPr>
          </w:p>
          <w:p w14:paraId="6BA0DFBD" w14:textId="6E5A995A" w:rsidR="00CD3E50" w:rsidRPr="005F16A6" w:rsidRDefault="00CD3E50" w:rsidP="00CD3E50">
            <w:pPr>
              <w:spacing w:after="0" w:line="240" w:lineRule="auto"/>
              <w:rPr>
                <w:rFonts w:ascii="Arial" w:eastAsia="Times New Roman" w:hAnsi="Arial" w:cs="Arial"/>
                <w:b/>
                <w:bCs/>
                <w:sz w:val="16"/>
                <w:szCs w:val="16"/>
                <w:lang w:val="en-GB"/>
              </w:rPr>
            </w:pPr>
            <w:r w:rsidRPr="005F16A6">
              <w:rPr>
                <w:rFonts w:ascii="Arial" w:eastAsia="Times New Roman" w:hAnsi="Arial" w:cs="Arial"/>
                <w:b/>
                <w:bCs/>
                <w:sz w:val="16"/>
                <w:szCs w:val="16"/>
                <w:lang w:val="en-GB"/>
              </w:rPr>
              <w:t>3</w:t>
            </w:r>
          </w:p>
        </w:tc>
        <w:tc>
          <w:tcPr>
            <w:tcW w:w="1212" w:type="dxa"/>
            <w:tcBorders>
              <w:top w:val="nil"/>
              <w:left w:val="nil"/>
              <w:bottom w:val="single" w:sz="4" w:space="0" w:color="auto"/>
              <w:right w:val="single" w:sz="4" w:space="0" w:color="auto"/>
            </w:tcBorders>
            <w:shd w:val="clear" w:color="000000" w:fill="FFFFFF"/>
            <w:vAlign w:val="bottom"/>
          </w:tcPr>
          <w:p w14:paraId="15B44515" w14:textId="4C85137F" w:rsidR="00CD3E50" w:rsidRPr="005F16A6" w:rsidRDefault="00CD3E50" w:rsidP="00CD3E50">
            <w:pPr>
              <w:spacing w:after="0" w:line="240" w:lineRule="auto"/>
              <w:jc w:val="both"/>
              <w:rPr>
                <w:rFonts w:ascii="Arial" w:eastAsia="Times New Roman" w:hAnsi="Arial" w:cs="Arial"/>
                <w:b/>
                <w:bCs/>
                <w:sz w:val="16"/>
                <w:szCs w:val="16"/>
                <w:lang w:val="en-US"/>
              </w:rPr>
            </w:pPr>
            <w:r w:rsidRPr="005F16A6">
              <w:rPr>
                <w:rFonts w:ascii="Arial" w:eastAsia="Times New Roman" w:hAnsi="Arial" w:cs="Arial"/>
                <w:b/>
                <w:bCs/>
                <w:sz w:val="16"/>
                <w:szCs w:val="16"/>
                <w:lang w:val="en-US"/>
              </w:rPr>
              <w:t>Sub Regional Activities</w:t>
            </w:r>
          </w:p>
        </w:tc>
        <w:tc>
          <w:tcPr>
            <w:tcW w:w="1017" w:type="dxa"/>
            <w:tcBorders>
              <w:top w:val="nil"/>
              <w:left w:val="nil"/>
              <w:bottom w:val="single" w:sz="4" w:space="0" w:color="auto"/>
              <w:right w:val="single" w:sz="4" w:space="0" w:color="auto"/>
            </w:tcBorders>
            <w:shd w:val="clear" w:color="000000" w:fill="FFFFFF"/>
            <w:vAlign w:val="bottom"/>
          </w:tcPr>
          <w:p w14:paraId="789DD12A" w14:textId="77777777" w:rsidR="00CD3E50" w:rsidRPr="005F16A6" w:rsidRDefault="00CD3E50" w:rsidP="00CD3E50">
            <w:pPr>
              <w:spacing w:after="0" w:line="240" w:lineRule="auto"/>
              <w:jc w:val="right"/>
              <w:rPr>
                <w:rFonts w:ascii="Arial" w:eastAsia="Times New Roman" w:hAnsi="Arial" w:cs="Arial"/>
                <w:sz w:val="16"/>
                <w:szCs w:val="16"/>
              </w:rPr>
            </w:pPr>
          </w:p>
          <w:p w14:paraId="75C6499C" w14:textId="77777777" w:rsidR="00CD3E50" w:rsidRPr="005F16A6" w:rsidRDefault="00CD3E50" w:rsidP="00CD3E50">
            <w:pPr>
              <w:spacing w:after="0" w:line="240" w:lineRule="auto"/>
              <w:jc w:val="right"/>
              <w:rPr>
                <w:rFonts w:ascii="Arial" w:eastAsia="Times New Roman" w:hAnsi="Arial" w:cs="Arial"/>
                <w:sz w:val="16"/>
                <w:szCs w:val="16"/>
              </w:rPr>
            </w:pPr>
          </w:p>
          <w:p w14:paraId="3FCAEE00" w14:textId="3A5B8E2D" w:rsidR="00CD3E50" w:rsidRPr="005F16A6" w:rsidRDefault="00CD3E50" w:rsidP="00CD3E50">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w:t>
            </w:r>
          </w:p>
        </w:tc>
        <w:tc>
          <w:tcPr>
            <w:tcW w:w="1017" w:type="dxa"/>
            <w:tcBorders>
              <w:top w:val="nil"/>
              <w:left w:val="nil"/>
              <w:bottom w:val="single" w:sz="4" w:space="0" w:color="auto"/>
              <w:right w:val="single" w:sz="4" w:space="0" w:color="auto"/>
            </w:tcBorders>
            <w:shd w:val="clear" w:color="000000" w:fill="FFFFFF"/>
            <w:vAlign w:val="bottom"/>
          </w:tcPr>
          <w:p w14:paraId="256D1A60" w14:textId="67C739FE" w:rsidR="00CD3E50" w:rsidRPr="005F16A6" w:rsidRDefault="00CD3E50" w:rsidP="00CD3E50">
            <w:pPr>
              <w:spacing w:after="0" w:line="240" w:lineRule="auto"/>
              <w:jc w:val="right"/>
              <w:rPr>
                <w:rFonts w:ascii="Arial" w:eastAsia="Times New Roman" w:hAnsi="Arial" w:cs="Arial"/>
                <w:sz w:val="16"/>
                <w:szCs w:val="16"/>
                <w:lang w:val="en-GB"/>
              </w:rPr>
            </w:pPr>
          </w:p>
          <w:p w14:paraId="53AB15D5" w14:textId="77777777" w:rsidR="00CD3E50" w:rsidRPr="005F16A6" w:rsidRDefault="00CD3E50" w:rsidP="00CD3E50">
            <w:pPr>
              <w:spacing w:after="0" w:line="240" w:lineRule="auto"/>
              <w:jc w:val="right"/>
              <w:rPr>
                <w:rFonts w:ascii="Arial" w:eastAsia="Times New Roman" w:hAnsi="Arial" w:cs="Arial"/>
                <w:sz w:val="16"/>
                <w:szCs w:val="16"/>
                <w:lang w:val="en-GB"/>
              </w:rPr>
            </w:pPr>
          </w:p>
          <w:p w14:paraId="671958C1" w14:textId="5983F63D" w:rsidR="00CD3E50" w:rsidRPr="005F16A6" w:rsidRDefault="00CD3E50" w:rsidP="00CD3E50">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25,870.00</w:t>
            </w:r>
          </w:p>
        </w:tc>
        <w:tc>
          <w:tcPr>
            <w:tcW w:w="1017" w:type="dxa"/>
            <w:tcBorders>
              <w:top w:val="nil"/>
              <w:left w:val="nil"/>
              <w:bottom w:val="single" w:sz="4" w:space="0" w:color="auto"/>
              <w:right w:val="single" w:sz="4" w:space="0" w:color="auto"/>
            </w:tcBorders>
            <w:shd w:val="clear" w:color="000000" w:fill="FFFFFF"/>
            <w:vAlign w:val="bottom"/>
          </w:tcPr>
          <w:p w14:paraId="09E1C444" w14:textId="77777777" w:rsidR="00CD3E50" w:rsidRPr="005F16A6" w:rsidRDefault="00CD3E50" w:rsidP="00CD3E50">
            <w:pPr>
              <w:spacing w:after="0" w:line="240" w:lineRule="auto"/>
              <w:jc w:val="right"/>
              <w:rPr>
                <w:rFonts w:ascii="Arial" w:eastAsia="Times New Roman" w:hAnsi="Arial" w:cs="Arial"/>
                <w:sz w:val="16"/>
                <w:szCs w:val="16"/>
                <w:lang w:val="en-US"/>
              </w:rPr>
            </w:pPr>
          </w:p>
          <w:p w14:paraId="0624B803" w14:textId="77777777" w:rsidR="00CD3E50" w:rsidRPr="005F16A6" w:rsidRDefault="00CD3E50" w:rsidP="00CD3E50">
            <w:pPr>
              <w:spacing w:after="0" w:line="240" w:lineRule="auto"/>
              <w:jc w:val="right"/>
              <w:rPr>
                <w:rFonts w:ascii="Arial" w:eastAsia="Times New Roman" w:hAnsi="Arial" w:cs="Arial"/>
                <w:sz w:val="16"/>
                <w:szCs w:val="16"/>
                <w:lang w:val="en-US"/>
              </w:rPr>
            </w:pPr>
          </w:p>
          <w:p w14:paraId="526ECD63" w14:textId="269AF8D0" w:rsidR="00CD3E50" w:rsidRPr="005F16A6" w:rsidRDefault="00CD3E50" w:rsidP="00CD3E50">
            <w:pPr>
              <w:spacing w:after="0" w:line="240" w:lineRule="auto"/>
              <w:jc w:val="right"/>
              <w:rPr>
                <w:rFonts w:ascii="Arial" w:eastAsia="Times New Roman" w:hAnsi="Arial" w:cs="Arial"/>
                <w:sz w:val="16"/>
                <w:szCs w:val="16"/>
                <w:lang w:val="en-US"/>
              </w:rPr>
            </w:pPr>
            <w:r w:rsidRPr="005F16A6">
              <w:rPr>
                <w:rFonts w:ascii="Arial" w:eastAsia="Times New Roman" w:hAnsi="Arial" w:cs="Arial"/>
                <w:sz w:val="16"/>
                <w:szCs w:val="16"/>
                <w:lang w:val="en-US"/>
              </w:rPr>
              <w:t xml:space="preserve">  25,870.00</w:t>
            </w:r>
          </w:p>
        </w:tc>
        <w:tc>
          <w:tcPr>
            <w:tcW w:w="1017" w:type="dxa"/>
            <w:tcBorders>
              <w:top w:val="nil"/>
              <w:left w:val="nil"/>
              <w:bottom w:val="single" w:sz="4" w:space="0" w:color="auto"/>
              <w:right w:val="single" w:sz="4" w:space="0" w:color="auto"/>
            </w:tcBorders>
            <w:shd w:val="clear" w:color="000000" w:fill="FFFFFF"/>
            <w:vAlign w:val="bottom"/>
          </w:tcPr>
          <w:p w14:paraId="5CFB2615" w14:textId="77777777" w:rsidR="00CD3E50" w:rsidRPr="005F16A6" w:rsidRDefault="00CD3E50" w:rsidP="00CD3E50">
            <w:pPr>
              <w:spacing w:after="0" w:line="240" w:lineRule="auto"/>
              <w:jc w:val="right"/>
              <w:rPr>
                <w:rFonts w:ascii="Arial" w:eastAsia="Times New Roman" w:hAnsi="Arial" w:cs="Arial"/>
                <w:sz w:val="16"/>
                <w:szCs w:val="16"/>
              </w:rPr>
            </w:pPr>
          </w:p>
          <w:p w14:paraId="16D35D16" w14:textId="77777777" w:rsidR="00CD3E50" w:rsidRPr="005F16A6" w:rsidRDefault="00CD3E50" w:rsidP="00CD3E50">
            <w:pPr>
              <w:spacing w:after="0" w:line="240" w:lineRule="auto"/>
              <w:jc w:val="right"/>
              <w:rPr>
                <w:rFonts w:ascii="Arial" w:eastAsia="Times New Roman" w:hAnsi="Arial" w:cs="Arial"/>
                <w:sz w:val="16"/>
                <w:szCs w:val="16"/>
              </w:rPr>
            </w:pPr>
          </w:p>
          <w:p w14:paraId="7FCA30AB" w14:textId="181435DE" w:rsidR="00CD3E50" w:rsidRPr="005F16A6" w:rsidRDefault="00CD3E50" w:rsidP="00CD3E50">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w:t>
            </w:r>
          </w:p>
        </w:tc>
        <w:tc>
          <w:tcPr>
            <w:tcW w:w="1017" w:type="dxa"/>
            <w:tcBorders>
              <w:top w:val="nil"/>
              <w:left w:val="nil"/>
              <w:bottom w:val="single" w:sz="4" w:space="0" w:color="auto"/>
              <w:right w:val="nil"/>
            </w:tcBorders>
            <w:shd w:val="clear" w:color="000000" w:fill="FFFFFF"/>
            <w:vAlign w:val="bottom"/>
          </w:tcPr>
          <w:p w14:paraId="3FDC9A89" w14:textId="77777777" w:rsidR="00CD3E50" w:rsidRPr="005F16A6" w:rsidRDefault="00CD3E50" w:rsidP="00CD3E50">
            <w:pPr>
              <w:spacing w:after="0" w:line="240" w:lineRule="auto"/>
              <w:jc w:val="right"/>
              <w:rPr>
                <w:rFonts w:ascii="Arial" w:eastAsia="Times New Roman" w:hAnsi="Arial" w:cs="Arial"/>
                <w:sz w:val="16"/>
                <w:szCs w:val="16"/>
                <w:lang w:val="en-US"/>
              </w:rPr>
            </w:pPr>
          </w:p>
          <w:p w14:paraId="0D2149CC" w14:textId="77777777" w:rsidR="00CD3E50" w:rsidRPr="005F16A6" w:rsidRDefault="00CD3E50" w:rsidP="00CD3E50">
            <w:pPr>
              <w:spacing w:after="0" w:line="240" w:lineRule="auto"/>
              <w:jc w:val="right"/>
              <w:rPr>
                <w:rFonts w:ascii="Arial" w:eastAsia="Times New Roman" w:hAnsi="Arial" w:cs="Arial"/>
                <w:sz w:val="16"/>
                <w:szCs w:val="16"/>
                <w:lang w:val="en-US"/>
              </w:rPr>
            </w:pPr>
          </w:p>
          <w:p w14:paraId="0ABA0AEF" w14:textId="5118CA49" w:rsidR="00CD3E50" w:rsidRPr="00DC7C5F" w:rsidRDefault="00CD3E50" w:rsidP="00CD3E50">
            <w:pPr>
              <w:spacing w:after="0" w:line="240" w:lineRule="auto"/>
              <w:jc w:val="right"/>
              <w:rPr>
                <w:rFonts w:ascii="Arial" w:eastAsia="Times New Roman" w:hAnsi="Arial" w:cs="Arial"/>
                <w:sz w:val="16"/>
                <w:szCs w:val="16"/>
                <w:lang w:val="en-US"/>
              </w:rPr>
            </w:pPr>
            <w:r w:rsidRPr="005F16A6">
              <w:rPr>
                <w:rFonts w:ascii="Arial" w:eastAsia="Times New Roman" w:hAnsi="Arial" w:cs="Arial"/>
                <w:sz w:val="16"/>
                <w:szCs w:val="16"/>
                <w:lang w:val="en-US"/>
              </w:rPr>
              <w:t xml:space="preserve">  </w:t>
            </w:r>
            <w:r w:rsidRPr="00CD3E50">
              <w:rPr>
                <w:rFonts w:ascii="Arial" w:eastAsia="Times New Roman" w:hAnsi="Arial" w:cs="Arial"/>
                <w:sz w:val="16"/>
                <w:szCs w:val="16"/>
              </w:rPr>
              <w:t>25,870.00</w:t>
            </w:r>
          </w:p>
        </w:tc>
        <w:tc>
          <w:tcPr>
            <w:tcW w:w="990" w:type="dxa"/>
            <w:tcBorders>
              <w:top w:val="nil"/>
              <w:left w:val="double" w:sz="6" w:space="0" w:color="auto"/>
              <w:bottom w:val="single" w:sz="4" w:space="0" w:color="auto"/>
              <w:right w:val="single" w:sz="4" w:space="0" w:color="auto"/>
            </w:tcBorders>
            <w:shd w:val="clear" w:color="000000" w:fill="FFFFFF"/>
            <w:vAlign w:val="bottom"/>
          </w:tcPr>
          <w:p w14:paraId="7478E45A" w14:textId="77777777" w:rsidR="00CD3E50" w:rsidRPr="00DC7C5F" w:rsidRDefault="00CD3E50" w:rsidP="00CD3E50">
            <w:pPr>
              <w:spacing w:after="0" w:line="240" w:lineRule="auto"/>
              <w:jc w:val="right"/>
              <w:rPr>
                <w:rFonts w:ascii="Arial" w:eastAsia="Times New Roman" w:hAnsi="Arial" w:cs="Arial"/>
                <w:sz w:val="16"/>
                <w:szCs w:val="16"/>
                <w:lang w:val="en-US"/>
              </w:rPr>
            </w:pPr>
          </w:p>
          <w:p w14:paraId="2E227F95" w14:textId="77777777" w:rsidR="00CD3E50" w:rsidRPr="00DC7C5F" w:rsidRDefault="00CD3E50" w:rsidP="00CD3E50">
            <w:pPr>
              <w:spacing w:after="0" w:line="240" w:lineRule="auto"/>
              <w:jc w:val="right"/>
              <w:rPr>
                <w:rFonts w:ascii="Arial" w:eastAsia="Times New Roman" w:hAnsi="Arial" w:cs="Arial"/>
                <w:sz w:val="16"/>
                <w:szCs w:val="16"/>
                <w:lang w:val="en-US"/>
              </w:rPr>
            </w:pPr>
          </w:p>
          <w:p w14:paraId="1E421B37" w14:textId="61F62E69" w:rsidR="00CD3E50" w:rsidRPr="00DC7C5F" w:rsidRDefault="00CD3E50" w:rsidP="00CD3E50">
            <w:pPr>
              <w:spacing w:after="0" w:line="240" w:lineRule="auto"/>
              <w:jc w:val="right"/>
              <w:rPr>
                <w:rFonts w:ascii="Arial" w:eastAsia="Times New Roman" w:hAnsi="Arial" w:cs="Arial"/>
                <w:sz w:val="16"/>
                <w:szCs w:val="16"/>
                <w:lang w:val="en-US"/>
              </w:rPr>
            </w:pPr>
            <w:r w:rsidRPr="00DC7C5F">
              <w:rPr>
                <w:rFonts w:ascii="Arial" w:eastAsia="Times New Roman" w:hAnsi="Arial" w:cs="Arial"/>
                <w:sz w:val="16"/>
                <w:szCs w:val="16"/>
                <w:lang w:val="en-US"/>
              </w:rPr>
              <w:t>100</w:t>
            </w:r>
          </w:p>
        </w:tc>
        <w:tc>
          <w:tcPr>
            <w:tcW w:w="990" w:type="dxa"/>
            <w:tcBorders>
              <w:top w:val="nil"/>
              <w:left w:val="nil"/>
              <w:bottom w:val="single" w:sz="4" w:space="0" w:color="auto"/>
              <w:right w:val="double" w:sz="6" w:space="0" w:color="auto"/>
            </w:tcBorders>
            <w:shd w:val="clear" w:color="000000" w:fill="FFFFFF"/>
            <w:vAlign w:val="bottom"/>
          </w:tcPr>
          <w:p w14:paraId="52D3B42A" w14:textId="77777777" w:rsidR="00CD3E50" w:rsidRPr="005F16A6" w:rsidRDefault="00CD3E50" w:rsidP="00CD3E50">
            <w:pPr>
              <w:spacing w:after="0" w:line="240" w:lineRule="auto"/>
              <w:jc w:val="right"/>
              <w:rPr>
                <w:rFonts w:ascii="Arial" w:eastAsia="Times New Roman" w:hAnsi="Arial" w:cs="Arial"/>
                <w:sz w:val="16"/>
                <w:szCs w:val="16"/>
              </w:rPr>
            </w:pPr>
          </w:p>
          <w:p w14:paraId="66FBA8A2" w14:textId="77777777" w:rsidR="00CD3E50" w:rsidRPr="005F16A6" w:rsidRDefault="00CD3E50" w:rsidP="00CD3E50">
            <w:pPr>
              <w:spacing w:after="0" w:line="240" w:lineRule="auto"/>
              <w:jc w:val="right"/>
              <w:rPr>
                <w:rFonts w:ascii="Arial" w:eastAsia="Times New Roman" w:hAnsi="Arial" w:cs="Arial"/>
                <w:sz w:val="16"/>
                <w:szCs w:val="16"/>
              </w:rPr>
            </w:pPr>
          </w:p>
          <w:p w14:paraId="691ABCC8" w14:textId="3E32401C" w:rsidR="00CD3E50" w:rsidRPr="005F16A6" w:rsidRDefault="00CD3E50" w:rsidP="00CD3E50">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 xml:space="preserve">          100</w:t>
            </w:r>
          </w:p>
        </w:tc>
        <w:tc>
          <w:tcPr>
            <w:tcW w:w="954" w:type="dxa"/>
            <w:tcBorders>
              <w:top w:val="nil"/>
              <w:left w:val="nil"/>
              <w:bottom w:val="single" w:sz="4" w:space="0" w:color="auto"/>
              <w:right w:val="double" w:sz="6" w:space="0" w:color="auto"/>
            </w:tcBorders>
            <w:shd w:val="clear" w:color="000000" w:fill="FFFFFF"/>
            <w:vAlign w:val="bottom"/>
          </w:tcPr>
          <w:p w14:paraId="3BFFED1F" w14:textId="77777777" w:rsidR="00CD3E50" w:rsidRPr="005F16A6" w:rsidRDefault="00CD3E50" w:rsidP="00CD3E50">
            <w:pPr>
              <w:spacing w:after="0" w:line="240" w:lineRule="auto"/>
              <w:jc w:val="right"/>
              <w:rPr>
                <w:rFonts w:ascii="Arial" w:eastAsia="Times New Roman" w:hAnsi="Arial" w:cs="Arial"/>
                <w:sz w:val="16"/>
                <w:szCs w:val="16"/>
              </w:rPr>
            </w:pPr>
          </w:p>
          <w:p w14:paraId="6438A1C4" w14:textId="77777777" w:rsidR="00CD3E50" w:rsidRPr="005F16A6" w:rsidRDefault="00CD3E50" w:rsidP="00CD3E50">
            <w:pPr>
              <w:spacing w:after="0" w:line="240" w:lineRule="auto"/>
              <w:jc w:val="right"/>
              <w:rPr>
                <w:rFonts w:ascii="Arial" w:eastAsia="Times New Roman" w:hAnsi="Arial" w:cs="Arial"/>
                <w:sz w:val="16"/>
                <w:szCs w:val="16"/>
              </w:rPr>
            </w:pPr>
          </w:p>
          <w:p w14:paraId="291048DB" w14:textId="0EF19D93" w:rsidR="00CD3E50" w:rsidRPr="005F16A6" w:rsidRDefault="00CD3E50" w:rsidP="00CD3E50">
            <w:pPr>
              <w:spacing w:after="0" w:line="240" w:lineRule="auto"/>
              <w:jc w:val="right"/>
              <w:rPr>
                <w:rFonts w:ascii="Arial" w:eastAsia="Times New Roman" w:hAnsi="Arial" w:cs="Arial"/>
                <w:sz w:val="16"/>
                <w:szCs w:val="16"/>
              </w:rPr>
            </w:pPr>
            <w:r w:rsidRPr="005F16A6">
              <w:rPr>
                <w:rFonts w:ascii="Arial" w:eastAsia="Times New Roman" w:hAnsi="Arial" w:cs="Arial"/>
                <w:sz w:val="16"/>
                <w:szCs w:val="16"/>
              </w:rPr>
              <w:t>-</w:t>
            </w:r>
          </w:p>
        </w:tc>
      </w:tr>
      <w:tr w:rsidR="00CD3E50" w:rsidRPr="005F16A6" w14:paraId="20F93218" w14:textId="70C7C635" w:rsidTr="008A7107">
        <w:trPr>
          <w:trHeight w:val="300"/>
        </w:trPr>
        <w:tc>
          <w:tcPr>
            <w:tcW w:w="474" w:type="dxa"/>
            <w:tcBorders>
              <w:top w:val="nil"/>
              <w:left w:val="double" w:sz="6" w:space="0" w:color="auto"/>
              <w:bottom w:val="single" w:sz="4" w:space="0" w:color="auto"/>
              <w:right w:val="single" w:sz="4" w:space="0" w:color="auto"/>
            </w:tcBorders>
            <w:shd w:val="clear" w:color="000000" w:fill="FFFFFF"/>
            <w:vAlign w:val="bottom"/>
          </w:tcPr>
          <w:p w14:paraId="0F310E9E" w14:textId="77777777" w:rsidR="00CD3E50" w:rsidRPr="005F16A6" w:rsidRDefault="00CD3E50" w:rsidP="00CD3E50">
            <w:pPr>
              <w:spacing w:after="0" w:line="240" w:lineRule="auto"/>
              <w:rPr>
                <w:rFonts w:ascii="Arial" w:eastAsia="Times New Roman" w:hAnsi="Arial" w:cs="Arial"/>
                <w:b/>
                <w:bCs/>
                <w:sz w:val="16"/>
                <w:szCs w:val="16"/>
              </w:rPr>
            </w:pPr>
          </w:p>
          <w:p w14:paraId="048D8795" w14:textId="680A84E2" w:rsidR="00CD3E50" w:rsidRPr="005F16A6" w:rsidRDefault="00CD3E50" w:rsidP="00CD3E50">
            <w:pPr>
              <w:spacing w:after="0" w:line="240" w:lineRule="auto"/>
              <w:rPr>
                <w:rFonts w:ascii="Arial" w:eastAsia="Times New Roman" w:hAnsi="Arial" w:cs="Arial"/>
                <w:b/>
                <w:bCs/>
                <w:sz w:val="16"/>
                <w:szCs w:val="16"/>
                <w:lang w:val="en-GB"/>
              </w:rPr>
            </w:pPr>
            <w:r w:rsidRPr="005F16A6">
              <w:rPr>
                <w:rFonts w:ascii="Arial" w:eastAsia="Times New Roman" w:hAnsi="Arial" w:cs="Arial"/>
                <w:b/>
                <w:bCs/>
                <w:sz w:val="16"/>
                <w:szCs w:val="16"/>
                <w:lang w:val="en-GB"/>
              </w:rPr>
              <w:t>4</w:t>
            </w:r>
          </w:p>
        </w:tc>
        <w:tc>
          <w:tcPr>
            <w:tcW w:w="1212" w:type="dxa"/>
            <w:tcBorders>
              <w:top w:val="nil"/>
              <w:left w:val="nil"/>
              <w:bottom w:val="single" w:sz="4" w:space="0" w:color="auto"/>
              <w:right w:val="single" w:sz="4" w:space="0" w:color="auto"/>
            </w:tcBorders>
            <w:shd w:val="clear" w:color="000000" w:fill="FFFFFF"/>
            <w:vAlign w:val="bottom"/>
          </w:tcPr>
          <w:p w14:paraId="44970FE8" w14:textId="0CB9AEE0" w:rsidR="00CD3E50" w:rsidRPr="005F16A6" w:rsidRDefault="00CD3E50" w:rsidP="00CD3E50">
            <w:pPr>
              <w:spacing w:after="0" w:line="240" w:lineRule="auto"/>
              <w:jc w:val="both"/>
              <w:rPr>
                <w:rFonts w:ascii="Arial" w:eastAsia="Times New Roman" w:hAnsi="Arial" w:cs="Arial"/>
                <w:b/>
                <w:bCs/>
                <w:sz w:val="16"/>
                <w:szCs w:val="16"/>
                <w:lang w:val="en-US"/>
              </w:rPr>
            </w:pPr>
            <w:r w:rsidRPr="005F16A6">
              <w:rPr>
                <w:rFonts w:ascii="Arial" w:eastAsia="Times New Roman" w:hAnsi="Arial" w:cs="Arial"/>
                <w:b/>
                <w:bCs/>
                <w:sz w:val="16"/>
                <w:szCs w:val="16"/>
                <w:lang w:val="en-US"/>
              </w:rPr>
              <w:t>Regional Public Goods Activities</w:t>
            </w:r>
          </w:p>
        </w:tc>
        <w:tc>
          <w:tcPr>
            <w:tcW w:w="1017" w:type="dxa"/>
            <w:tcBorders>
              <w:top w:val="nil"/>
              <w:left w:val="nil"/>
              <w:bottom w:val="single" w:sz="4" w:space="0" w:color="auto"/>
              <w:right w:val="single" w:sz="4" w:space="0" w:color="auto"/>
            </w:tcBorders>
            <w:shd w:val="clear" w:color="000000" w:fill="FFFFFF"/>
            <w:vAlign w:val="bottom"/>
          </w:tcPr>
          <w:p w14:paraId="07BFF059" w14:textId="77777777" w:rsidR="00CD3E50" w:rsidRPr="005F16A6" w:rsidRDefault="00CD3E50" w:rsidP="00CD3E50">
            <w:pPr>
              <w:spacing w:after="0" w:line="240" w:lineRule="auto"/>
              <w:jc w:val="right"/>
              <w:rPr>
                <w:rFonts w:ascii="Arial" w:eastAsia="Times New Roman" w:hAnsi="Arial" w:cs="Arial"/>
                <w:sz w:val="16"/>
                <w:szCs w:val="16"/>
              </w:rPr>
            </w:pPr>
          </w:p>
          <w:p w14:paraId="32C99DB0" w14:textId="77777777" w:rsidR="00CD3E50" w:rsidRDefault="00CD3E50" w:rsidP="00CD3E50">
            <w:pPr>
              <w:spacing w:after="0" w:line="240" w:lineRule="auto"/>
              <w:jc w:val="right"/>
              <w:rPr>
                <w:rFonts w:ascii="Arial" w:eastAsia="Times New Roman" w:hAnsi="Arial" w:cs="Arial"/>
                <w:sz w:val="16"/>
                <w:szCs w:val="16"/>
                <w:lang w:val="en-GB"/>
              </w:rPr>
            </w:pPr>
          </w:p>
          <w:p w14:paraId="724A1AA2" w14:textId="48745ABB" w:rsidR="00CD3E50" w:rsidRPr="005F16A6" w:rsidRDefault="00CD3E50" w:rsidP="00CD3E50">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17,061.00</w:t>
            </w:r>
          </w:p>
        </w:tc>
        <w:tc>
          <w:tcPr>
            <w:tcW w:w="1017" w:type="dxa"/>
            <w:tcBorders>
              <w:top w:val="nil"/>
              <w:left w:val="nil"/>
              <w:bottom w:val="single" w:sz="4" w:space="0" w:color="auto"/>
              <w:right w:val="single" w:sz="4" w:space="0" w:color="auto"/>
            </w:tcBorders>
            <w:shd w:val="clear" w:color="000000" w:fill="FFFFFF"/>
            <w:vAlign w:val="bottom"/>
          </w:tcPr>
          <w:p w14:paraId="7E4D28B3" w14:textId="77777777" w:rsidR="00CD3E50" w:rsidRPr="005F16A6" w:rsidRDefault="00CD3E50" w:rsidP="00CD3E50">
            <w:pPr>
              <w:spacing w:after="0" w:line="240" w:lineRule="auto"/>
              <w:jc w:val="right"/>
              <w:rPr>
                <w:rFonts w:ascii="Arial" w:eastAsia="Times New Roman" w:hAnsi="Arial" w:cs="Arial"/>
                <w:sz w:val="16"/>
                <w:szCs w:val="16"/>
                <w:lang w:val="en-GB"/>
              </w:rPr>
            </w:pPr>
          </w:p>
          <w:p w14:paraId="1FECB383" w14:textId="34869745" w:rsidR="00CD3E50" w:rsidRPr="005F16A6" w:rsidRDefault="00CD3E50" w:rsidP="00CD3E50">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 xml:space="preserve">   170,000.00</w:t>
            </w:r>
          </w:p>
        </w:tc>
        <w:tc>
          <w:tcPr>
            <w:tcW w:w="1017" w:type="dxa"/>
            <w:tcBorders>
              <w:top w:val="nil"/>
              <w:left w:val="nil"/>
              <w:bottom w:val="single" w:sz="4" w:space="0" w:color="auto"/>
              <w:right w:val="single" w:sz="4" w:space="0" w:color="auto"/>
            </w:tcBorders>
            <w:shd w:val="clear" w:color="000000" w:fill="FFFFFF"/>
            <w:vAlign w:val="bottom"/>
          </w:tcPr>
          <w:p w14:paraId="41AAEC30" w14:textId="77777777" w:rsidR="00CD3E50" w:rsidRPr="005F16A6" w:rsidRDefault="00CD3E50" w:rsidP="00CD3E50">
            <w:pPr>
              <w:spacing w:after="0" w:line="240" w:lineRule="auto"/>
              <w:jc w:val="right"/>
              <w:rPr>
                <w:rFonts w:ascii="Arial" w:eastAsia="Times New Roman" w:hAnsi="Arial" w:cs="Arial"/>
                <w:sz w:val="16"/>
                <w:szCs w:val="16"/>
              </w:rPr>
            </w:pPr>
          </w:p>
          <w:p w14:paraId="56AF6967" w14:textId="32D57733" w:rsidR="00CD3E50" w:rsidRPr="005F16A6" w:rsidRDefault="00CD3E50" w:rsidP="00CD3E50">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 xml:space="preserve">      13,019.00</w:t>
            </w:r>
          </w:p>
        </w:tc>
        <w:tc>
          <w:tcPr>
            <w:tcW w:w="1017" w:type="dxa"/>
            <w:tcBorders>
              <w:top w:val="nil"/>
              <w:left w:val="nil"/>
              <w:bottom w:val="single" w:sz="4" w:space="0" w:color="auto"/>
              <w:right w:val="single" w:sz="4" w:space="0" w:color="auto"/>
            </w:tcBorders>
            <w:shd w:val="clear" w:color="000000" w:fill="FFFFFF"/>
            <w:vAlign w:val="bottom"/>
          </w:tcPr>
          <w:p w14:paraId="4862950F" w14:textId="77777777" w:rsidR="00CD3E50" w:rsidRPr="005F16A6" w:rsidRDefault="00CD3E50" w:rsidP="00CD3E50">
            <w:pPr>
              <w:spacing w:after="0" w:line="240" w:lineRule="auto"/>
              <w:jc w:val="right"/>
              <w:rPr>
                <w:rFonts w:ascii="Arial" w:eastAsia="Times New Roman" w:hAnsi="Arial" w:cs="Arial"/>
                <w:sz w:val="16"/>
                <w:szCs w:val="16"/>
                <w:lang w:val="en-US"/>
              </w:rPr>
            </w:pPr>
          </w:p>
          <w:p w14:paraId="226B72D4" w14:textId="3C154C12" w:rsidR="00CD3E50" w:rsidRPr="005F16A6" w:rsidRDefault="00CD3E50" w:rsidP="00CD3E50">
            <w:pPr>
              <w:spacing w:after="0" w:line="240" w:lineRule="auto"/>
              <w:jc w:val="right"/>
              <w:rPr>
                <w:rFonts w:ascii="Arial" w:eastAsia="Times New Roman" w:hAnsi="Arial" w:cs="Arial"/>
                <w:sz w:val="16"/>
                <w:szCs w:val="16"/>
                <w:lang w:val="en-US"/>
              </w:rPr>
            </w:pPr>
            <w:r w:rsidRPr="005F16A6">
              <w:rPr>
                <w:rFonts w:ascii="Arial" w:eastAsia="Times New Roman" w:hAnsi="Arial" w:cs="Arial"/>
                <w:sz w:val="16"/>
                <w:szCs w:val="16"/>
                <w:lang w:val="en-US"/>
              </w:rPr>
              <w:t xml:space="preserve">     156,981.00</w:t>
            </w:r>
          </w:p>
        </w:tc>
        <w:tc>
          <w:tcPr>
            <w:tcW w:w="1017" w:type="dxa"/>
            <w:tcBorders>
              <w:top w:val="nil"/>
              <w:left w:val="nil"/>
              <w:bottom w:val="single" w:sz="4" w:space="0" w:color="auto"/>
              <w:right w:val="nil"/>
            </w:tcBorders>
            <w:shd w:val="clear" w:color="000000" w:fill="FFFFFF"/>
            <w:vAlign w:val="bottom"/>
          </w:tcPr>
          <w:p w14:paraId="4B873201" w14:textId="77777777" w:rsidR="00CD3E50" w:rsidRPr="005F16A6" w:rsidRDefault="00CD3E50" w:rsidP="00CD3E50">
            <w:pPr>
              <w:spacing w:after="0" w:line="240" w:lineRule="auto"/>
              <w:jc w:val="right"/>
              <w:rPr>
                <w:rFonts w:ascii="Arial" w:eastAsia="Times New Roman" w:hAnsi="Arial" w:cs="Arial"/>
                <w:sz w:val="16"/>
                <w:szCs w:val="16"/>
                <w:lang w:val="en-GB"/>
              </w:rPr>
            </w:pPr>
          </w:p>
          <w:p w14:paraId="0F2103C3" w14:textId="3B6C1B30" w:rsidR="00CD3E50" w:rsidRPr="005F16A6" w:rsidRDefault="00CD3E50" w:rsidP="00CD3E50">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GB"/>
              </w:rPr>
              <w:t xml:space="preserve">  170,000.00</w:t>
            </w:r>
          </w:p>
        </w:tc>
        <w:tc>
          <w:tcPr>
            <w:tcW w:w="990" w:type="dxa"/>
            <w:tcBorders>
              <w:top w:val="nil"/>
              <w:left w:val="double" w:sz="6" w:space="0" w:color="auto"/>
              <w:bottom w:val="single" w:sz="4" w:space="0" w:color="auto"/>
              <w:right w:val="single" w:sz="4" w:space="0" w:color="auto"/>
            </w:tcBorders>
            <w:shd w:val="clear" w:color="000000" w:fill="FFFFFF"/>
            <w:vAlign w:val="bottom"/>
          </w:tcPr>
          <w:p w14:paraId="6A294856" w14:textId="77777777" w:rsidR="00CD3E50" w:rsidRDefault="00CD3E50" w:rsidP="00CD3E50">
            <w:pPr>
              <w:spacing w:after="0" w:line="240" w:lineRule="auto"/>
              <w:jc w:val="right"/>
              <w:rPr>
                <w:rFonts w:ascii="Arial" w:eastAsia="Times New Roman" w:hAnsi="Arial" w:cs="Arial"/>
                <w:sz w:val="16"/>
                <w:szCs w:val="16"/>
                <w:lang w:val="en-US"/>
              </w:rPr>
            </w:pPr>
            <w:r w:rsidRPr="005F16A6">
              <w:rPr>
                <w:rFonts w:ascii="Arial" w:eastAsia="Times New Roman" w:hAnsi="Arial" w:cs="Arial"/>
                <w:sz w:val="16"/>
                <w:szCs w:val="16"/>
                <w:lang w:val="en-US"/>
              </w:rPr>
              <w:t xml:space="preserve">                                </w:t>
            </w:r>
          </w:p>
          <w:p w14:paraId="538D36D7" w14:textId="77777777" w:rsidR="00CD3E50" w:rsidRDefault="00CD3E50" w:rsidP="00CD3E50">
            <w:pPr>
              <w:spacing w:after="0" w:line="240" w:lineRule="auto"/>
              <w:jc w:val="right"/>
              <w:rPr>
                <w:rFonts w:ascii="Arial" w:eastAsia="Times New Roman" w:hAnsi="Arial" w:cs="Arial"/>
                <w:sz w:val="16"/>
                <w:szCs w:val="16"/>
                <w:lang w:val="en-US"/>
              </w:rPr>
            </w:pPr>
          </w:p>
          <w:p w14:paraId="009A1407" w14:textId="4CC8EF32" w:rsidR="00CD3E50" w:rsidRPr="005F16A6" w:rsidRDefault="00CD3E50" w:rsidP="00CD3E50">
            <w:pPr>
              <w:spacing w:after="0" w:line="240" w:lineRule="auto"/>
              <w:jc w:val="right"/>
              <w:rPr>
                <w:rFonts w:ascii="Arial" w:eastAsia="Times New Roman" w:hAnsi="Arial" w:cs="Arial"/>
                <w:sz w:val="16"/>
                <w:szCs w:val="16"/>
                <w:lang w:val="en-US"/>
              </w:rPr>
            </w:pPr>
            <w:r w:rsidRPr="005F16A6">
              <w:rPr>
                <w:rFonts w:ascii="Arial" w:eastAsia="Times New Roman" w:hAnsi="Arial" w:cs="Arial"/>
                <w:sz w:val="16"/>
                <w:szCs w:val="16"/>
                <w:lang w:val="en-US"/>
              </w:rPr>
              <w:t>8</w:t>
            </w:r>
          </w:p>
        </w:tc>
        <w:tc>
          <w:tcPr>
            <w:tcW w:w="990" w:type="dxa"/>
            <w:tcBorders>
              <w:top w:val="nil"/>
              <w:left w:val="nil"/>
              <w:bottom w:val="single" w:sz="4" w:space="0" w:color="auto"/>
              <w:right w:val="double" w:sz="6" w:space="0" w:color="auto"/>
            </w:tcBorders>
            <w:shd w:val="clear" w:color="000000" w:fill="FFFFFF"/>
            <w:vAlign w:val="bottom"/>
          </w:tcPr>
          <w:p w14:paraId="5FEC14E2" w14:textId="77777777" w:rsidR="00CD3E50" w:rsidRPr="005F16A6" w:rsidRDefault="00CD3E50" w:rsidP="00CD3E50">
            <w:pPr>
              <w:spacing w:after="0" w:line="240" w:lineRule="auto"/>
              <w:jc w:val="right"/>
              <w:rPr>
                <w:rFonts w:ascii="Arial" w:eastAsia="Times New Roman" w:hAnsi="Arial" w:cs="Arial"/>
                <w:sz w:val="16"/>
                <w:szCs w:val="16"/>
              </w:rPr>
            </w:pPr>
          </w:p>
          <w:p w14:paraId="529F6862" w14:textId="77777777" w:rsidR="00CD3E50" w:rsidRDefault="00CD3E50" w:rsidP="00CD3E50">
            <w:pPr>
              <w:spacing w:after="0" w:line="240" w:lineRule="auto"/>
              <w:jc w:val="right"/>
              <w:rPr>
                <w:rFonts w:ascii="Arial" w:eastAsia="Times New Roman" w:hAnsi="Arial" w:cs="Arial"/>
                <w:sz w:val="16"/>
                <w:szCs w:val="16"/>
                <w:lang w:val="en-US"/>
              </w:rPr>
            </w:pPr>
            <w:r w:rsidRPr="005F16A6">
              <w:rPr>
                <w:rFonts w:ascii="Arial" w:eastAsia="Times New Roman" w:hAnsi="Arial" w:cs="Arial"/>
                <w:sz w:val="16"/>
                <w:szCs w:val="16"/>
                <w:lang w:val="en-US"/>
              </w:rPr>
              <w:t xml:space="preserve">         </w:t>
            </w:r>
          </w:p>
          <w:p w14:paraId="31FF0F42" w14:textId="6B7DC299" w:rsidR="00CD3E50" w:rsidRPr="005F16A6" w:rsidRDefault="00CD3E50" w:rsidP="00CD3E50">
            <w:pPr>
              <w:spacing w:after="0" w:line="240" w:lineRule="auto"/>
              <w:jc w:val="right"/>
              <w:rPr>
                <w:rFonts w:ascii="Arial" w:eastAsia="Times New Roman" w:hAnsi="Arial" w:cs="Arial"/>
                <w:sz w:val="16"/>
                <w:szCs w:val="16"/>
                <w:lang w:val="en-GB"/>
              </w:rPr>
            </w:pPr>
            <w:r w:rsidRPr="005F16A6">
              <w:rPr>
                <w:rFonts w:ascii="Arial" w:eastAsia="Times New Roman" w:hAnsi="Arial" w:cs="Arial"/>
                <w:sz w:val="16"/>
                <w:szCs w:val="16"/>
                <w:lang w:val="en-US"/>
              </w:rPr>
              <w:t>100</w:t>
            </w:r>
          </w:p>
        </w:tc>
        <w:tc>
          <w:tcPr>
            <w:tcW w:w="954" w:type="dxa"/>
            <w:tcBorders>
              <w:top w:val="nil"/>
              <w:left w:val="nil"/>
              <w:bottom w:val="single" w:sz="4" w:space="0" w:color="auto"/>
              <w:right w:val="double" w:sz="6" w:space="0" w:color="auto"/>
            </w:tcBorders>
            <w:shd w:val="clear" w:color="000000" w:fill="FFFFFF"/>
            <w:vAlign w:val="bottom"/>
          </w:tcPr>
          <w:p w14:paraId="5D70872F" w14:textId="77777777" w:rsidR="00CD3E50" w:rsidRPr="005F16A6" w:rsidRDefault="00CD3E50" w:rsidP="00CD3E50">
            <w:pPr>
              <w:spacing w:after="0" w:line="240" w:lineRule="auto"/>
              <w:jc w:val="right"/>
              <w:rPr>
                <w:rFonts w:ascii="Arial" w:eastAsia="Times New Roman" w:hAnsi="Arial" w:cs="Arial"/>
                <w:sz w:val="16"/>
                <w:szCs w:val="16"/>
              </w:rPr>
            </w:pPr>
          </w:p>
          <w:p w14:paraId="3B0BD87D" w14:textId="7ED774E8" w:rsidR="00CD3E50" w:rsidRPr="005F16A6" w:rsidRDefault="00CD3E50" w:rsidP="00CD3E50">
            <w:pPr>
              <w:spacing w:after="0" w:line="240" w:lineRule="auto"/>
              <w:jc w:val="right"/>
              <w:rPr>
                <w:rFonts w:ascii="Arial" w:eastAsia="Times New Roman" w:hAnsi="Arial" w:cs="Arial"/>
                <w:sz w:val="16"/>
                <w:szCs w:val="16"/>
              </w:rPr>
            </w:pPr>
            <w:r w:rsidRPr="005F16A6">
              <w:rPr>
                <w:rFonts w:ascii="Arial" w:eastAsia="Times New Roman" w:hAnsi="Arial" w:cs="Arial"/>
                <w:sz w:val="16"/>
                <w:szCs w:val="16"/>
                <w:lang w:val="en-US"/>
              </w:rPr>
              <w:t xml:space="preserve">                       </w:t>
            </w:r>
            <w:r w:rsidRPr="005F16A6">
              <w:rPr>
                <w:rFonts w:ascii="Arial" w:eastAsia="Times New Roman" w:hAnsi="Arial" w:cs="Arial"/>
                <w:sz w:val="16"/>
                <w:szCs w:val="16"/>
              </w:rPr>
              <w:t>-</w:t>
            </w:r>
          </w:p>
        </w:tc>
      </w:tr>
      <w:tr w:rsidR="00CD3E50" w:rsidRPr="005F16A6" w14:paraId="630537FA" w14:textId="507D095A" w:rsidTr="008A7107">
        <w:trPr>
          <w:trHeight w:val="300"/>
        </w:trPr>
        <w:tc>
          <w:tcPr>
            <w:tcW w:w="474" w:type="dxa"/>
            <w:tcBorders>
              <w:top w:val="nil"/>
              <w:left w:val="double" w:sz="6" w:space="0" w:color="auto"/>
              <w:bottom w:val="single" w:sz="4" w:space="0" w:color="auto"/>
              <w:right w:val="single" w:sz="4" w:space="0" w:color="auto"/>
            </w:tcBorders>
            <w:shd w:val="clear" w:color="000000" w:fill="FFFFFF"/>
            <w:vAlign w:val="bottom"/>
            <w:hideMark/>
          </w:tcPr>
          <w:p w14:paraId="67E82C74" w14:textId="77777777" w:rsidR="00CD3E50" w:rsidRPr="005F16A6" w:rsidRDefault="00CD3E50" w:rsidP="00CD3E50">
            <w:pPr>
              <w:spacing w:after="0" w:line="240" w:lineRule="auto"/>
              <w:rPr>
                <w:rFonts w:ascii="Arial" w:eastAsia="Times New Roman" w:hAnsi="Arial" w:cs="Arial"/>
                <w:b/>
                <w:bCs/>
                <w:sz w:val="16"/>
                <w:szCs w:val="16"/>
              </w:rPr>
            </w:pPr>
            <w:r w:rsidRPr="005F16A6">
              <w:rPr>
                <w:rFonts w:ascii="Arial" w:eastAsia="Times New Roman" w:hAnsi="Arial" w:cs="Arial"/>
                <w:b/>
                <w:bCs/>
                <w:sz w:val="16"/>
                <w:szCs w:val="16"/>
              </w:rPr>
              <w:t> </w:t>
            </w:r>
          </w:p>
        </w:tc>
        <w:tc>
          <w:tcPr>
            <w:tcW w:w="1212" w:type="dxa"/>
            <w:tcBorders>
              <w:top w:val="nil"/>
              <w:left w:val="nil"/>
              <w:bottom w:val="single" w:sz="4" w:space="0" w:color="auto"/>
              <w:right w:val="single" w:sz="4" w:space="0" w:color="auto"/>
            </w:tcBorders>
            <w:shd w:val="clear" w:color="000000" w:fill="FFFFFF"/>
            <w:vAlign w:val="bottom"/>
            <w:hideMark/>
          </w:tcPr>
          <w:p w14:paraId="5BAFF2D8" w14:textId="77777777" w:rsidR="00CD3E50" w:rsidRPr="005F16A6" w:rsidRDefault="00CD3E50" w:rsidP="00CD3E50">
            <w:pPr>
              <w:spacing w:after="0" w:line="240" w:lineRule="auto"/>
              <w:jc w:val="both"/>
              <w:rPr>
                <w:rFonts w:ascii="Arial" w:eastAsia="Times New Roman" w:hAnsi="Arial" w:cs="Arial"/>
                <w:b/>
                <w:bCs/>
                <w:sz w:val="16"/>
                <w:szCs w:val="16"/>
              </w:rPr>
            </w:pPr>
            <w:r w:rsidRPr="005F16A6">
              <w:rPr>
                <w:rFonts w:ascii="Arial" w:eastAsia="Times New Roman" w:hAnsi="Arial" w:cs="Arial"/>
                <w:b/>
                <w:bCs/>
                <w:sz w:val="16"/>
                <w:szCs w:val="16"/>
              </w:rPr>
              <w:t> </w:t>
            </w:r>
          </w:p>
          <w:p w14:paraId="370882DF" w14:textId="46FFBAD9" w:rsidR="00CD3E50" w:rsidRPr="005F16A6" w:rsidRDefault="00CD3E50" w:rsidP="00CD3E50">
            <w:pPr>
              <w:spacing w:after="0" w:line="240" w:lineRule="auto"/>
              <w:jc w:val="both"/>
              <w:rPr>
                <w:rFonts w:ascii="Arial" w:eastAsia="Times New Roman" w:hAnsi="Arial" w:cs="Arial"/>
                <w:b/>
                <w:bCs/>
                <w:sz w:val="16"/>
                <w:szCs w:val="16"/>
              </w:rPr>
            </w:pPr>
            <w:r w:rsidRPr="005F16A6">
              <w:rPr>
                <w:rFonts w:ascii="Arial" w:eastAsia="Times New Roman" w:hAnsi="Arial" w:cs="Arial"/>
                <w:b/>
                <w:bCs/>
                <w:sz w:val="16"/>
                <w:szCs w:val="16"/>
              </w:rPr>
              <w:t>Total</w:t>
            </w:r>
          </w:p>
          <w:p w14:paraId="50FE3A74" w14:textId="7B318D59" w:rsidR="00CD3E50" w:rsidRPr="005F16A6" w:rsidRDefault="00CD3E50" w:rsidP="00CD3E50">
            <w:pPr>
              <w:jc w:val="both"/>
              <w:rPr>
                <w:rFonts w:ascii="Arial" w:eastAsia="Times New Roman" w:hAnsi="Arial" w:cs="Arial"/>
                <w:b/>
                <w:bCs/>
                <w:sz w:val="16"/>
                <w:szCs w:val="16"/>
              </w:rPr>
            </w:pPr>
          </w:p>
        </w:tc>
        <w:tc>
          <w:tcPr>
            <w:tcW w:w="1017" w:type="dxa"/>
            <w:tcBorders>
              <w:top w:val="nil"/>
              <w:left w:val="nil"/>
              <w:bottom w:val="single" w:sz="4" w:space="0" w:color="auto"/>
              <w:right w:val="single" w:sz="4" w:space="0" w:color="auto"/>
            </w:tcBorders>
            <w:shd w:val="clear" w:color="000000" w:fill="FFFFFF"/>
            <w:vAlign w:val="bottom"/>
            <w:hideMark/>
          </w:tcPr>
          <w:p w14:paraId="52D1189C" w14:textId="77777777" w:rsidR="00CD3E50" w:rsidRPr="005F16A6" w:rsidRDefault="00CD3E50" w:rsidP="00CD3E50">
            <w:pPr>
              <w:spacing w:after="0" w:line="240" w:lineRule="auto"/>
              <w:jc w:val="right"/>
              <w:rPr>
                <w:rFonts w:ascii="Arial" w:eastAsia="Times New Roman" w:hAnsi="Arial" w:cs="Arial"/>
                <w:b/>
                <w:bCs/>
                <w:sz w:val="16"/>
                <w:szCs w:val="16"/>
                <w:lang w:val="en-GB"/>
              </w:rPr>
            </w:pPr>
          </w:p>
          <w:p w14:paraId="44154596" w14:textId="7E7DBD05" w:rsidR="00CD3E50" w:rsidRPr="005F16A6" w:rsidRDefault="00CD3E50" w:rsidP="00CD3E50">
            <w:pPr>
              <w:spacing w:after="0" w:line="240" w:lineRule="auto"/>
              <w:jc w:val="right"/>
              <w:rPr>
                <w:rFonts w:ascii="Arial" w:eastAsia="Times New Roman" w:hAnsi="Arial" w:cs="Arial"/>
                <w:b/>
                <w:bCs/>
                <w:sz w:val="16"/>
                <w:szCs w:val="16"/>
                <w:lang w:val="en-US"/>
              </w:rPr>
            </w:pPr>
            <w:r w:rsidRPr="005F16A6">
              <w:rPr>
                <w:rFonts w:ascii="Arial" w:eastAsia="Times New Roman" w:hAnsi="Arial" w:cs="Arial"/>
                <w:b/>
                <w:bCs/>
                <w:sz w:val="16"/>
                <w:szCs w:val="16"/>
                <w:lang w:val="en-US"/>
              </w:rPr>
              <w:t>341,570.00</w:t>
            </w:r>
          </w:p>
        </w:tc>
        <w:tc>
          <w:tcPr>
            <w:tcW w:w="1017" w:type="dxa"/>
            <w:tcBorders>
              <w:top w:val="nil"/>
              <w:left w:val="nil"/>
              <w:bottom w:val="single" w:sz="4" w:space="0" w:color="auto"/>
              <w:right w:val="single" w:sz="4" w:space="0" w:color="auto"/>
            </w:tcBorders>
            <w:shd w:val="clear" w:color="000000" w:fill="FFFFFF"/>
            <w:vAlign w:val="bottom"/>
            <w:hideMark/>
          </w:tcPr>
          <w:p w14:paraId="2C98EA3A" w14:textId="77777777" w:rsidR="00CD3E50" w:rsidRPr="005F16A6" w:rsidRDefault="00CD3E50" w:rsidP="00CD3E50">
            <w:pPr>
              <w:spacing w:after="0" w:line="240" w:lineRule="auto"/>
              <w:jc w:val="right"/>
              <w:rPr>
                <w:rFonts w:ascii="Arial" w:eastAsia="Times New Roman" w:hAnsi="Arial" w:cs="Arial"/>
                <w:b/>
                <w:bCs/>
                <w:sz w:val="16"/>
                <w:szCs w:val="16"/>
                <w:lang w:val="en-GB"/>
              </w:rPr>
            </w:pPr>
          </w:p>
          <w:p w14:paraId="7F1B7656" w14:textId="073A25ED" w:rsidR="00CD3E50" w:rsidRPr="005F16A6" w:rsidRDefault="00CD3E50" w:rsidP="00CD3E50">
            <w:pPr>
              <w:spacing w:after="0" w:line="240" w:lineRule="auto"/>
              <w:jc w:val="right"/>
              <w:rPr>
                <w:rFonts w:ascii="Arial" w:eastAsia="Times New Roman" w:hAnsi="Arial" w:cs="Arial"/>
                <w:b/>
                <w:bCs/>
                <w:sz w:val="16"/>
                <w:szCs w:val="16"/>
                <w:lang w:val="en-US"/>
              </w:rPr>
            </w:pPr>
            <w:r w:rsidRPr="005F16A6">
              <w:rPr>
                <w:rFonts w:ascii="Arial" w:eastAsia="Times New Roman" w:hAnsi="Arial" w:cs="Arial"/>
                <w:b/>
                <w:bCs/>
                <w:sz w:val="16"/>
                <w:szCs w:val="16"/>
              </w:rPr>
              <w:t>274,549.27</w:t>
            </w:r>
          </w:p>
        </w:tc>
        <w:tc>
          <w:tcPr>
            <w:tcW w:w="1017" w:type="dxa"/>
            <w:tcBorders>
              <w:top w:val="nil"/>
              <w:left w:val="nil"/>
              <w:bottom w:val="single" w:sz="4" w:space="0" w:color="auto"/>
              <w:right w:val="single" w:sz="4" w:space="0" w:color="auto"/>
            </w:tcBorders>
            <w:shd w:val="clear" w:color="000000" w:fill="FFFFFF"/>
            <w:vAlign w:val="bottom"/>
          </w:tcPr>
          <w:p w14:paraId="4005CB20" w14:textId="77777777" w:rsidR="00CD3E50" w:rsidRPr="005F16A6" w:rsidRDefault="00CD3E50" w:rsidP="00CD3E50">
            <w:pPr>
              <w:spacing w:after="0" w:line="240" w:lineRule="auto"/>
              <w:jc w:val="right"/>
              <w:rPr>
                <w:rFonts w:ascii="Arial" w:eastAsia="Times New Roman" w:hAnsi="Arial" w:cs="Arial"/>
                <w:b/>
                <w:bCs/>
                <w:sz w:val="16"/>
                <w:szCs w:val="16"/>
              </w:rPr>
            </w:pPr>
          </w:p>
          <w:p w14:paraId="5B97C231" w14:textId="0857D8B3" w:rsidR="00CD3E50" w:rsidRPr="005F16A6" w:rsidRDefault="00CD3E50" w:rsidP="00CD3E50">
            <w:pPr>
              <w:spacing w:after="0" w:line="240" w:lineRule="auto"/>
              <w:jc w:val="right"/>
              <w:rPr>
                <w:rFonts w:ascii="Arial" w:eastAsia="Times New Roman" w:hAnsi="Arial" w:cs="Arial"/>
                <w:b/>
                <w:bCs/>
                <w:sz w:val="16"/>
                <w:szCs w:val="16"/>
                <w:lang w:val="en-US"/>
              </w:rPr>
            </w:pPr>
            <w:r w:rsidRPr="005F16A6">
              <w:rPr>
                <w:rFonts w:ascii="Arial" w:eastAsia="Times New Roman" w:hAnsi="Arial" w:cs="Arial"/>
                <w:b/>
                <w:bCs/>
                <w:sz w:val="16"/>
                <w:szCs w:val="16"/>
                <w:lang w:val="en-US"/>
              </w:rPr>
              <w:t>117,568.27</w:t>
            </w:r>
          </w:p>
        </w:tc>
        <w:tc>
          <w:tcPr>
            <w:tcW w:w="1017" w:type="dxa"/>
            <w:tcBorders>
              <w:top w:val="nil"/>
              <w:left w:val="nil"/>
              <w:bottom w:val="single" w:sz="4" w:space="0" w:color="auto"/>
              <w:right w:val="single" w:sz="4" w:space="0" w:color="auto"/>
            </w:tcBorders>
            <w:shd w:val="clear" w:color="000000" w:fill="FFFFFF"/>
            <w:vAlign w:val="bottom"/>
            <w:hideMark/>
          </w:tcPr>
          <w:p w14:paraId="245C14AF" w14:textId="77777777" w:rsidR="00CD3E50" w:rsidRPr="005F16A6" w:rsidRDefault="00CD3E50" w:rsidP="00CD3E50">
            <w:pPr>
              <w:spacing w:after="0" w:line="240" w:lineRule="auto"/>
              <w:jc w:val="right"/>
              <w:rPr>
                <w:rFonts w:ascii="Arial" w:eastAsia="Times New Roman" w:hAnsi="Arial" w:cs="Arial"/>
                <w:b/>
                <w:bCs/>
                <w:sz w:val="16"/>
                <w:szCs w:val="16"/>
                <w:lang w:val="en-GB"/>
              </w:rPr>
            </w:pPr>
          </w:p>
          <w:p w14:paraId="6801C2DE" w14:textId="2D21021A" w:rsidR="00CD3E50" w:rsidRPr="005F16A6" w:rsidRDefault="00CD3E50" w:rsidP="00CD3E50">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156,981.00</w:t>
            </w:r>
          </w:p>
        </w:tc>
        <w:tc>
          <w:tcPr>
            <w:tcW w:w="1017" w:type="dxa"/>
            <w:tcBorders>
              <w:top w:val="nil"/>
              <w:left w:val="nil"/>
              <w:bottom w:val="single" w:sz="4" w:space="0" w:color="auto"/>
              <w:right w:val="nil"/>
            </w:tcBorders>
            <w:shd w:val="clear" w:color="000000" w:fill="FFFFFF"/>
            <w:vAlign w:val="bottom"/>
            <w:hideMark/>
          </w:tcPr>
          <w:p w14:paraId="33D5015C" w14:textId="77777777" w:rsidR="00CD3E50" w:rsidRPr="005F16A6" w:rsidRDefault="00CD3E50" w:rsidP="00CD3E50">
            <w:pPr>
              <w:spacing w:after="0" w:line="240" w:lineRule="auto"/>
              <w:jc w:val="right"/>
              <w:rPr>
                <w:rFonts w:ascii="Arial" w:eastAsia="Times New Roman" w:hAnsi="Arial" w:cs="Arial"/>
                <w:b/>
                <w:bCs/>
                <w:sz w:val="16"/>
                <w:szCs w:val="16"/>
                <w:lang w:val="en-GB"/>
              </w:rPr>
            </w:pPr>
          </w:p>
          <w:p w14:paraId="269D9C29" w14:textId="665A6653" w:rsidR="00CD3E50" w:rsidRPr="005F16A6" w:rsidRDefault="00CD3E50" w:rsidP="00CD3E50">
            <w:pPr>
              <w:spacing w:after="0" w:line="240" w:lineRule="auto"/>
              <w:jc w:val="right"/>
              <w:rPr>
                <w:rFonts w:ascii="Arial" w:eastAsia="Times New Roman" w:hAnsi="Arial" w:cs="Arial"/>
                <w:b/>
                <w:bCs/>
                <w:sz w:val="16"/>
                <w:szCs w:val="16"/>
                <w:lang w:val="en-US"/>
              </w:rPr>
            </w:pPr>
            <w:r w:rsidRPr="005F16A6">
              <w:rPr>
                <w:rFonts w:ascii="Arial" w:eastAsia="Times New Roman" w:hAnsi="Arial" w:cs="Arial"/>
                <w:b/>
                <w:bCs/>
                <w:sz w:val="16"/>
                <w:szCs w:val="16"/>
                <w:lang w:val="en-US"/>
              </w:rPr>
              <w:t>274,549.27</w:t>
            </w:r>
          </w:p>
        </w:tc>
        <w:tc>
          <w:tcPr>
            <w:tcW w:w="990" w:type="dxa"/>
            <w:tcBorders>
              <w:top w:val="nil"/>
              <w:left w:val="double" w:sz="6" w:space="0" w:color="auto"/>
              <w:bottom w:val="single" w:sz="4" w:space="0" w:color="auto"/>
              <w:right w:val="single" w:sz="4" w:space="0" w:color="auto"/>
            </w:tcBorders>
            <w:shd w:val="clear" w:color="000000" w:fill="FFFFFF"/>
            <w:vAlign w:val="bottom"/>
            <w:hideMark/>
          </w:tcPr>
          <w:p w14:paraId="190DF1BE" w14:textId="77777777" w:rsidR="00CD3E50" w:rsidRPr="005F16A6" w:rsidRDefault="00CD3E50" w:rsidP="00CD3E50">
            <w:pPr>
              <w:spacing w:after="0" w:line="240" w:lineRule="auto"/>
              <w:jc w:val="right"/>
              <w:rPr>
                <w:rFonts w:ascii="Arial" w:eastAsia="Times New Roman" w:hAnsi="Arial" w:cs="Arial"/>
                <w:b/>
                <w:bCs/>
                <w:sz w:val="16"/>
                <w:szCs w:val="16"/>
                <w:lang w:val="en-GB"/>
              </w:rPr>
            </w:pPr>
          </w:p>
          <w:p w14:paraId="077C9EC0" w14:textId="351477E9" w:rsidR="00CD3E50" w:rsidRPr="005F16A6" w:rsidRDefault="00CD3E50" w:rsidP="00CD3E50">
            <w:pPr>
              <w:spacing w:after="0" w:line="240" w:lineRule="auto"/>
              <w:jc w:val="right"/>
              <w:rPr>
                <w:rFonts w:ascii="Arial" w:eastAsia="Times New Roman" w:hAnsi="Arial" w:cs="Arial"/>
                <w:b/>
                <w:bCs/>
                <w:sz w:val="16"/>
                <w:szCs w:val="16"/>
                <w:lang w:val="en-GB"/>
              </w:rPr>
            </w:pPr>
            <w:r w:rsidRPr="005F16A6">
              <w:rPr>
                <w:rFonts w:ascii="Arial" w:eastAsia="Times New Roman" w:hAnsi="Arial" w:cs="Arial"/>
                <w:b/>
                <w:bCs/>
                <w:sz w:val="16"/>
                <w:szCs w:val="16"/>
                <w:lang w:val="en-GB"/>
              </w:rPr>
              <w:t>42%</w:t>
            </w:r>
          </w:p>
        </w:tc>
        <w:tc>
          <w:tcPr>
            <w:tcW w:w="990" w:type="dxa"/>
            <w:tcBorders>
              <w:top w:val="nil"/>
              <w:left w:val="nil"/>
              <w:bottom w:val="single" w:sz="4" w:space="0" w:color="auto"/>
              <w:right w:val="double" w:sz="6" w:space="0" w:color="auto"/>
            </w:tcBorders>
            <w:shd w:val="clear" w:color="000000" w:fill="FFFFFF"/>
            <w:vAlign w:val="bottom"/>
            <w:hideMark/>
          </w:tcPr>
          <w:p w14:paraId="204B37CA" w14:textId="77777777" w:rsidR="00CD3E50" w:rsidRPr="005F16A6" w:rsidRDefault="00CD3E50" w:rsidP="00CD3E50">
            <w:pPr>
              <w:spacing w:after="0" w:line="240" w:lineRule="auto"/>
              <w:jc w:val="right"/>
              <w:rPr>
                <w:rFonts w:ascii="Arial" w:eastAsia="Times New Roman" w:hAnsi="Arial" w:cs="Arial"/>
                <w:b/>
                <w:bCs/>
                <w:sz w:val="16"/>
                <w:szCs w:val="16"/>
              </w:rPr>
            </w:pPr>
          </w:p>
          <w:p w14:paraId="52E2D4A9" w14:textId="6D4905DA" w:rsidR="00CD3E50" w:rsidRPr="005F16A6" w:rsidRDefault="00CD3E50" w:rsidP="00CD3E50">
            <w:pPr>
              <w:spacing w:after="0" w:line="240" w:lineRule="auto"/>
              <w:jc w:val="right"/>
              <w:rPr>
                <w:rFonts w:ascii="Arial" w:eastAsia="Times New Roman" w:hAnsi="Arial" w:cs="Arial"/>
                <w:b/>
                <w:bCs/>
                <w:sz w:val="16"/>
                <w:szCs w:val="16"/>
                <w:lang w:val="en-GB"/>
              </w:rPr>
            </w:pPr>
            <w:r w:rsidRPr="005F16A6">
              <w:rPr>
                <w:rFonts w:ascii="Arial" w:eastAsia="Times New Roman" w:hAnsi="Arial" w:cs="Arial"/>
                <w:b/>
                <w:bCs/>
                <w:sz w:val="16"/>
                <w:szCs w:val="16"/>
                <w:lang w:val="en-GB"/>
              </w:rPr>
              <w:t xml:space="preserve">     100</w:t>
            </w:r>
          </w:p>
        </w:tc>
        <w:tc>
          <w:tcPr>
            <w:tcW w:w="954" w:type="dxa"/>
            <w:tcBorders>
              <w:top w:val="nil"/>
              <w:left w:val="nil"/>
              <w:bottom w:val="single" w:sz="4" w:space="0" w:color="auto"/>
              <w:right w:val="double" w:sz="6" w:space="0" w:color="auto"/>
            </w:tcBorders>
            <w:shd w:val="clear" w:color="000000" w:fill="FFFFFF"/>
            <w:vAlign w:val="bottom"/>
          </w:tcPr>
          <w:p w14:paraId="37B8769E" w14:textId="77777777" w:rsidR="00CD3E50" w:rsidRPr="005F16A6" w:rsidRDefault="00CD3E50" w:rsidP="00CD3E50">
            <w:pPr>
              <w:spacing w:after="0" w:line="240" w:lineRule="auto"/>
              <w:jc w:val="right"/>
              <w:rPr>
                <w:rFonts w:ascii="Arial" w:eastAsia="Times New Roman" w:hAnsi="Arial" w:cs="Arial"/>
                <w:b/>
                <w:bCs/>
                <w:sz w:val="16"/>
                <w:szCs w:val="16"/>
                <w:lang w:val="en-GB"/>
              </w:rPr>
            </w:pPr>
          </w:p>
          <w:p w14:paraId="67DCA8A5" w14:textId="2EEAD529" w:rsidR="00CD3E50" w:rsidRPr="005F16A6" w:rsidRDefault="00CD3E50" w:rsidP="00CD3E50">
            <w:pPr>
              <w:spacing w:after="0" w:line="240" w:lineRule="auto"/>
              <w:jc w:val="right"/>
              <w:rPr>
                <w:rFonts w:ascii="Arial" w:eastAsia="Times New Roman" w:hAnsi="Arial" w:cs="Arial"/>
                <w:b/>
                <w:bCs/>
                <w:sz w:val="16"/>
                <w:szCs w:val="16"/>
              </w:rPr>
            </w:pPr>
            <w:r w:rsidRPr="005F16A6">
              <w:rPr>
                <w:rFonts w:ascii="Arial" w:eastAsia="Times New Roman" w:hAnsi="Arial" w:cs="Arial"/>
                <w:b/>
                <w:bCs/>
                <w:sz w:val="16"/>
                <w:szCs w:val="16"/>
              </w:rPr>
              <w:t>-</w:t>
            </w:r>
          </w:p>
        </w:tc>
      </w:tr>
    </w:tbl>
    <w:p w14:paraId="7E8C6BC8" w14:textId="3AC8DE7E" w:rsidR="00440E12" w:rsidRPr="00FC06F7" w:rsidRDefault="00440E12">
      <w:pPr>
        <w:rPr>
          <w:rFonts w:ascii="Arial" w:hAnsi="Arial" w:cs="Arial"/>
          <w:b/>
          <w:bCs/>
          <w:lang w:val="en-GB"/>
        </w:rPr>
      </w:pPr>
    </w:p>
    <w:p w14:paraId="65435A44" w14:textId="07D824C7" w:rsidR="00145A9D" w:rsidRPr="00FC06F7" w:rsidRDefault="00C15EE7" w:rsidP="00C15EE7">
      <w:pPr>
        <w:jc w:val="both"/>
        <w:rPr>
          <w:rFonts w:ascii="Arial" w:hAnsi="Arial" w:cs="Arial"/>
          <w:lang w:val="en-GB"/>
        </w:rPr>
      </w:pPr>
      <w:r w:rsidRPr="00FC06F7">
        <w:rPr>
          <w:rFonts w:ascii="Arial" w:hAnsi="Arial" w:cs="Arial"/>
          <w:lang w:val="en-GB"/>
        </w:rPr>
        <w:t>As reflected in the above table, budget utilisation during</w:t>
      </w:r>
      <w:r w:rsidR="000E644B" w:rsidRPr="00FC06F7">
        <w:rPr>
          <w:rFonts w:ascii="Arial" w:hAnsi="Arial" w:cs="Arial"/>
          <w:lang w:val="en-GB"/>
        </w:rPr>
        <w:t xml:space="preserve"> the first half of the year was </w:t>
      </w:r>
      <w:r w:rsidRPr="00FC06F7">
        <w:rPr>
          <w:rFonts w:ascii="Arial" w:hAnsi="Arial" w:cs="Arial"/>
          <w:lang w:val="en-GB"/>
        </w:rPr>
        <w:t xml:space="preserve">USD </w:t>
      </w:r>
      <w:r w:rsidR="00830C43" w:rsidRPr="00FC06F7">
        <w:rPr>
          <w:rFonts w:ascii="Arial" w:hAnsi="Arial" w:cs="Arial"/>
          <w:lang w:val="en-GB"/>
        </w:rPr>
        <w:t>1</w:t>
      </w:r>
      <w:r w:rsidR="00AA6ED0" w:rsidRPr="00FC06F7">
        <w:rPr>
          <w:rFonts w:ascii="Arial" w:hAnsi="Arial" w:cs="Arial"/>
          <w:lang w:val="en-GB"/>
        </w:rPr>
        <w:t>17,568</w:t>
      </w:r>
      <w:r w:rsidR="00830C43" w:rsidRPr="00FC06F7">
        <w:rPr>
          <w:rFonts w:ascii="Arial" w:hAnsi="Arial" w:cs="Arial"/>
          <w:lang w:val="en-GB"/>
        </w:rPr>
        <w:t>.27</w:t>
      </w:r>
      <w:r w:rsidRPr="00FC06F7">
        <w:rPr>
          <w:rFonts w:ascii="Arial" w:hAnsi="Arial" w:cs="Arial"/>
          <w:lang w:val="en-GB"/>
        </w:rPr>
        <w:t xml:space="preserve"> representing </w:t>
      </w:r>
      <w:r w:rsidR="0026665E" w:rsidRPr="00FC06F7">
        <w:rPr>
          <w:rFonts w:ascii="Arial" w:hAnsi="Arial" w:cs="Arial"/>
          <w:lang w:val="en-GB"/>
        </w:rPr>
        <w:t>4</w:t>
      </w:r>
      <w:r w:rsidR="00AA6ED0" w:rsidRPr="00FC06F7">
        <w:rPr>
          <w:rFonts w:ascii="Arial" w:hAnsi="Arial" w:cs="Arial"/>
          <w:lang w:val="en-GB"/>
        </w:rPr>
        <w:t>2</w:t>
      </w:r>
      <w:r w:rsidR="000E644B" w:rsidRPr="00FC06F7">
        <w:rPr>
          <w:rFonts w:ascii="Arial" w:hAnsi="Arial" w:cs="Arial"/>
          <w:lang w:val="en-GB"/>
        </w:rPr>
        <w:t>%</w:t>
      </w:r>
      <w:r w:rsidR="00145A9D" w:rsidRPr="00FC06F7">
        <w:rPr>
          <w:rFonts w:ascii="Arial" w:hAnsi="Arial" w:cs="Arial"/>
          <w:lang w:val="en-GB"/>
        </w:rPr>
        <w:t xml:space="preserve"> of the 2019 </w:t>
      </w:r>
      <w:r w:rsidR="000D212A" w:rsidRPr="00FC06F7">
        <w:rPr>
          <w:rFonts w:ascii="Arial" w:hAnsi="Arial" w:cs="Arial"/>
          <w:lang w:val="en-GB"/>
        </w:rPr>
        <w:t xml:space="preserve">budget. </w:t>
      </w:r>
      <w:r w:rsidR="00153D8C" w:rsidRPr="00FC06F7">
        <w:rPr>
          <w:rFonts w:ascii="Arial" w:hAnsi="Arial" w:cs="Arial"/>
          <w:lang w:val="en-GB"/>
        </w:rPr>
        <w:t xml:space="preserve">The balance outstanding </w:t>
      </w:r>
      <w:r w:rsidR="00293CC2" w:rsidRPr="00FC06F7">
        <w:rPr>
          <w:rFonts w:ascii="Arial" w:hAnsi="Arial" w:cs="Arial"/>
          <w:lang w:val="en-GB"/>
        </w:rPr>
        <w:t>will be used for AIKP activities s</w:t>
      </w:r>
      <w:r w:rsidR="008D0ABF" w:rsidRPr="00FC06F7">
        <w:rPr>
          <w:rFonts w:ascii="Arial" w:hAnsi="Arial" w:cs="Arial"/>
          <w:lang w:val="en-GB"/>
        </w:rPr>
        <w:t>cheduled to begin in the last quarter of 2019</w:t>
      </w:r>
      <w:r w:rsidR="00145A9D" w:rsidRPr="00FC06F7">
        <w:rPr>
          <w:rFonts w:ascii="Arial" w:hAnsi="Arial" w:cs="Arial"/>
          <w:lang w:val="en-GB"/>
        </w:rPr>
        <w:t xml:space="preserve"> </w:t>
      </w:r>
    </w:p>
    <w:p w14:paraId="14D361CD" w14:textId="7670C0EA" w:rsidR="003A7C2F" w:rsidRDefault="00145A9D" w:rsidP="007624D7">
      <w:pPr>
        <w:jc w:val="both"/>
        <w:rPr>
          <w:rFonts w:ascii="Arial" w:hAnsi="Arial" w:cs="Arial"/>
          <w:lang w:val="en-GB"/>
        </w:rPr>
      </w:pPr>
      <w:r w:rsidRPr="00FC06F7">
        <w:rPr>
          <w:rFonts w:ascii="Arial" w:hAnsi="Arial" w:cs="Arial"/>
          <w:lang w:val="en-GB"/>
        </w:rPr>
        <w:t>Further</w:t>
      </w:r>
      <w:r w:rsidR="00554E2C" w:rsidRPr="00FC06F7">
        <w:rPr>
          <w:rFonts w:ascii="Arial" w:hAnsi="Arial" w:cs="Arial"/>
          <w:lang w:val="en-GB"/>
        </w:rPr>
        <w:t>more,</w:t>
      </w:r>
      <w:r w:rsidR="00CB7856" w:rsidRPr="00FC06F7">
        <w:rPr>
          <w:rFonts w:ascii="Arial" w:hAnsi="Arial" w:cs="Arial"/>
          <w:lang w:val="en-GB"/>
        </w:rPr>
        <w:t xml:space="preserve"> </w:t>
      </w:r>
      <w:r w:rsidRPr="00FC06F7">
        <w:rPr>
          <w:rFonts w:ascii="Arial" w:hAnsi="Arial" w:cs="Arial"/>
          <w:lang w:val="en-GB"/>
        </w:rPr>
        <w:t xml:space="preserve">the project’s budget outturn is expected to be </w:t>
      </w:r>
      <w:r w:rsidR="00177791" w:rsidRPr="00FC06F7">
        <w:rPr>
          <w:rFonts w:ascii="Arial" w:hAnsi="Arial" w:cs="Arial"/>
          <w:lang w:val="en-GB"/>
        </w:rPr>
        <w:t>100</w:t>
      </w:r>
      <w:r w:rsidR="000D212A" w:rsidRPr="00FC06F7">
        <w:rPr>
          <w:rFonts w:ascii="Arial" w:hAnsi="Arial" w:cs="Arial"/>
          <w:lang w:val="en-GB"/>
        </w:rPr>
        <w:t>%</w:t>
      </w:r>
      <w:r w:rsidR="004061ED" w:rsidRPr="00FC06F7">
        <w:rPr>
          <w:rFonts w:ascii="Arial" w:hAnsi="Arial" w:cs="Arial"/>
          <w:lang w:val="en-GB"/>
        </w:rPr>
        <w:t xml:space="preserve"> </w:t>
      </w:r>
      <w:r w:rsidR="00DF1FD5" w:rsidRPr="00FC06F7">
        <w:rPr>
          <w:rFonts w:ascii="Arial" w:hAnsi="Arial" w:cs="Arial"/>
          <w:lang w:val="en-GB"/>
        </w:rPr>
        <w:t xml:space="preserve">once AIKP </w:t>
      </w:r>
      <w:r w:rsidR="004A5680" w:rsidRPr="00FC06F7">
        <w:rPr>
          <w:rFonts w:ascii="Arial" w:hAnsi="Arial" w:cs="Arial"/>
          <w:lang w:val="en-GB"/>
        </w:rPr>
        <w:t>activities</w:t>
      </w:r>
      <w:r w:rsidR="00DF1FD5" w:rsidRPr="00FC06F7">
        <w:rPr>
          <w:rFonts w:ascii="Arial" w:hAnsi="Arial" w:cs="Arial"/>
          <w:lang w:val="en-GB"/>
        </w:rPr>
        <w:t xml:space="preserve"> are implemented in the last quarter of 2019.</w:t>
      </w:r>
      <w:r w:rsidR="000D212A" w:rsidRPr="00FC06F7">
        <w:rPr>
          <w:rFonts w:ascii="Arial" w:hAnsi="Arial" w:cs="Arial"/>
          <w:lang w:val="en-GB"/>
        </w:rPr>
        <w:t xml:space="preserve"> </w:t>
      </w:r>
    </w:p>
    <w:p w14:paraId="5EA5CBAA" w14:textId="77777777" w:rsidR="007624D7" w:rsidRPr="007624D7" w:rsidRDefault="007624D7" w:rsidP="007624D7">
      <w:pPr>
        <w:jc w:val="both"/>
        <w:rPr>
          <w:rFonts w:ascii="Arial" w:hAnsi="Arial" w:cs="Arial"/>
          <w:lang w:val="en-GB"/>
        </w:rPr>
      </w:pPr>
    </w:p>
    <w:p w14:paraId="7CB7C29A" w14:textId="4999BC06" w:rsidR="00116C47" w:rsidRPr="00FC06F7" w:rsidRDefault="00116C47" w:rsidP="00145A9D">
      <w:pPr>
        <w:pStyle w:val="ListParagraph"/>
        <w:numPr>
          <w:ilvl w:val="0"/>
          <w:numId w:val="3"/>
        </w:numPr>
        <w:ind w:hanging="720"/>
        <w:rPr>
          <w:rFonts w:ascii="Arial" w:hAnsi="Arial" w:cs="Arial"/>
          <w:b/>
          <w:bCs/>
          <w:lang w:val="en-GB"/>
        </w:rPr>
      </w:pPr>
      <w:r w:rsidRPr="00FC06F7">
        <w:rPr>
          <w:rFonts w:ascii="Arial" w:hAnsi="Arial" w:cs="Arial"/>
          <w:b/>
          <w:bCs/>
          <w:lang w:val="en-GB"/>
        </w:rPr>
        <w:t>Risk</w:t>
      </w:r>
      <w:r w:rsidR="00145A9D" w:rsidRPr="00FC06F7">
        <w:rPr>
          <w:rFonts w:ascii="Arial" w:hAnsi="Arial" w:cs="Arial"/>
          <w:b/>
          <w:bCs/>
          <w:lang w:val="en-GB"/>
        </w:rPr>
        <w:t xml:space="preserve"> Management</w:t>
      </w:r>
    </w:p>
    <w:p w14:paraId="68F75A31" w14:textId="77777777" w:rsidR="00F84F55" w:rsidRPr="00FC06F7" w:rsidRDefault="00F84F55" w:rsidP="00F84F55">
      <w:pPr>
        <w:pStyle w:val="ListParagraph"/>
        <w:rPr>
          <w:rFonts w:ascii="Arial" w:hAnsi="Arial" w:cs="Arial"/>
          <w:lang w:val="en-GB"/>
        </w:rPr>
      </w:pPr>
    </w:p>
    <w:p w14:paraId="7C9E618D" w14:textId="37BEA474" w:rsidR="00F66423" w:rsidRPr="00FC06F7" w:rsidRDefault="00F84F55" w:rsidP="00F84F55">
      <w:pPr>
        <w:pStyle w:val="ListParagraph"/>
        <w:rPr>
          <w:rFonts w:ascii="Arial" w:hAnsi="Arial" w:cs="Arial"/>
          <w:lang w:val="en-GB"/>
        </w:rPr>
      </w:pPr>
      <w:r w:rsidRPr="00FC06F7">
        <w:rPr>
          <w:rFonts w:ascii="Arial" w:hAnsi="Arial" w:cs="Arial"/>
          <w:lang w:val="en-GB"/>
        </w:rPr>
        <w:t>Major risks faced by the programme include;</w:t>
      </w:r>
    </w:p>
    <w:p w14:paraId="27B7D706" w14:textId="77777777" w:rsidR="00F84F55" w:rsidRPr="00FC06F7" w:rsidRDefault="00F84F55" w:rsidP="00F84F55">
      <w:pPr>
        <w:pStyle w:val="ListParagraph"/>
        <w:rPr>
          <w:rFonts w:ascii="Arial" w:hAnsi="Arial" w:cs="Arial"/>
          <w:lang w:val="en-GB"/>
        </w:rPr>
      </w:pPr>
    </w:p>
    <w:p w14:paraId="52D9BC99" w14:textId="37AC3BAC" w:rsidR="00F66423" w:rsidRPr="00FC06F7" w:rsidRDefault="00F66423" w:rsidP="00065C03">
      <w:pPr>
        <w:pStyle w:val="ListParagraph"/>
        <w:numPr>
          <w:ilvl w:val="0"/>
          <w:numId w:val="14"/>
        </w:numPr>
        <w:jc w:val="both"/>
        <w:rPr>
          <w:rFonts w:ascii="Arial" w:hAnsi="Arial" w:cs="Arial"/>
          <w:lang w:val="en-GB"/>
        </w:rPr>
      </w:pPr>
      <w:r w:rsidRPr="00FC06F7">
        <w:rPr>
          <w:rFonts w:ascii="Arial" w:hAnsi="Arial" w:cs="Arial"/>
          <w:lang w:val="en-GB"/>
        </w:rPr>
        <w:t>Some countries (particularly those with large geographical areas) had to scale down on coverage due to limited resources;</w:t>
      </w:r>
    </w:p>
    <w:p w14:paraId="06250BA2" w14:textId="77777777" w:rsidR="00F66423" w:rsidRPr="00FC06F7" w:rsidRDefault="00F66423" w:rsidP="0037718B">
      <w:pPr>
        <w:pStyle w:val="ListParagraph"/>
        <w:numPr>
          <w:ilvl w:val="0"/>
          <w:numId w:val="14"/>
        </w:numPr>
        <w:jc w:val="both"/>
        <w:rPr>
          <w:rFonts w:ascii="Arial" w:hAnsi="Arial" w:cs="Arial"/>
          <w:lang w:val="en-GB"/>
        </w:rPr>
      </w:pPr>
      <w:r w:rsidRPr="00FC06F7">
        <w:rPr>
          <w:rFonts w:ascii="Arial" w:hAnsi="Arial" w:cs="Arial"/>
          <w:lang w:val="en-GB"/>
        </w:rPr>
        <w:t>Delays in signing the Implementation Agreements consequently affected the commencement of surveys in some countries;</w:t>
      </w:r>
    </w:p>
    <w:p w14:paraId="563BF55B" w14:textId="77777777" w:rsidR="00F66423" w:rsidRPr="00FC06F7" w:rsidRDefault="00F66423" w:rsidP="00F66423">
      <w:pPr>
        <w:pStyle w:val="ListParagraph"/>
        <w:ind w:left="2160"/>
        <w:jc w:val="both"/>
        <w:rPr>
          <w:rFonts w:ascii="Arial" w:hAnsi="Arial" w:cs="Arial"/>
          <w:lang w:val="en-GB"/>
        </w:rPr>
      </w:pPr>
    </w:p>
    <w:p w14:paraId="5540840A" w14:textId="77777777" w:rsidR="00F66423" w:rsidRPr="00FC06F7" w:rsidRDefault="00F66423" w:rsidP="0037718B">
      <w:pPr>
        <w:pStyle w:val="ListParagraph"/>
        <w:numPr>
          <w:ilvl w:val="0"/>
          <w:numId w:val="14"/>
        </w:numPr>
        <w:rPr>
          <w:rFonts w:ascii="Arial" w:hAnsi="Arial" w:cs="Arial"/>
          <w:lang w:val="en-GB"/>
        </w:rPr>
      </w:pPr>
      <w:r w:rsidRPr="00FC06F7">
        <w:rPr>
          <w:rFonts w:ascii="Arial" w:hAnsi="Arial" w:cs="Arial"/>
          <w:lang w:val="en-GB"/>
        </w:rPr>
        <w:t>Delays in retiring disbursed funds had an impact on the implementation of activities in some countries</w:t>
      </w:r>
    </w:p>
    <w:p w14:paraId="271667A0" w14:textId="16B5705A" w:rsidR="00F66423" w:rsidRPr="00FC06F7" w:rsidRDefault="00F66423" w:rsidP="00F66423">
      <w:pPr>
        <w:pStyle w:val="ListParagraph"/>
        <w:rPr>
          <w:rFonts w:ascii="Arial" w:hAnsi="Arial" w:cs="Arial"/>
          <w:lang w:val="en-GB"/>
        </w:rPr>
      </w:pPr>
    </w:p>
    <w:p w14:paraId="21921F7F" w14:textId="0649B0A4" w:rsidR="00F66423" w:rsidRPr="00FC06F7" w:rsidRDefault="00F66423" w:rsidP="0037718B">
      <w:pPr>
        <w:pStyle w:val="ListParagraph"/>
        <w:numPr>
          <w:ilvl w:val="0"/>
          <w:numId w:val="14"/>
        </w:numPr>
        <w:rPr>
          <w:rFonts w:ascii="Arial" w:hAnsi="Arial" w:cs="Arial"/>
          <w:lang w:val="en-GB"/>
        </w:rPr>
      </w:pPr>
      <w:r w:rsidRPr="00FC06F7">
        <w:rPr>
          <w:rFonts w:ascii="Arial" w:hAnsi="Arial" w:cs="Arial"/>
          <w:lang w:val="en-GB"/>
        </w:rPr>
        <w:t>Disbursement of funds to some countries was a challenge due to some factors such as political sanctions and economic difficulties causing scarcity of foreign exchange</w:t>
      </w:r>
      <w:r w:rsidR="00D072BC" w:rsidRPr="00FC06F7">
        <w:rPr>
          <w:rFonts w:ascii="Arial" w:hAnsi="Arial" w:cs="Arial"/>
          <w:lang w:val="en-GB"/>
        </w:rPr>
        <w:t xml:space="preserve"> </w:t>
      </w:r>
      <w:r w:rsidRPr="00FC06F7">
        <w:rPr>
          <w:rFonts w:ascii="Arial" w:hAnsi="Arial" w:cs="Arial"/>
          <w:lang w:val="en-GB"/>
        </w:rPr>
        <w:t>resulting in hard cash being physically delivered to these countries;</w:t>
      </w:r>
    </w:p>
    <w:p w14:paraId="7DCF11B7" w14:textId="77777777" w:rsidR="00F66423" w:rsidRPr="00FC06F7" w:rsidRDefault="00F66423" w:rsidP="00F66423">
      <w:pPr>
        <w:pStyle w:val="ListParagraph"/>
        <w:rPr>
          <w:rFonts w:ascii="Arial" w:hAnsi="Arial" w:cs="Arial"/>
          <w:lang w:val="en-GB"/>
        </w:rPr>
      </w:pPr>
    </w:p>
    <w:p w14:paraId="0BE79DBB" w14:textId="32933611" w:rsidR="00F66423" w:rsidRPr="00FC06F7" w:rsidRDefault="00F66423" w:rsidP="0037718B">
      <w:pPr>
        <w:pStyle w:val="ListParagraph"/>
        <w:numPr>
          <w:ilvl w:val="0"/>
          <w:numId w:val="14"/>
        </w:numPr>
        <w:rPr>
          <w:rFonts w:ascii="Arial" w:hAnsi="Arial" w:cs="Arial"/>
          <w:lang w:val="en-GB"/>
        </w:rPr>
      </w:pPr>
      <w:r w:rsidRPr="00FC06F7">
        <w:rPr>
          <w:rFonts w:ascii="Arial" w:hAnsi="Arial" w:cs="Arial"/>
          <w:lang w:val="en-GB"/>
        </w:rPr>
        <w:lastRenderedPageBreak/>
        <w:t xml:space="preserve">A good number of countries </w:t>
      </w:r>
      <w:r w:rsidR="00282BE6" w:rsidRPr="00FC06F7">
        <w:rPr>
          <w:rFonts w:ascii="Arial" w:hAnsi="Arial" w:cs="Arial"/>
          <w:lang w:val="en-GB"/>
        </w:rPr>
        <w:t>did not</w:t>
      </w:r>
      <w:r w:rsidRPr="00FC06F7">
        <w:rPr>
          <w:rFonts w:ascii="Arial" w:hAnsi="Arial" w:cs="Arial"/>
          <w:lang w:val="en-GB"/>
        </w:rPr>
        <w:t xml:space="preserve"> factor in the National Accounts activities in their budgets, this paused a risk to the implementation of National Accounts surveys;</w:t>
      </w:r>
    </w:p>
    <w:p w14:paraId="4F9AD956" w14:textId="77777777" w:rsidR="00F66423" w:rsidRPr="00FC06F7" w:rsidRDefault="00F66423" w:rsidP="00F66423">
      <w:pPr>
        <w:pStyle w:val="ListParagraph"/>
        <w:rPr>
          <w:rFonts w:ascii="Arial" w:hAnsi="Arial" w:cs="Arial"/>
          <w:lang w:val="en-GB"/>
        </w:rPr>
      </w:pPr>
    </w:p>
    <w:p w14:paraId="6F079CB5" w14:textId="54D7EC4F" w:rsidR="00145A9D" w:rsidRPr="00FC06F7" w:rsidRDefault="00F66423" w:rsidP="0089301F">
      <w:pPr>
        <w:pStyle w:val="ListParagraph"/>
        <w:numPr>
          <w:ilvl w:val="0"/>
          <w:numId w:val="14"/>
        </w:numPr>
        <w:rPr>
          <w:rFonts w:ascii="Arial" w:hAnsi="Arial" w:cs="Arial"/>
          <w:lang w:val="en-GB"/>
        </w:rPr>
      </w:pPr>
      <w:r w:rsidRPr="00FC06F7">
        <w:rPr>
          <w:rFonts w:ascii="Arial" w:hAnsi="Arial" w:cs="Arial"/>
          <w:lang w:val="en-GB"/>
        </w:rPr>
        <w:t>Staff turnover in some countries caused delays in the implementation of activities.</w:t>
      </w:r>
    </w:p>
    <w:p w14:paraId="1D8577FA" w14:textId="77777777" w:rsidR="00145A9D" w:rsidRPr="00FC06F7" w:rsidRDefault="00145A9D" w:rsidP="00145A9D">
      <w:pPr>
        <w:pStyle w:val="ListParagraph"/>
        <w:rPr>
          <w:rFonts w:ascii="Arial" w:hAnsi="Arial" w:cs="Arial"/>
          <w:i/>
          <w:iCs/>
          <w:lang w:val="en-GB"/>
        </w:rPr>
      </w:pPr>
    </w:p>
    <w:p w14:paraId="7E286BE9" w14:textId="14DA35F2" w:rsidR="00852CDB" w:rsidRPr="00FC06F7" w:rsidRDefault="00852CDB" w:rsidP="00424E0C">
      <w:pPr>
        <w:pStyle w:val="ListParagraph"/>
        <w:numPr>
          <w:ilvl w:val="0"/>
          <w:numId w:val="3"/>
        </w:numPr>
        <w:ind w:hanging="720"/>
        <w:rPr>
          <w:rFonts w:ascii="Arial" w:hAnsi="Arial" w:cs="Arial"/>
          <w:b/>
          <w:bCs/>
          <w:lang w:val="en-GB"/>
        </w:rPr>
      </w:pPr>
      <w:r w:rsidRPr="00FC06F7">
        <w:rPr>
          <w:rFonts w:ascii="Arial" w:hAnsi="Arial" w:cs="Arial"/>
          <w:b/>
          <w:bCs/>
          <w:lang w:val="en-GB"/>
        </w:rPr>
        <w:t>Recommendation</w:t>
      </w:r>
    </w:p>
    <w:p w14:paraId="397B8058" w14:textId="12543672" w:rsidR="00852CDB" w:rsidRPr="00FC06F7" w:rsidRDefault="004061ED" w:rsidP="00852CDB">
      <w:pPr>
        <w:rPr>
          <w:rFonts w:ascii="Arial" w:hAnsi="Arial" w:cs="Arial"/>
          <w:lang w:val="en-GB"/>
        </w:rPr>
      </w:pPr>
      <w:r w:rsidRPr="00FC06F7">
        <w:rPr>
          <w:rFonts w:ascii="Arial" w:hAnsi="Arial" w:cs="Arial"/>
          <w:lang w:val="en-GB"/>
        </w:rPr>
        <w:t xml:space="preserve">Based on the </w:t>
      </w:r>
      <w:r w:rsidR="004D6920" w:rsidRPr="00FC06F7">
        <w:rPr>
          <w:rFonts w:ascii="Arial" w:hAnsi="Arial" w:cs="Arial"/>
          <w:lang w:val="en-GB"/>
        </w:rPr>
        <w:t>budget outturn analysis and risk, management proposes the following;</w:t>
      </w:r>
    </w:p>
    <w:p w14:paraId="516E3ACA" w14:textId="3494E016" w:rsidR="004D6920" w:rsidRPr="00FC06F7" w:rsidRDefault="00577B72" w:rsidP="004D6920">
      <w:pPr>
        <w:pStyle w:val="ListParagraph"/>
        <w:numPr>
          <w:ilvl w:val="0"/>
          <w:numId w:val="13"/>
        </w:numPr>
        <w:rPr>
          <w:rFonts w:ascii="Arial" w:hAnsi="Arial" w:cs="Arial"/>
          <w:lang w:val="en-GB"/>
        </w:rPr>
      </w:pPr>
      <w:r w:rsidRPr="00FC06F7">
        <w:rPr>
          <w:rFonts w:ascii="Arial" w:hAnsi="Arial" w:cs="Arial"/>
          <w:lang w:val="en-GB"/>
        </w:rPr>
        <w:t xml:space="preserve">Timely and consistent </w:t>
      </w:r>
      <w:r w:rsidR="00D62AA9" w:rsidRPr="00FC06F7">
        <w:rPr>
          <w:rFonts w:ascii="Arial" w:hAnsi="Arial" w:cs="Arial"/>
          <w:lang w:val="en-GB"/>
        </w:rPr>
        <w:t>bilateral engagement</w:t>
      </w:r>
      <w:r w:rsidRPr="00FC06F7">
        <w:rPr>
          <w:rFonts w:ascii="Arial" w:hAnsi="Arial" w:cs="Arial"/>
          <w:lang w:val="en-GB"/>
        </w:rPr>
        <w:t xml:space="preserve"> with </w:t>
      </w:r>
      <w:r w:rsidR="00BF0628" w:rsidRPr="00FC06F7">
        <w:rPr>
          <w:rFonts w:ascii="Arial" w:hAnsi="Arial" w:cs="Arial"/>
          <w:lang w:val="en-GB"/>
        </w:rPr>
        <w:t>participating Member states</w:t>
      </w:r>
    </w:p>
    <w:p w14:paraId="454F1301" w14:textId="39AFAB70" w:rsidR="004D6920" w:rsidRPr="00FC06F7" w:rsidRDefault="00FB2ABC" w:rsidP="004D6920">
      <w:pPr>
        <w:pStyle w:val="ListParagraph"/>
        <w:numPr>
          <w:ilvl w:val="0"/>
          <w:numId w:val="13"/>
        </w:numPr>
        <w:rPr>
          <w:rFonts w:ascii="Arial" w:hAnsi="Arial" w:cs="Arial"/>
          <w:lang w:val="en-GB"/>
        </w:rPr>
      </w:pPr>
      <w:r w:rsidRPr="00FC06F7">
        <w:rPr>
          <w:rFonts w:ascii="Arial" w:hAnsi="Arial" w:cs="Arial"/>
          <w:lang w:val="en-GB"/>
        </w:rPr>
        <w:t>T</w:t>
      </w:r>
      <w:r w:rsidR="00E23B9B" w:rsidRPr="00FC06F7">
        <w:rPr>
          <w:rFonts w:ascii="Arial" w:hAnsi="Arial" w:cs="Arial"/>
          <w:lang w:val="en-GB"/>
        </w:rPr>
        <w:t xml:space="preserve">raining of staff </w:t>
      </w:r>
      <w:r w:rsidR="00DB0DDA" w:rsidRPr="00FC06F7">
        <w:rPr>
          <w:rFonts w:ascii="Arial" w:hAnsi="Arial" w:cs="Arial"/>
          <w:lang w:val="en-GB"/>
        </w:rPr>
        <w:t>from the Central statistics offices</w:t>
      </w:r>
    </w:p>
    <w:p w14:paraId="2350B504" w14:textId="09BDF0B8" w:rsidR="00DB0DDA" w:rsidRPr="00FC06F7" w:rsidRDefault="00063480" w:rsidP="004D6920">
      <w:pPr>
        <w:pStyle w:val="ListParagraph"/>
        <w:numPr>
          <w:ilvl w:val="0"/>
          <w:numId w:val="13"/>
        </w:numPr>
        <w:rPr>
          <w:rFonts w:ascii="Arial" w:hAnsi="Arial" w:cs="Arial"/>
          <w:lang w:val="en-GB"/>
        </w:rPr>
      </w:pPr>
      <w:r w:rsidRPr="00FC06F7">
        <w:rPr>
          <w:rFonts w:ascii="Arial" w:hAnsi="Arial" w:cs="Arial"/>
          <w:lang w:val="en-GB"/>
        </w:rPr>
        <w:t>Timely e</w:t>
      </w:r>
      <w:r w:rsidR="00884854" w:rsidRPr="00FC06F7">
        <w:rPr>
          <w:rFonts w:ascii="Arial" w:hAnsi="Arial" w:cs="Arial"/>
          <w:lang w:val="en-GB"/>
        </w:rPr>
        <w:t>ngage</w:t>
      </w:r>
      <w:r w:rsidRPr="00FC06F7">
        <w:rPr>
          <w:rFonts w:ascii="Arial" w:hAnsi="Arial" w:cs="Arial"/>
          <w:lang w:val="en-GB"/>
        </w:rPr>
        <w:t>ment</w:t>
      </w:r>
      <w:r w:rsidR="00884854" w:rsidRPr="00FC06F7">
        <w:rPr>
          <w:rFonts w:ascii="Arial" w:hAnsi="Arial" w:cs="Arial"/>
          <w:lang w:val="en-GB"/>
        </w:rPr>
        <w:t xml:space="preserve"> </w:t>
      </w:r>
      <w:r w:rsidR="00C21A15" w:rsidRPr="00FC06F7">
        <w:rPr>
          <w:rFonts w:ascii="Arial" w:hAnsi="Arial" w:cs="Arial"/>
          <w:lang w:val="en-GB"/>
        </w:rPr>
        <w:t xml:space="preserve">of </w:t>
      </w:r>
      <w:r w:rsidR="00884854" w:rsidRPr="00FC06F7">
        <w:rPr>
          <w:rFonts w:ascii="Arial" w:hAnsi="Arial" w:cs="Arial"/>
          <w:lang w:val="en-GB"/>
        </w:rPr>
        <w:t>relevant Ministry’s/</w:t>
      </w:r>
      <w:r w:rsidR="00B0551E" w:rsidRPr="00FC06F7">
        <w:rPr>
          <w:rFonts w:ascii="Arial" w:hAnsi="Arial" w:cs="Arial"/>
          <w:lang w:val="en-GB"/>
        </w:rPr>
        <w:t xml:space="preserve">Departments </w:t>
      </w:r>
      <w:r w:rsidR="002D0318" w:rsidRPr="00FC06F7">
        <w:rPr>
          <w:rFonts w:ascii="Arial" w:hAnsi="Arial" w:cs="Arial"/>
          <w:lang w:val="en-GB"/>
        </w:rPr>
        <w:t>to mitigate</w:t>
      </w:r>
      <w:r w:rsidR="004806AB" w:rsidRPr="00FC06F7">
        <w:rPr>
          <w:rFonts w:ascii="Arial" w:hAnsi="Arial" w:cs="Arial"/>
          <w:lang w:val="en-GB"/>
        </w:rPr>
        <w:t xml:space="preserve"> challenges </w:t>
      </w:r>
      <w:r w:rsidRPr="00FC06F7">
        <w:rPr>
          <w:rFonts w:ascii="Arial" w:hAnsi="Arial" w:cs="Arial"/>
          <w:lang w:val="en-GB"/>
        </w:rPr>
        <w:t xml:space="preserve">of Government bureaucracies. </w:t>
      </w:r>
      <w:r w:rsidR="002D0318" w:rsidRPr="00FC06F7">
        <w:rPr>
          <w:rFonts w:ascii="Arial" w:hAnsi="Arial" w:cs="Arial"/>
          <w:lang w:val="en-GB"/>
        </w:rPr>
        <w:t xml:space="preserve"> </w:t>
      </w:r>
    </w:p>
    <w:p w14:paraId="56C86F46" w14:textId="7AD56A16" w:rsidR="00857764" w:rsidRPr="00FC06F7" w:rsidRDefault="00857764" w:rsidP="004434D9">
      <w:pPr>
        <w:pStyle w:val="ListParagraph"/>
        <w:ind w:left="1440"/>
        <w:rPr>
          <w:rFonts w:ascii="Arial" w:hAnsi="Arial" w:cs="Arial"/>
          <w:lang w:val="en-GB"/>
        </w:rPr>
      </w:pPr>
    </w:p>
    <w:p w14:paraId="0D6C4AC2" w14:textId="7A4EDA1F" w:rsidR="00116C47" w:rsidRPr="00FC06F7" w:rsidRDefault="00116C47" w:rsidP="00852CDB">
      <w:pPr>
        <w:pStyle w:val="ListParagraph"/>
        <w:rPr>
          <w:rFonts w:ascii="Arial" w:hAnsi="Arial" w:cs="Arial"/>
          <w:lang w:val="en-GB"/>
        </w:rPr>
      </w:pPr>
    </w:p>
    <w:sectPr w:rsidR="00116C47" w:rsidRPr="00FC06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BF1A1" w14:textId="77777777" w:rsidR="00C71574" w:rsidRDefault="00C71574" w:rsidP="00EA5707">
      <w:pPr>
        <w:spacing w:after="0" w:line="240" w:lineRule="auto"/>
      </w:pPr>
      <w:r>
        <w:separator/>
      </w:r>
    </w:p>
  </w:endnote>
  <w:endnote w:type="continuationSeparator" w:id="0">
    <w:p w14:paraId="44808095" w14:textId="77777777" w:rsidR="00C71574" w:rsidRDefault="00C71574" w:rsidP="00EA5707">
      <w:pPr>
        <w:spacing w:after="0" w:line="240" w:lineRule="auto"/>
      </w:pPr>
      <w:r>
        <w:continuationSeparator/>
      </w:r>
    </w:p>
  </w:endnote>
  <w:endnote w:type="continuationNotice" w:id="1">
    <w:p w14:paraId="55488912" w14:textId="77777777" w:rsidR="00C71574" w:rsidRDefault="00C71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4061ED" w:rsidRDefault="00406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4061ED" w:rsidRDefault="0040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FBA47" w14:textId="77777777" w:rsidR="00C71574" w:rsidRDefault="00C71574" w:rsidP="00EA5707">
      <w:pPr>
        <w:spacing w:after="0" w:line="240" w:lineRule="auto"/>
      </w:pPr>
      <w:r>
        <w:separator/>
      </w:r>
    </w:p>
  </w:footnote>
  <w:footnote w:type="continuationSeparator" w:id="0">
    <w:p w14:paraId="7055885C" w14:textId="77777777" w:rsidR="00C71574" w:rsidRDefault="00C71574" w:rsidP="00EA5707">
      <w:pPr>
        <w:spacing w:after="0" w:line="240" w:lineRule="auto"/>
      </w:pPr>
      <w:r>
        <w:continuationSeparator/>
      </w:r>
    </w:p>
  </w:footnote>
  <w:footnote w:type="continuationNotice" w:id="1">
    <w:p w14:paraId="3DF23CB3" w14:textId="77777777" w:rsidR="00C71574" w:rsidRDefault="00C71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4EF36CD2" w:rsidR="00EA5707" w:rsidRPr="0088042E" w:rsidRDefault="00AB3B88">
    <w:pPr>
      <w:pStyle w:val="Header"/>
      <w:rPr>
        <w:rFonts w:ascii="Arial" w:hAnsi="Arial" w:cs="Arial"/>
        <w:b/>
        <w:bCs/>
        <w:sz w:val="24"/>
        <w:szCs w:val="24"/>
        <w:lang w:val="en-GB"/>
      </w:rPr>
    </w:pPr>
    <w:r>
      <w:rPr>
        <w:rFonts w:ascii="Arial" w:hAnsi="Arial" w:cs="Arial"/>
        <w:b/>
        <w:bCs/>
        <w:sz w:val="24"/>
        <w:szCs w:val="24"/>
        <w:lang w:val="en-GB"/>
      </w:rPr>
      <w:t>NOTE</w:t>
    </w:r>
    <w:r w:rsidR="0088042E" w:rsidRPr="0088042E">
      <w:rPr>
        <w:rFonts w:ascii="Arial" w:hAnsi="Arial" w:cs="Arial"/>
        <w:b/>
        <w:bCs/>
        <w:sz w:val="24"/>
        <w:szCs w:val="24"/>
        <w:lang w:val="en-GB"/>
      </w:rPr>
      <w:t xml:space="preserve"> 1</w:t>
    </w:r>
    <w:r w:rsidR="008313DA">
      <w:rPr>
        <w:rFonts w:ascii="Arial" w:hAnsi="Arial" w:cs="Arial"/>
        <w:b/>
        <w:bCs/>
        <w:sz w:val="24"/>
        <w:szCs w:val="24"/>
        <w:lang w:val="en-GB"/>
      </w:rPr>
      <w:t>2</w:t>
    </w:r>
    <w:r w:rsidR="0088042E" w:rsidRPr="0088042E">
      <w:rPr>
        <w:rFonts w:ascii="Arial" w:hAnsi="Arial" w:cs="Arial"/>
        <w:b/>
        <w:bCs/>
        <w:sz w:val="24"/>
        <w:szCs w:val="24"/>
        <w:lang w:val="en-GB"/>
      </w:rPr>
      <w:t xml:space="preserve">: </w:t>
    </w:r>
    <w:r w:rsidR="00060BE3">
      <w:rPr>
        <w:rFonts w:ascii="Arial" w:hAnsi="Arial" w:cs="Arial"/>
        <w:b/>
        <w:bCs/>
        <w:sz w:val="24"/>
        <w:szCs w:val="24"/>
        <w:lang w:val="en-GB"/>
      </w:rPr>
      <w:t>STATIST</w:t>
    </w:r>
    <w:r w:rsidR="00B1557A">
      <w:rPr>
        <w:rFonts w:ascii="Arial" w:hAnsi="Arial" w:cs="Arial"/>
        <w:b/>
        <w:bCs/>
        <w:sz w:val="24"/>
        <w:szCs w:val="24"/>
        <w:lang w:val="en-GB"/>
      </w:rPr>
      <w:t>ICAL CAPACITY BUILDING PROGRAMME</w:t>
    </w:r>
    <w:r w:rsidR="0088042E" w:rsidRPr="0088042E">
      <w:rPr>
        <w:rFonts w:ascii="Arial" w:hAnsi="Arial" w:cs="Arial"/>
        <w:b/>
        <w:bCs/>
        <w:sz w:val="24"/>
        <w:szCs w:val="24"/>
        <w:lang w:val="en-GB"/>
      </w:rPr>
      <w:t xml:space="preserve"> (</w:t>
    </w:r>
    <w:r w:rsidR="00060BE3">
      <w:rPr>
        <w:rFonts w:ascii="Arial" w:hAnsi="Arial" w:cs="Arial"/>
        <w:b/>
        <w:bCs/>
        <w:sz w:val="24"/>
        <w:szCs w:val="24"/>
        <w:lang w:val="en-GB"/>
      </w:rPr>
      <w:t>SCB 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113ACE"/>
    <w:multiLevelType w:val="hybridMultilevel"/>
    <w:tmpl w:val="6AA6C70C"/>
    <w:lvl w:ilvl="0" w:tplc="0D12DC6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C92417C"/>
    <w:multiLevelType w:val="hybridMultilevel"/>
    <w:tmpl w:val="3A60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C6117"/>
    <w:multiLevelType w:val="hybridMultilevel"/>
    <w:tmpl w:val="885A4736"/>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8"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E372059"/>
    <w:multiLevelType w:val="hybridMultilevel"/>
    <w:tmpl w:val="51408B22"/>
    <w:lvl w:ilvl="0" w:tplc="1A5C8624">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D4750B6"/>
    <w:multiLevelType w:val="hybridMultilevel"/>
    <w:tmpl w:val="65F8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11"/>
  </w:num>
  <w:num w:numId="3">
    <w:abstractNumId w:val="17"/>
  </w:num>
  <w:num w:numId="4">
    <w:abstractNumId w:val="14"/>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2"/>
  </w:num>
  <w:num w:numId="9">
    <w:abstractNumId w:val="0"/>
  </w:num>
  <w:num w:numId="10">
    <w:abstractNumId w:val="13"/>
  </w:num>
  <w:num w:numId="11">
    <w:abstractNumId w:val="4"/>
  </w:num>
  <w:num w:numId="12">
    <w:abstractNumId w:val="10"/>
  </w:num>
  <w:num w:numId="13">
    <w:abstractNumId w:val="5"/>
  </w:num>
  <w:num w:numId="14">
    <w:abstractNumId w:val="7"/>
  </w:num>
  <w:num w:numId="15">
    <w:abstractNumId w:val="3"/>
  </w:num>
  <w:num w:numId="16">
    <w:abstractNumId w:val="6"/>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067ED"/>
    <w:rsid w:val="0001015B"/>
    <w:rsid w:val="00010BF1"/>
    <w:rsid w:val="00035997"/>
    <w:rsid w:val="00060BE3"/>
    <w:rsid w:val="00060DF6"/>
    <w:rsid w:val="00063480"/>
    <w:rsid w:val="00065C03"/>
    <w:rsid w:val="0007160E"/>
    <w:rsid w:val="00081F69"/>
    <w:rsid w:val="000A6600"/>
    <w:rsid w:val="000A6C66"/>
    <w:rsid w:val="000C423F"/>
    <w:rsid w:val="000D212A"/>
    <w:rsid w:val="000D6591"/>
    <w:rsid w:val="000E0A6E"/>
    <w:rsid w:val="000E644B"/>
    <w:rsid w:val="000F5927"/>
    <w:rsid w:val="00103979"/>
    <w:rsid w:val="00116C47"/>
    <w:rsid w:val="00123594"/>
    <w:rsid w:val="001336D6"/>
    <w:rsid w:val="001354EB"/>
    <w:rsid w:val="001402BC"/>
    <w:rsid w:val="00145A9D"/>
    <w:rsid w:val="00153D8C"/>
    <w:rsid w:val="0015514A"/>
    <w:rsid w:val="001731A7"/>
    <w:rsid w:val="0017640F"/>
    <w:rsid w:val="00177791"/>
    <w:rsid w:val="00193C50"/>
    <w:rsid w:val="001A0D25"/>
    <w:rsid w:val="001A34C3"/>
    <w:rsid w:val="001A36D3"/>
    <w:rsid w:val="001A5BB3"/>
    <w:rsid w:val="001C374D"/>
    <w:rsid w:val="001C3E31"/>
    <w:rsid w:val="00206525"/>
    <w:rsid w:val="00207BFE"/>
    <w:rsid w:val="00232190"/>
    <w:rsid w:val="00241452"/>
    <w:rsid w:val="0026665E"/>
    <w:rsid w:val="00273402"/>
    <w:rsid w:val="00277761"/>
    <w:rsid w:val="00282BE6"/>
    <w:rsid w:val="00293CC2"/>
    <w:rsid w:val="002D0318"/>
    <w:rsid w:val="002F7766"/>
    <w:rsid w:val="003057BA"/>
    <w:rsid w:val="00307D6D"/>
    <w:rsid w:val="00314D15"/>
    <w:rsid w:val="00314DD7"/>
    <w:rsid w:val="00333153"/>
    <w:rsid w:val="003362B7"/>
    <w:rsid w:val="0033758E"/>
    <w:rsid w:val="00356598"/>
    <w:rsid w:val="00375F8E"/>
    <w:rsid w:val="0037718B"/>
    <w:rsid w:val="00381F04"/>
    <w:rsid w:val="0039384C"/>
    <w:rsid w:val="00394E3E"/>
    <w:rsid w:val="00395AA7"/>
    <w:rsid w:val="003A3602"/>
    <w:rsid w:val="003A5A4C"/>
    <w:rsid w:val="003A7C2F"/>
    <w:rsid w:val="003B058C"/>
    <w:rsid w:val="003B0EE7"/>
    <w:rsid w:val="003B2994"/>
    <w:rsid w:val="003B6F1F"/>
    <w:rsid w:val="003C20FB"/>
    <w:rsid w:val="003C3584"/>
    <w:rsid w:val="003E17C7"/>
    <w:rsid w:val="003F6CDA"/>
    <w:rsid w:val="00401F99"/>
    <w:rsid w:val="00404F92"/>
    <w:rsid w:val="004061ED"/>
    <w:rsid w:val="00412A8E"/>
    <w:rsid w:val="00415BAF"/>
    <w:rsid w:val="00424E0C"/>
    <w:rsid w:val="0044048F"/>
    <w:rsid w:val="00440E12"/>
    <w:rsid w:val="004434D9"/>
    <w:rsid w:val="00445D88"/>
    <w:rsid w:val="004517EC"/>
    <w:rsid w:val="00471E2B"/>
    <w:rsid w:val="00474CC7"/>
    <w:rsid w:val="004806AB"/>
    <w:rsid w:val="004848DD"/>
    <w:rsid w:val="004969AD"/>
    <w:rsid w:val="004A5680"/>
    <w:rsid w:val="004C391B"/>
    <w:rsid w:val="004C4220"/>
    <w:rsid w:val="004C597F"/>
    <w:rsid w:val="004D6920"/>
    <w:rsid w:val="004D705A"/>
    <w:rsid w:val="004E082D"/>
    <w:rsid w:val="004E396E"/>
    <w:rsid w:val="00504BA2"/>
    <w:rsid w:val="0051216B"/>
    <w:rsid w:val="00520A2C"/>
    <w:rsid w:val="0052511F"/>
    <w:rsid w:val="00527955"/>
    <w:rsid w:val="00546336"/>
    <w:rsid w:val="00554E2C"/>
    <w:rsid w:val="00556219"/>
    <w:rsid w:val="00556D1A"/>
    <w:rsid w:val="00570FA5"/>
    <w:rsid w:val="00577B72"/>
    <w:rsid w:val="00584F41"/>
    <w:rsid w:val="005C4DA4"/>
    <w:rsid w:val="005D1C16"/>
    <w:rsid w:val="005E0BF0"/>
    <w:rsid w:val="005E5B8B"/>
    <w:rsid w:val="005F16A6"/>
    <w:rsid w:val="00600126"/>
    <w:rsid w:val="00605BD6"/>
    <w:rsid w:val="00614BC9"/>
    <w:rsid w:val="00640392"/>
    <w:rsid w:val="00640AFA"/>
    <w:rsid w:val="0064226F"/>
    <w:rsid w:val="00646BA6"/>
    <w:rsid w:val="00655EF1"/>
    <w:rsid w:val="00665B58"/>
    <w:rsid w:val="00671C22"/>
    <w:rsid w:val="006A7ED4"/>
    <w:rsid w:val="006D163A"/>
    <w:rsid w:val="006D2A5B"/>
    <w:rsid w:val="006E214E"/>
    <w:rsid w:val="0073227E"/>
    <w:rsid w:val="007624D7"/>
    <w:rsid w:val="00762F39"/>
    <w:rsid w:val="00771F55"/>
    <w:rsid w:val="0079708A"/>
    <w:rsid w:val="007A1F41"/>
    <w:rsid w:val="007A631E"/>
    <w:rsid w:val="007B240E"/>
    <w:rsid w:val="007C2EA3"/>
    <w:rsid w:val="007E42EF"/>
    <w:rsid w:val="007E6DA5"/>
    <w:rsid w:val="00801EF6"/>
    <w:rsid w:val="0081250B"/>
    <w:rsid w:val="00817846"/>
    <w:rsid w:val="00830C43"/>
    <w:rsid w:val="008313DA"/>
    <w:rsid w:val="00832E66"/>
    <w:rsid w:val="00852CDB"/>
    <w:rsid w:val="0085406D"/>
    <w:rsid w:val="00857764"/>
    <w:rsid w:val="00860A63"/>
    <w:rsid w:val="00866E07"/>
    <w:rsid w:val="0088042E"/>
    <w:rsid w:val="00884854"/>
    <w:rsid w:val="0089301F"/>
    <w:rsid w:val="00895CBA"/>
    <w:rsid w:val="008A3702"/>
    <w:rsid w:val="008A5910"/>
    <w:rsid w:val="008A7107"/>
    <w:rsid w:val="008B4003"/>
    <w:rsid w:val="008B4463"/>
    <w:rsid w:val="008D0ABF"/>
    <w:rsid w:val="008D6A1B"/>
    <w:rsid w:val="008F0CE7"/>
    <w:rsid w:val="009026D7"/>
    <w:rsid w:val="00920EB6"/>
    <w:rsid w:val="009215AA"/>
    <w:rsid w:val="00924527"/>
    <w:rsid w:val="0092631C"/>
    <w:rsid w:val="0092732B"/>
    <w:rsid w:val="009323A5"/>
    <w:rsid w:val="00943B44"/>
    <w:rsid w:val="0097018F"/>
    <w:rsid w:val="0099416A"/>
    <w:rsid w:val="009B3B11"/>
    <w:rsid w:val="009B3F24"/>
    <w:rsid w:val="009B61A5"/>
    <w:rsid w:val="009D7312"/>
    <w:rsid w:val="009E224D"/>
    <w:rsid w:val="009E4ABF"/>
    <w:rsid w:val="009F170C"/>
    <w:rsid w:val="00A12B79"/>
    <w:rsid w:val="00A1612C"/>
    <w:rsid w:val="00A452F3"/>
    <w:rsid w:val="00A6561C"/>
    <w:rsid w:val="00AA43ED"/>
    <w:rsid w:val="00AA4420"/>
    <w:rsid w:val="00AA6ED0"/>
    <w:rsid w:val="00AB3B88"/>
    <w:rsid w:val="00AD3119"/>
    <w:rsid w:val="00AF2E0E"/>
    <w:rsid w:val="00B02B44"/>
    <w:rsid w:val="00B0551E"/>
    <w:rsid w:val="00B1455C"/>
    <w:rsid w:val="00B1557A"/>
    <w:rsid w:val="00B15A90"/>
    <w:rsid w:val="00B268DB"/>
    <w:rsid w:val="00B43A07"/>
    <w:rsid w:val="00B62107"/>
    <w:rsid w:val="00B66E46"/>
    <w:rsid w:val="00B73B2E"/>
    <w:rsid w:val="00BB4194"/>
    <w:rsid w:val="00BB4F71"/>
    <w:rsid w:val="00BB5DDD"/>
    <w:rsid w:val="00BF0628"/>
    <w:rsid w:val="00BF2157"/>
    <w:rsid w:val="00BF47EE"/>
    <w:rsid w:val="00C15EE7"/>
    <w:rsid w:val="00C21A15"/>
    <w:rsid w:val="00C44AE0"/>
    <w:rsid w:val="00C45CAA"/>
    <w:rsid w:val="00C52C8B"/>
    <w:rsid w:val="00C71574"/>
    <w:rsid w:val="00C72745"/>
    <w:rsid w:val="00C7500F"/>
    <w:rsid w:val="00C80072"/>
    <w:rsid w:val="00C80BA2"/>
    <w:rsid w:val="00C850E4"/>
    <w:rsid w:val="00C85295"/>
    <w:rsid w:val="00CB1AEA"/>
    <w:rsid w:val="00CB7856"/>
    <w:rsid w:val="00CD02C9"/>
    <w:rsid w:val="00CD1478"/>
    <w:rsid w:val="00CD3E50"/>
    <w:rsid w:val="00CE32C5"/>
    <w:rsid w:val="00CE4565"/>
    <w:rsid w:val="00CE6E37"/>
    <w:rsid w:val="00CF0271"/>
    <w:rsid w:val="00CF0B0C"/>
    <w:rsid w:val="00CF6DA1"/>
    <w:rsid w:val="00D038A5"/>
    <w:rsid w:val="00D03D6B"/>
    <w:rsid w:val="00D072BC"/>
    <w:rsid w:val="00D23B1B"/>
    <w:rsid w:val="00D32F4B"/>
    <w:rsid w:val="00D44EC4"/>
    <w:rsid w:val="00D532EC"/>
    <w:rsid w:val="00D54406"/>
    <w:rsid w:val="00D62AA9"/>
    <w:rsid w:val="00D757B4"/>
    <w:rsid w:val="00D90330"/>
    <w:rsid w:val="00DA196D"/>
    <w:rsid w:val="00DA6CFD"/>
    <w:rsid w:val="00DB0D69"/>
    <w:rsid w:val="00DB0DDA"/>
    <w:rsid w:val="00DC7C5F"/>
    <w:rsid w:val="00DE7148"/>
    <w:rsid w:val="00DF1FD5"/>
    <w:rsid w:val="00E0687D"/>
    <w:rsid w:val="00E20F23"/>
    <w:rsid w:val="00E223AB"/>
    <w:rsid w:val="00E23B9B"/>
    <w:rsid w:val="00E409F7"/>
    <w:rsid w:val="00E40AF7"/>
    <w:rsid w:val="00E50CB0"/>
    <w:rsid w:val="00E5411D"/>
    <w:rsid w:val="00E7256D"/>
    <w:rsid w:val="00E7402A"/>
    <w:rsid w:val="00E75855"/>
    <w:rsid w:val="00E841C8"/>
    <w:rsid w:val="00EA5707"/>
    <w:rsid w:val="00EB49C3"/>
    <w:rsid w:val="00EC2EF3"/>
    <w:rsid w:val="00EC6267"/>
    <w:rsid w:val="00ED2A5F"/>
    <w:rsid w:val="00EE0E3E"/>
    <w:rsid w:val="00EE5DDC"/>
    <w:rsid w:val="00EF4054"/>
    <w:rsid w:val="00EF6510"/>
    <w:rsid w:val="00F14C68"/>
    <w:rsid w:val="00F15B9C"/>
    <w:rsid w:val="00F21211"/>
    <w:rsid w:val="00F2666F"/>
    <w:rsid w:val="00F3036C"/>
    <w:rsid w:val="00F5073B"/>
    <w:rsid w:val="00F56AA6"/>
    <w:rsid w:val="00F5731F"/>
    <w:rsid w:val="00F66423"/>
    <w:rsid w:val="00F84F55"/>
    <w:rsid w:val="00F87454"/>
    <w:rsid w:val="00F87675"/>
    <w:rsid w:val="00F9112C"/>
    <w:rsid w:val="00F949FB"/>
    <w:rsid w:val="00FA57E4"/>
    <w:rsid w:val="00FA6F3D"/>
    <w:rsid w:val="00FB2186"/>
    <w:rsid w:val="00FB2ABC"/>
    <w:rsid w:val="00FB2EF6"/>
    <w:rsid w:val="00FB37CC"/>
    <w:rsid w:val="00FC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B62107"/>
  </w:style>
  <w:style w:type="character" w:styleId="CommentReference">
    <w:name w:val="annotation reference"/>
    <w:basedOn w:val="DefaultParagraphFont"/>
    <w:uiPriority w:val="99"/>
    <w:semiHidden/>
    <w:unhideWhenUsed/>
    <w:rsid w:val="004C4220"/>
    <w:rPr>
      <w:sz w:val="16"/>
      <w:szCs w:val="16"/>
    </w:rPr>
  </w:style>
  <w:style w:type="paragraph" w:styleId="CommentText">
    <w:name w:val="annotation text"/>
    <w:basedOn w:val="Normal"/>
    <w:link w:val="CommentTextChar"/>
    <w:uiPriority w:val="99"/>
    <w:semiHidden/>
    <w:unhideWhenUsed/>
    <w:rsid w:val="004C4220"/>
    <w:pPr>
      <w:spacing w:line="240" w:lineRule="auto"/>
    </w:pPr>
    <w:rPr>
      <w:sz w:val="20"/>
      <w:szCs w:val="20"/>
    </w:rPr>
  </w:style>
  <w:style w:type="character" w:customStyle="1" w:styleId="CommentTextChar">
    <w:name w:val="Comment Text Char"/>
    <w:basedOn w:val="DefaultParagraphFont"/>
    <w:link w:val="CommentText"/>
    <w:uiPriority w:val="99"/>
    <w:semiHidden/>
    <w:rsid w:val="004C4220"/>
    <w:rPr>
      <w:sz w:val="20"/>
      <w:szCs w:val="20"/>
    </w:rPr>
  </w:style>
  <w:style w:type="paragraph" w:styleId="CommentSubject">
    <w:name w:val="annotation subject"/>
    <w:basedOn w:val="CommentText"/>
    <w:next w:val="CommentText"/>
    <w:link w:val="CommentSubjectChar"/>
    <w:uiPriority w:val="99"/>
    <w:semiHidden/>
    <w:unhideWhenUsed/>
    <w:rsid w:val="004C4220"/>
    <w:rPr>
      <w:b/>
      <w:bCs/>
    </w:rPr>
  </w:style>
  <w:style w:type="character" w:customStyle="1" w:styleId="CommentSubjectChar">
    <w:name w:val="Comment Subject Char"/>
    <w:basedOn w:val="CommentTextChar"/>
    <w:link w:val="CommentSubject"/>
    <w:uiPriority w:val="99"/>
    <w:semiHidden/>
    <w:rsid w:val="004C42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596064812">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1" ma:contentTypeDescription="Create a new document." ma:contentTypeScope="" ma:versionID="d69b2447a9a7d3d51c043264a4604b45">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068e9a233549feb0ad6838c88d251696"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C62FC-E179-48D0-BB07-E4A6FC0C3C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AF6545-9E76-4B64-819E-51DFACBF1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C86FD-E765-4965-AF7D-869C0767B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154</cp:revision>
  <cp:lastPrinted>2019-10-05T16:28:00Z</cp:lastPrinted>
  <dcterms:created xsi:type="dcterms:W3CDTF">2019-10-14T10:21:00Z</dcterms:created>
  <dcterms:modified xsi:type="dcterms:W3CDTF">2019-10-21T13:40:00Z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