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294B41" w14:paraId="74D02AAE" w14:textId="77777777" w:rsidTr="004061ED">
        <w:trPr>
          <w:trHeight w:val="515"/>
        </w:trPr>
        <w:tc>
          <w:tcPr>
            <w:tcW w:w="4536" w:type="dxa"/>
            <w:shd w:val="clear" w:color="auto" w:fill="44546A" w:themeFill="text2"/>
          </w:tcPr>
          <w:p w14:paraId="07DB73CF" w14:textId="305F0C24" w:rsidR="0088042E" w:rsidRPr="00294B41" w:rsidRDefault="0088042E" w:rsidP="00EA5707">
            <w:pPr>
              <w:rPr>
                <w:rFonts w:ascii="Arial" w:hAnsi="Arial" w:cs="Arial"/>
                <w:b/>
                <w:bCs/>
                <w:color w:val="000000" w:themeColor="text1"/>
                <w:lang w:val="en-GB"/>
              </w:rPr>
            </w:pPr>
            <w:r w:rsidRPr="00294B41">
              <w:rPr>
                <w:rFonts w:ascii="Arial" w:hAnsi="Arial" w:cs="Arial"/>
                <w:b/>
                <w:bCs/>
                <w:color w:val="000000" w:themeColor="text1"/>
                <w:lang w:val="en-GB"/>
              </w:rPr>
              <w:t>Name of Donor</w:t>
            </w:r>
          </w:p>
        </w:tc>
        <w:tc>
          <w:tcPr>
            <w:tcW w:w="4536" w:type="dxa"/>
            <w:shd w:val="clear" w:color="auto" w:fill="44546A" w:themeFill="text2"/>
          </w:tcPr>
          <w:p w14:paraId="0B18D5A4" w14:textId="36CD950A" w:rsidR="0088042E" w:rsidRPr="00294B41" w:rsidRDefault="0088042E" w:rsidP="00EA5707">
            <w:pPr>
              <w:rPr>
                <w:rFonts w:ascii="Arial" w:hAnsi="Arial" w:cs="Arial"/>
                <w:b/>
                <w:bCs/>
                <w:color w:val="000000" w:themeColor="text1"/>
                <w:lang w:val="en-GB"/>
              </w:rPr>
            </w:pPr>
            <w:r w:rsidRPr="00294B41">
              <w:rPr>
                <w:rFonts w:ascii="Arial" w:hAnsi="Arial" w:cs="Arial"/>
                <w:b/>
                <w:bCs/>
                <w:color w:val="000000" w:themeColor="text1"/>
                <w:lang w:val="en-GB"/>
              </w:rPr>
              <w:t>Name of Project</w:t>
            </w:r>
          </w:p>
        </w:tc>
      </w:tr>
      <w:tr w:rsidR="0088042E" w:rsidRPr="00294B41" w14:paraId="0EF239F4" w14:textId="77777777" w:rsidTr="0088042E">
        <w:trPr>
          <w:trHeight w:val="70"/>
        </w:trPr>
        <w:tc>
          <w:tcPr>
            <w:tcW w:w="4536" w:type="dxa"/>
          </w:tcPr>
          <w:p w14:paraId="715F3A9B" w14:textId="4A8EEBB7" w:rsidR="0088042E" w:rsidRPr="00294B41" w:rsidRDefault="00B1557A" w:rsidP="00EA5707">
            <w:pPr>
              <w:rPr>
                <w:rFonts w:ascii="Arial" w:hAnsi="Arial" w:cs="Arial"/>
                <w:b/>
                <w:lang w:val="en-GB"/>
              </w:rPr>
            </w:pPr>
            <w:r w:rsidRPr="00294B41">
              <w:rPr>
                <w:rFonts w:ascii="Arial" w:hAnsi="Arial" w:cs="Arial"/>
                <w:b/>
                <w:lang w:val="en-GB"/>
              </w:rPr>
              <w:t>African Development Bank (</w:t>
            </w:r>
            <w:r w:rsidR="004D705A" w:rsidRPr="00294B41">
              <w:rPr>
                <w:rFonts w:ascii="Arial" w:hAnsi="Arial" w:cs="Arial"/>
                <w:b/>
                <w:lang w:val="en-GB"/>
              </w:rPr>
              <w:t>AfDB)</w:t>
            </w:r>
          </w:p>
        </w:tc>
        <w:tc>
          <w:tcPr>
            <w:tcW w:w="4536" w:type="dxa"/>
          </w:tcPr>
          <w:p w14:paraId="1BF3CA04" w14:textId="50DC093F" w:rsidR="0088042E" w:rsidRPr="00294B41" w:rsidRDefault="003E5A07" w:rsidP="00EA5707">
            <w:pPr>
              <w:rPr>
                <w:rFonts w:ascii="Arial" w:hAnsi="Arial" w:cs="Arial"/>
                <w:lang w:val="en-GB"/>
              </w:rPr>
            </w:pPr>
            <w:r w:rsidRPr="00294B41">
              <w:rPr>
                <w:rFonts w:ascii="Arial" w:hAnsi="Arial" w:cs="Arial"/>
                <w:lang w:val="en-GB"/>
              </w:rPr>
              <w:t>I</w:t>
            </w:r>
            <w:r w:rsidR="007259EA" w:rsidRPr="00294B41">
              <w:rPr>
                <w:rFonts w:ascii="Arial" w:hAnsi="Arial" w:cs="Arial"/>
                <w:lang w:val="en-GB"/>
              </w:rPr>
              <w:t>nternational Com</w:t>
            </w:r>
            <w:r w:rsidR="00527A6D" w:rsidRPr="00294B41">
              <w:rPr>
                <w:rFonts w:ascii="Arial" w:hAnsi="Arial" w:cs="Arial"/>
                <w:lang w:val="en-GB"/>
              </w:rPr>
              <w:t xml:space="preserve">parison </w:t>
            </w:r>
            <w:r w:rsidR="00FB2EF6" w:rsidRPr="00294B41">
              <w:rPr>
                <w:rFonts w:ascii="Arial" w:hAnsi="Arial" w:cs="Arial"/>
                <w:lang w:val="en-GB"/>
              </w:rPr>
              <w:t>Programme</w:t>
            </w:r>
            <w:r w:rsidR="002F7766" w:rsidRPr="00294B41">
              <w:rPr>
                <w:rFonts w:ascii="Arial" w:hAnsi="Arial" w:cs="Arial"/>
                <w:lang w:val="en-GB"/>
              </w:rPr>
              <w:t xml:space="preserve"> </w:t>
            </w:r>
          </w:p>
        </w:tc>
      </w:tr>
      <w:tr w:rsidR="0088042E" w:rsidRPr="00294B41" w14:paraId="367372E1" w14:textId="77777777" w:rsidTr="0088042E">
        <w:trPr>
          <w:trHeight w:val="70"/>
        </w:trPr>
        <w:tc>
          <w:tcPr>
            <w:tcW w:w="4536" w:type="dxa"/>
          </w:tcPr>
          <w:p w14:paraId="77A16C34" w14:textId="6F344DC1" w:rsidR="0088042E" w:rsidRPr="00294B41" w:rsidRDefault="0088042E" w:rsidP="00EA5707">
            <w:pPr>
              <w:rPr>
                <w:rFonts w:ascii="Arial" w:hAnsi="Arial" w:cs="Arial"/>
                <w:lang w:val="en-GB"/>
              </w:rPr>
            </w:pPr>
            <w:r w:rsidRPr="00294B41">
              <w:rPr>
                <w:rFonts w:ascii="Arial" w:hAnsi="Arial" w:cs="Arial"/>
                <w:b/>
                <w:bCs/>
                <w:lang w:val="en-GB"/>
              </w:rPr>
              <w:t>Grant start date</w:t>
            </w:r>
            <w:r w:rsidRPr="00294B41">
              <w:rPr>
                <w:rFonts w:ascii="Arial" w:hAnsi="Arial" w:cs="Arial"/>
                <w:lang w:val="en-GB"/>
              </w:rPr>
              <w:t xml:space="preserve">: </w:t>
            </w:r>
            <w:r w:rsidRPr="00294B41">
              <w:rPr>
                <w:rFonts w:ascii="Arial" w:hAnsi="Arial" w:cs="Arial"/>
                <w:lang w:val="en-GB"/>
              </w:rPr>
              <w:tab/>
            </w:r>
          </w:p>
        </w:tc>
        <w:tc>
          <w:tcPr>
            <w:tcW w:w="4536" w:type="dxa"/>
          </w:tcPr>
          <w:p w14:paraId="06C10898" w14:textId="50F1D755" w:rsidR="0088042E" w:rsidRPr="00294B41" w:rsidRDefault="0088042E" w:rsidP="00EA5707">
            <w:pPr>
              <w:rPr>
                <w:rFonts w:ascii="Arial" w:hAnsi="Arial" w:cs="Arial"/>
                <w:lang w:val="en-GB"/>
              </w:rPr>
            </w:pPr>
            <w:r w:rsidRPr="00294B41">
              <w:rPr>
                <w:rFonts w:ascii="Arial" w:hAnsi="Arial" w:cs="Arial"/>
                <w:lang w:val="en-GB"/>
              </w:rPr>
              <w:t>1</w:t>
            </w:r>
            <w:r w:rsidRPr="00294B41">
              <w:rPr>
                <w:rFonts w:ascii="Arial" w:hAnsi="Arial" w:cs="Arial"/>
                <w:vertAlign w:val="superscript"/>
                <w:lang w:val="en-GB"/>
              </w:rPr>
              <w:t>st</w:t>
            </w:r>
            <w:r w:rsidRPr="00294B41">
              <w:rPr>
                <w:rFonts w:ascii="Arial" w:hAnsi="Arial" w:cs="Arial"/>
                <w:lang w:val="en-GB"/>
              </w:rPr>
              <w:t xml:space="preserve"> </w:t>
            </w:r>
            <w:r w:rsidR="00D002DD" w:rsidRPr="00294B41">
              <w:rPr>
                <w:rFonts w:ascii="Arial" w:hAnsi="Arial" w:cs="Arial"/>
                <w:lang w:val="en-GB"/>
              </w:rPr>
              <w:t>March</w:t>
            </w:r>
            <w:r w:rsidR="002F7766" w:rsidRPr="00294B41">
              <w:rPr>
                <w:rFonts w:ascii="Arial" w:hAnsi="Arial" w:cs="Arial"/>
                <w:lang w:val="en-GB"/>
              </w:rPr>
              <w:t xml:space="preserve"> </w:t>
            </w:r>
            <w:r w:rsidRPr="00294B41">
              <w:rPr>
                <w:rFonts w:ascii="Arial" w:hAnsi="Arial" w:cs="Arial"/>
                <w:lang w:val="en-GB"/>
              </w:rPr>
              <w:t>,201</w:t>
            </w:r>
            <w:r w:rsidR="00D002DD" w:rsidRPr="00294B41">
              <w:rPr>
                <w:rFonts w:ascii="Arial" w:hAnsi="Arial" w:cs="Arial"/>
                <w:lang w:val="en-GB"/>
              </w:rPr>
              <w:t>7</w:t>
            </w:r>
          </w:p>
        </w:tc>
      </w:tr>
      <w:tr w:rsidR="0088042E" w:rsidRPr="00294B41" w14:paraId="1D1BDB24" w14:textId="77777777" w:rsidTr="0088042E">
        <w:trPr>
          <w:trHeight w:val="70"/>
        </w:trPr>
        <w:tc>
          <w:tcPr>
            <w:tcW w:w="4536" w:type="dxa"/>
            <w:vAlign w:val="center"/>
          </w:tcPr>
          <w:p w14:paraId="5FED7F95" w14:textId="4BF53C8F" w:rsidR="0088042E" w:rsidRPr="00294B41" w:rsidRDefault="0088042E" w:rsidP="00EA5707">
            <w:pPr>
              <w:rPr>
                <w:rFonts w:ascii="Arial" w:hAnsi="Arial" w:cs="Arial"/>
                <w:lang w:val="en-GB"/>
              </w:rPr>
            </w:pPr>
            <w:r w:rsidRPr="00294B41">
              <w:rPr>
                <w:rFonts w:ascii="Arial" w:hAnsi="Arial" w:cs="Arial"/>
                <w:b/>
                <w:bCs/>
                <w:color w:val="000000"/>
                <w:lang w:val="en-GB"/>
              </w:rPr>
              <w:t>Grant End date:</w:t>
            </w:r>
          </w:p>
        </w:tc>
        <w:tc>
          <w:tcPr>
            <w:tcW w:w="4536" w:type="dxa"/>
            <w:vAlign w:val="center"/>
          </w:tcPr>
          <w:p w14:paraId="35446D24" w14:textId="7FCFFD7B" w:rsidR="0088042E" w:rsidRPr="00294B41" w:rsidRDefault="0088042E" w:rsidP="00EA5707">
            <w:pPr>
              <w:rPr>
                <w:rFonts w:ascii="Arial" w:hAnsi="Arial" w:cs="Arial"/>
                <w:lang w:val="en-GB"/>
              </w:rPr>
            </w:pPr>
            <w:r w:rsidRPr="00294B41">
              <w:rPr>
                <w:rFonts w:ascii="Arial" w:hAnsi="Arial" w:cs="Arial"/>
                <w:color w:val="000000"/>
                <w:lang w:val="en-GB"/>
              </w:rPr>
              <w:t>3</w:t>
            </w:r>
            <w:r w:rsidR="0060402D" w:rsidRPr="00294B41">
              <w:rPr>
                <w:rFonts w:ascii="Arial" w:hAnsi="Arial" w:cs="Arial"/>
                <w:color w:val="000000"/>
                <w:lang w:val="en-GB"/>
              </w:rPr>
              <w:t>0</w:t>
            </w:r>
            <w:r w:rsidR="0060402D" w:rsidRPr="00294B41">
              <w:rPr>
                <w:rFonts w:ascii="Arial" w:hAnsi="Arial" w:cs="Arial"/>
                <w:color w:val="000000"/>
                <w:vertAlign w:val="superscript"/>
                <w:lang w:val="en-GB"/>
              </w:rPr>
              <w:t>th</w:t>
            </w:r>
            <w:r w:rsidR="0060402D" w:rsidRPr="00294B41">
              <w:rPr>
                <w:rFonts w:ascii="Arial" w:hAnsi="Arial" w:cs="Arial"/>
                <w:color w:val="000000"/>
                <w:lang w:val="en-GB"/>
              </w:rPr>
              <w:t xml:space="preserve"> June</w:t>
            </w:r>
            <w:r w:rsidRPr="00294B41">
              <w:rPr>
                <w:rFonts w:ascii="Arial" w:hAnsi="Arial" w:cs="Arial"/>
                <w:color w:val="000000"/>
                <w:lang w:val="en-GB"/>
              </w:rPr>
              <w:t>,20</w:t>
            </w:r>
            <w:r w:rsidR="00D002DD" w:rsidRPr="00294B41">
              <w:rPr>
                <w:rFonts w:ascii="Arial" w:hAnsi="Arial" w:cs="Arial"/>
                <w:color w:val="000000"/>
                <w:lang w:val="en-GB"/>
              </w:rPr>
              <w:t>20</w:t>
            </w:r>
          </w:p>
        </w:tc>
      </w:tr>
      <w:tr w:rsidR="0088042E" w:rsidRPr="00294B41" w14:paraId="0C48C495" w14:textId="77777777" w:rsidTr="0088042E">
        <w:trPr>
          <w:trHeight w:val="70"/>
        </w:trPr>
        <w:tc>
          <w:tcPr>
            <w:tcW w:w="4536" w:type="dxa"/>
            <w:vAlign w:val="center"/>
          </w:tcPr>
          <w:p w14:paraId="589D8A69" w14:textId="1A210627" w:rsidR="0088042E" w:rsidRPr="00294B41" w:rsidRDefault="0088042E" w:rsidP="00EA5707">
            <w:pPr>
              <w:rPr>
                <w:rFonts w:ascii="Arial" w:hAnsi="Arial" w:cs="Arial"/>
                <w:lang w:val="en-GB"/>
              </w:rPr>
            </w:pPr>
            <w:r w:rsidRPr="00294B41">
              <w:rPr>
                <w:rFonts w:ascii="Arial" w:hAnsi="Arial" w:cs="Arial"/>
                <w:b/>
                <w:bCs/>
                <w:color w:val="000000"/>
                <w:lang w:val="en-GB"/>
              </w:rPr>
              <w:t>Grant Amount:</w:t>
            </w:r>
          </w:p>
        </w:tc>
        <w:tc>
          <w:tcPr>
            <w:tcW w:w="4536" w:type="dxa"/>
            <w:vAlign w:val="center"/>
          </w:tcPr>
          <w:p w14:paraId="2ED3BEBA" w14:textId="7CCCE119" w:rsidR="0088042E" w:rsidRPr="00294B41" w:rsidRDefault="0088042E" w:rsidP="00EA5707">
            <w:pPr>
              <w:rPr>
                <w:rFonts w:ascii="Arial" w:hAnsi="Arial" w:cs="Arial"/>
                <w:lang w:val="en-GB"/>
              </w:rPr>
            </w:pPr>
            <w:r w:rsidRPr="00294B41">
              <w:rPr>
                <w:rFonts w:ascii="Arial" w:hAnsi="Arial" w:cs="Arial"/>
                <w:color w:val="000000"/>
                <w:lang w:val="en-GB"/>
              </w:rPr>
              <w:t>USD</w:t>
            </w:r>
            <w:r w:rsidR="002F7766" w:rsidRPr="00294B41">
              <w:rPr>
                <w:rFonts w:ascii="Arial" w:hAnsi="Arial" w:cs="Arial"/>
                <w:color w:val="000000"/>
                <w:lang w:val="en-GB"/>
              </w:rPr>
              <w:t xml:space="preserve"> </w:t>
            </w:r>
            <w:r w:rsidR="00106A70" w:rsidRPr="00294B41">
              <w:rPr>
                <w:rFonts w:ascii="Arial" w:hAnsi="Arial" w:cs="Arial"/>
                <w:color w:val="000000"/>
                <w:lang w:val="en-GB"/>
              </w:rPr>
              <w:t>1,030,403.41</w:t>
            </w:r>
          </w:p>
        </w:tc>
      </w:tr>
      <w:tr w:rsidR="0088042E" w:rsidRPr="00294B41" w14:paraId="61C3A07E" w14:textId="77777777" w:rsidTr="0088042E">
        <w:trPr>
          <w:trHeight w:val="70"/>
        </w:trPr>
        <w:tc>
          <w:tcPr>
            <w:tcW w:w="4536" w:type="dxa"/>
            <w:vAlign w:val="center"/>
          </w:tcPr>
          <w:p w14:paraId="0E3D1E96" w14:textId="7FF5D597" w:rsidR="0088042E" w:rsidRPr="00294B41" w:rsidRDefault="0088042E" w:rsidP="00EA5707">
            <w:pPr>
              <w:rPr>
                <w:rFonts w:ascii="Arial" w:hAnsi="Arial" w:cs="Arial"/>
                <w:lang w:val="en-GB"/>
              </w:rPr>
            </w:pPr>
            <w:r w:rsidRPr="00294B41">
              <w:rPr>
                <w:rFonts w:ascii="Arial" w:hAnsi="Arial" w:cs="Arial"/>
                <w:b/>
                <w:bCs/>
                <w:color w:val="000000"/>
                <w:lang w:val="en-GB"/>
              </w:rPr>
              <w:t>Disbursed before current year:</w:t>
            </w:r>
            <w:r w:rsidRPr="00294B41">
              <w:rPr>
                <w:rFonts w:ascii="Arial" w:hAnsi="Arial" w:cs="Arial"/>
                <w:color w:val="000000"/>
                <w:lang w:val="en-GB"/>
              </w:rPr>
              <w:t xml:space="preserve"> (2019)</w:t>
            </w:r>
          </w:p>
        </w:tc>
        <w:tc>
          <w:tcPr>
            <w:tcW w:w="4536" w:type="dxa"/>
            <w:vAlign w:val="center"/>
          </w:tcPr>
          <w:p w14:paraId="59CB27D3" w14:textId="3AC47431" w:rsidR="0088042E" w:rsidRPr="00294B41" w:rsidRDefault="00106A70" w:rsidP="00EA5707">
            <w:pPr>
              <w:rPr>
                <w:rFonts w:ascii="Arial" w:hAnsi="Arial" w:cs="Arial"/>
                <w:lang w:val="en-GB"/>
              </w:rPr>
            </w:pPr>
            <w:r w:rsidRPr="00294B41">
              <w:rPr>
                <w:rFonts w:ascii="Arial" w:hAnsi="Arial" w:cs="Arial"/>
                <w:color w:val="000000"/>
                <w:lang w:val="en-GB"/>
              </w:rPr>
              <w:t>USD 1,030,403.41</w:t>
            </w:r>
          </w:p>
        </w:tc>
      </w:tr>
      <w:tr w:rsidR="0088042E" w:rsidRPr="00294B41" w14:paraId="70FD73D1" w14:textId="77777777" w:rsidTr="0088042E">
        <w:trPr>
          <w:trHeight w:val="70"/>
        </w:trPr>
        <w:tc>
          <w:tcPr>
            <w:tcW w:w="4536" w:type="dxa"/>
            <w:vAlign w:val="center"/>
          </w:tcPr>
          <w:p w14:paraId="59346465" w14:textId="150FF061" w:rsidR="0088042E" w:rsidRPr="00294B41" w:rsidRDefault="0088042E" w:rsidP="00EA5707">
            <w:pPr>
              <w:rPr>
                <w:rFonts w:ascii="Arial" w:hAnsi="Arial" w:cs="Arial"/>
                <w:lang w:val="en-GB"/>
              </w:rPr>
            </w:pPr>
            <w:r w:rsidRPr="00294B41">
              <w:rPr>
                <w:rFonts w:ascii="Arial" w:hAnsi="Arial" w:cs="Arial"/>
                <w:b/>
                <w:bCs/>
                <w:color w:val="000000"/>
                <w:lang w:val="en-GB"/>
              </w:rPr>
              <w:t>Balance:</w:t>
            </w:r>
          </w:p>
        </w:tc>
        <w:tc>
          <w:tcPr>
            <w:tcW w:w="4536" w:type="dxa"/>
            <w:vAlign w:val="center"/>
          </w:tcPr>
          <w:p w14:paraId="49FC595F" w14:textId="7BA0795F" w:rsidR="0088042E" w:rsidRPr="00294B41" w:rsidRDefault="004C597F" w:rsidP="00EA5707">
            <w:pPr>
              <w:rPr>
                <w:rFonts w:ascii="Arial" w:hAnsi="Arial" w:cs="Arial"/>
                <w:lang w:val="en-GB"/>
              </w:rPr>
            </w:pPr>
            <w:r w:rsidRPr="00294B41">
              <w:rPr>
                <w:rFonts w:ascii="Arial" w:hAnsi="Arial" w:cs="Arial"/>
                <w:lang w:val="en-GB"/>
              </w:rPr>
              <w:t>Nil</w:t>
            </w:r>
          </w:p>
        </w:tc>
      </w:tr>
      <w:tr w:rsidR="0088042E" w:rsidRPr="00294B41" w14:paraId="542C5901" w14:textId="77777777" w:rsidTr="0088042E">
        <w:trPr>
          <w:trHeight w:val="70"/>
        </w:trPr>
        <w:tc>
          <w:tcPr>
            <w:tcW w:w="4536" w:type="dxa"/>
            <w:vAlign w:val="center"/>
          </w:tcPr>
          <w:p w14:paraId="5C6A47F4" w14:textId="1F8569B8" w:rsidR="0088042E" w:rsidRPr="00294B41" w:rsidRDefault="0088042E" w:rsidP="00EA5707">
            <w:pPr>
              <w:rPr>
                <w:rFonts w:ascii="Arial" w:hAnsi="Arial" w:cs="Arial"/>
                <w:lang w:val="en-GB"/>
              </w:rPr>
            </w:pPr>
            <w:r w:rsidRPr="00294B41">
              <w:rPr>
                <w:rFonts w:ascii="Arial" w:hAnsi="Arial" w:cs="Arial"/>
                <w:b/>
                <w:bCs/>
                <w:color w:val="000000"/>
                <w:lang w:val="en-GB"/>
              </w:rPr>
              <w:t>Disbursed in 2019</w:t>
            </w:r>
            <w:r w:rsidRPr="00294B41">
              <w:rPr>
                <w:rFonts w:ascii="Arial" w:hAnsi="Arial" w:cs="Arial"/>
                <w:color w:val="000000"/>
                <w:lang w:val="en-GB"/>
              </w:rPr>
              <w:t xml:space="preserve">: </w:t>
            </w:r>
          </w:p>
        </w:tc>
        <w:tc>
          <w:tcPr>
            <w:tcW w:w="4536" w:type="dxa"/>
            <w:vAlign w:val="center"/>
          </w:tcPr>
          <w:p w14:paraId="74574CDB" w14:textId="56679782" w:rsidR="0088042E" w:rsidRPr="00294B41" w:rsidRDefault="004C597F" w:rsidP="00EA5707">
            <w:pPr>
              <w:rPr>
                <w:rFonts w:ascii="Arial" w:hAnsi="Arial" w:cs="Arial"/>
                <w:lang w:val="en-GB"/>
              </w:rPr>
            </w:pPr>
            <w:r w:rsidRPr="00294B41">
              <w:rPr>
                <w:rFonts w:ascii="Arial" w:hAnsi="Arial" w:cs="Arial"/>
                <w:lang w:val="en-GB"/>
              </w:rPr>
              <w:t>Nil</w:t>
            </w:r>
          </w:p>
        </w:tc>
      </w:tr>
      <w:tr w:rsidR="0088042E" w:rsidRPr="00294B41" w14:paraId="522A9FE2" w14:textId="77777777" w:rsidTr="0088042E">
        <w:trPr>
          <w:trHeight w:val="70"/>
        </w:trPr>
        <w:tc>
          <w:tcPr>
            <w:tcW w:w="4536" w:type="dxa"/>
            <w:vAlign w:val="center"/>
          </w:tcPr>
          <w:p w14:paraId="3F3E1030" w14:textId="5C357F53" w:rsidR="0088042E" w:rsidRPr="00294B41" w:rsidRDefault="0088042E" w:rsidP="00EA5707">
            <w:pPr>
              <w:rPr>
                <w:rFonts w:ascii="Arial" w:hAnsi="Arial" w:cs="Arial"/>
                <w:lang w:val="en-GB"/>
              </w:rPr>
            </w:pPr>
            <w:r w:rsidRPr="00294B41">
              <w:rPr>
                <w:rFonts w:ascii="Arial" w:hAnsi="Arial" w:cs="Arial"/>
                <w:b/>
                <w:bCs/>
                <w:color w:val="000000"/>
                <w:lang w:val="en-GB"/>
              </w:rPr>
              <w:t>Balance yet to be disbursed:</w:t>
            </w:r>
          </w:p>
        </w:tc>
        <w:tc>
          <w:tcPr>
            <w:tcW w:w="4536" w:type="dxa"/>
            <w:vAlign w:val="center"/>
          </w:tcPr>
          <w:p w14:paraId="4AFFCB64" w14:textId="20112197" w:rsidR="0088042E" w:rsidRPr="00294B41" w:rsidRDefault="004C597F" w:rsidP="00EA5707">
            <w:pPr>
              <w:rPr>
                <w:rFonts w:ascii="Arial" w:hAnsi="Arial" w:cs="Arial"/>
                <w:lang w:val="en-GB"/>
              </w:rPr>
            </w:pPr>
            <w:r w:rsidRPr="00294B41">
              <w:rPr>
                <w:rFonts w:ascii="Arial" w:hAnsi="Arial" w:cs="Arial"/>
                <w:lang w:val="en-GB"/>
              </w:rPr>
              <w:t>Nil</w:t>
            </w:r>
          </w:p>
        </w:tc>
      </w:tr>
    </w:tbl>
    <w:p w14:paraId="53F367F0" w14:textId="27317155" w:rsidR="00E20F23" w:rsidRPr="00294B41" w:rsidRDefault="00E20F23">
      <w:pPr>
        <w:rPr>
          <w:rFonts w:ascii="Arial" w:hAnsi="Arial" w:cs="Arial"/>
          <w:color w:val="000000" w:themeColor="text1"/>
        </w:rPr>
      </w:pPr>
    </w:p>
    <w:p w14:paraId="7E58501E" w14:textId="6F8FD7D8" w:rsidR="00852CDB" w:rsidRPr="00294B41" w:rsidRDefault="0088042E" w:rsidP="00AC1971">
      <w:pPr>
        <w:pStyle w:val="ListParagraph"/>
        <w:numPr>
          <w:ilvl w:val="0"/>
          <w:numId w:val="3"/>
        </w:numPr>
        <w:rPr>
          <w:rFonts w:ascii="Arial" w:hAnsi="Arial" w:cs="Arial"/>
          <w:b/>
          <w:bCs/>
          <w:color w:val="000000" w:themeColor="text1"/>
          <w:lang w:val="en-GB"/>
        </w:rPr>
      </w:pPr>
      <w:r w:rsidRPr="00294B41">
        <w:rPr>
          <w:rFonts w:ascii="Arial" w:hAnsi="Arial" w:cs="Arial"/>
          <w:b/>
          <w:bCs/>
          <w:color w:val="000000" w:themeColor="text1"/>
          <w:lang w:val="en-GB"/>
        </w:rPr>
        <w:t>Brief about the programme</w:t>
      </w:r>
    </w:p>
    <w:p w14:paraId="5102B951" w14:textId="77777777" w:rsidR="004E396E" w:rsidRPr="00294B41" w:rsidRDefault="004E396E" w:rsidP="004E396E">
      <w:pPr>
        <w:spacing w:after="0" w:line="240" w:lineRule="auto"/>
        <w:rPr>
          <w:rFonts w:ascii="Arial" w:hAnsi="Arial" w:cs="Arial"/>
          <w:b/>
          <w:color w:val="000000" w:themeColor="text1"/>
        </w:rPr>
      </w:pPr>
      <w:r w:rsidRPr="00294B41">
        <w:rPr>
          <w:rFonts w:ascii="Arial" w:hAnsi="Arial" w:cs="Arial"/>
          <w:b/>
          <w:color w:val="000000" w:themeColor="text1"/>
        </w:rPr>
        <w:t>Overview</w:t>
      </w:r>
    </w:p>
    <w:p w14:paraId="708C34E2" w14:textId="77777777" w:rsidR="004E396E" w:rsidRPr="00294B41" w:rsidRDefault="004E396E" w:rsidP="004E396E">
      <w:pPr>
        <w:spacing w:after="0" w:line="240" w:lineRule="auto"/>
        <w:rPr>
          <w:rFonts w:ascii="Arial" w:hAnsi="Arial" w:cs="Arial"/>
          <w:b/>
          <w:color w:val="000000" w:themeColor="text1"/>
        </w:rPr>
      </w:pPr>
    </w:p>
    <w:p w14:paraId="4DD5C7D9" w14:textId="52EFB687" w:rsidR="004E396E" w:rsidRPr="00294B41" w:rsidRDefault="004E396E" w:rsidP="004E396E">
      <w:pPr>
        <w:ind w:right="4"/>
        <w:jc w:val="both"/>
        <w:rPr>
          <w:rFonts w:ascii="Arial" w:hAnsi="Arial" w:cs="Arial"/>
          <w:color w:val="000000" w:themeColor="text1"/>
        </w:rPr>
      </w:pPr>
      <w:r w:rsidRPr="00294B41">
        <w:rPr>
          <w:rFonts w:ascii="Arial" w:hAnsi="Arial" w:cs="Arial"/>
          <w:color w:val="000000" w:themeColor="text1"/>
        </w:rPr>
        <w:t xml:space="preserve">The Common Market for Eastern and Southern Africa (COMESA) Secretariat, with the financial support </w:t>
      </w:r>
      <w:r w:rsidR="00C86722" w:rsidRPr="00294B41">
        <w:rPr>
          <w:rFonts w:ascii="Arial" w:hAnsi="Arial" w:cs="Arial"/>
          <w:color w:val="000000" w:themeColor="text1"/>
          <w:lang w:val="en-US"/>
        </w:rPr>
        <w:t>from</w:t>
      </w:r>
      <w:r w:rsidRPr="00294B41">
        <w:rPr>
          <w:rFonts w:ascii="Arial" w:hAnsi="Arial" w:cs="Arial"/>
          <w:color w:val="000000" w:themeColor="text1"/>
        </w:rPr>
        <w:t xml:space="preserve"> the African Development Bank (AfDB), has been implementing the </w:t>
      </w:r>
      <w:r w:rsidR="00AE64AF" w:rsidRPr="00294B41">
        <w:rPr>
          <w:rFonts w:ascii="Arial" w:hAnsi="Arial" w:cs="Arial"/>
          <w:color w:val="000000" w:themeColor="text1"/>
          <w:lang w:val="en-US"/>
        </w:rPr>
        <w:t xml:space="preserve">International Comparison </w:t>
      </w:r>
      <w:r w:rsidRPr="00294B41">
        <w:rPr>
          <w:rFonts w:ascii="Arial" w:hAnsi="Arial" w:cs="Arial"/>
          <w:color w:val="000000" w:themeColor="text1"/>
        </w:rPr>
        <w:t xml:space="preserve"> (SCB) </w:t>
      </w:r>
      <w:r w:rsidR="00C11B69" w:rsidRPr="00294B41">
        <w:rPr>
          <w:rFonts w:ascii="Arial" w:hAnsi="Arial" w:cs="Arial"/>
          <w:color w:val="000000" w:themeColor="text1"/>
        </w:rPr>
        <w:t>program</w:t>
      </w:r>
      <w:r w:rsidRPr="00294B41">
        <w:rPr>
          <w:rFonts w:ascii="Arial" w:hAnsi="Arial" w:cs="Arial"/>
          <w:color w:val="000000" w:themeColor="text1"/>
        </w:rPr>
        <w:t xml:space="preserve"> in selected COMESA member states.  COMESA acts in its capacity as the administrator of the Multinational Program to Build Statistical Capacity for Sustainable Development Goals (SDGs) Monitoring and Results Measurement.</w:t>
      </w:r>
    </w:p>
    <w:p w14:paraId="05738F35" w14:textId="77777777" w:rsidR="002A7CCC" w:rsidRPr="00294B41" w:rsidRDefault="004E396E" w:rsidP="002A7CCC">
      <w:pPr>
        <w:pStyle w:val="ListParagraph"/>
        <w:spacing w:after="240"/>
        <w:ind w:left="0" w:right="-138"/>
        <w:jc w:val="both"/>
        <w:rPr>
          <w:rFonts w:ascii="Arial" w:eastAsia="Times New Roman" w:hAnsi="Arial" w:cs="Arial"/>
          <w:color w:val="000000" w:themeColor="text1"/>
          <w:lang w:val="en-US"/>
        </w:rPr>
      </w:pPr>
      <w:r w:rsidRPr="00294B41">
        <w:rPr>
          <w:rFonts w:ascii="Arial" w:hAnsi="Arial" w:cs="Arial"/>
          <w:color w:val="000000" w:themeColor="text1"/>
        </w:rPr>
        <w:t xml:space="preserve"> </w:t>
      </w:r>
      <w:r w:rsidR="002A7CCC" w:rsidRPr="00294B41">
        <w:rPr>
          <w:rFonts w:ascii="Arial" w:eastAsia="Times New Roman" w:hAnsi="Arial" w:cs="Arial"/>
          <w:color w:val="000000" w:themeColor="text1"/>
          <w:lang w:val="en-US"/>
        </w:rPr>
        <w:t>The International Comparison Program (ICP) is a worldwide statistical initiative aimed at estimating Purchasing Power Parities (PPP’s) to be used as currency converters to compare the performance of economies across the globe. The primary purpose of the ICP is to generate relevant Purchasing Power Parity (PPP) data to convert the Gross Domestic Product (GDP) and its sub-aggregates reported in different currencies-into a standard common currency that equalizes the real purchasing power of each of the currencies. The program has participation of 54 countries. The Bank, through its ADF window, is providing funding to 40 eligible countries and Sub-Regional Organizations of COMESA and AFRISTAT as the implementing agencies, in the remaining Regional Member Countries.</w:t>
      </w:r>
    </w:p>
    <w:p w14:paraId="3D4985D3" w14:textId="77777777" w:rsidR="002A7CCC" w:rsidRPr="00294B41" w:rsidRDefault="002A7CCC" w:rsidP="002A7CCC">
      <w:pPr>
        <w:spacing w:after="240" w:line="240" w:lineRule="auto"/>
        <w:ind w:right="-138"/>
        <w:contextualSpacing/>
        <w:jc w:val="both"/>
        <w:rPr>
          <w:rFonts w:ascii="Arial" w:eastAsia="Times New Roman" w:hAnsi="Arial" w:cs="Arial"/>
          <w:color w:val="000000" w:themeColor="text1"/>
          <w:lang w:val="en-US"/>
        </w:rPr>
      </w:pPr>
    </w:p>
    <w:p w14:paraId="489FB184" w14:textId="0B45F9B0" w:rsidR="002A7CCC" w:rsidRPr="00294B41" w:rsidRDefault="002A7CCC" w:rsidP="002A7CCC">
      <w:pPr>
        <w:spacing w:after="240" w:line="240" w:lineRule="auto"/>
        <w:ind w:right="-138"/>
        <w:contextualSpacing/>
        <w:jc w:val="both"/>
        <w:rPr>
          <w:rFonts w:ascii="Arial" w:eastAsia="Times New Roman" w:hAnsi="Arial" w:cs="Arial"/>
          <w:color w:val="000000" w:themeColor="text1"/>
          <w:lang w:val="en-US"/>
        </w:rPr>
      </w:pPr>
      <w:r w:rsidRPr="00294B41">
        <w:rPr>
          <w:rFonts w:ascii="Arial" w:eastAsia="Times New Roman" w:hAnsi="Arial" w:cs="Arial"/>
          <w:color w:val="000000" w:themeColor="text1"/>
          <w:lang w:val="en-US"/>
        </w:rPr>
        <w:t xml:space="preserve">The </w:t>
      </w:r>
      <w:r w:rsidR="00C86722" w:rsidRPr="00294B41">
        <w:rPr>
          <w:rFonts w:ascii="Arial" w:eastAsia="Times New Roman" w:hAnsi="Arial" w:cs="Arial"/>
          <w:color w:val="000000" w:themeColor="text1"/>
          <w:lang w:val="en-US"/>
        </w:rPr>
        <w:t xml:space="preserve">2017 </w:t>
      </w:r>
      <w:r w:rsidRPr="00294B41">
        <w:rPr>
          <w:rFonts w:ascii="Arial" w:eastAsia="Times New Roman" w:hAnsi="Arial" w:cs="Arial"/>
          <w:color w:val="000000" w:themeColor="text1"/>
          <w:lang w:val="en-US"/>
        </w:rPr>
        <w:t xml:space="preserve">ICP </w:t>
      </w:r>
      <w:r w:rsidR="00C86722" w:rsidRPr="00294B41">
        <w:rPr>
          <w:rFonts w:ascii="Arial" w:eastAsia="Times New Roman" w:hAnsi="Arial" w:cs="Arial"/>
          <w:color w:val="000000" w:themeColor="text1"/>
          <w:lang w:val="en-US"/>
        </w:rPr>
        <w:t>round was</w:t>
      </w:r>
      <w:r w:rsidRPr="00294B41">
        <w:rPr>
          <w:rFonts w:ascii="Arial" w:eastAsia="Times New Roman" w:hAnsi="Arial" w:cs="Arial"/>
          <w:color w:val="000000" w:themeColor="text1"/>
          <w:lang w:val="en-US"/>
        </w:rPr>
        <w:t xml:space="preserve"> </w:t>
      </w:r>
      <w:r w:rsidR="00C86722" w:rsidRPr="00294B41">
        <w:rPr>
          <w:rFonts w:ascii="Arial" w:eastAsia="Times New Roman" w:hAnsi="Arial" w:cs="Arial"/>
          <w:color w:val="000000" w:themeColor="text1"/>
          <w:lang w:val="en-US"/>
        </w:rPr>
        <w:t>i</w:t>
      </w:r>
      <w:r w:rsidRPr="00294B41">
        <w:rPr>
          <w:rFonts w:ascii="Arial" w:eastAsia="Times New Roman" w:hAnsi="Arial" w:cs="Arial"/>
          <w:color w:val="000000" w:themeColor="text1"/>
          <w:lang w:val="en-US"/>
        </w:rPr>
        <w:t xml:space="preserve">mplemented </w:t>
      </w:r>
      <w:r w:rsidR="00C86722" w:rsidRPr="00294B41">
        <w:rPr>
          <w:rFonts w:ascii="Arial" w:eastAsia="Times New Roman" w:hAnsi="Arial" w:cs="Arial"/>
          <w:color w:val="000000" w:themeColor="text1"/>
          <w:lang w:val="en-US"/>
        </w:rPr>
        <w:t>about</w:t>
      </w:r>
      <w:r w:rsidRPr="00294B41">
        <w:rPr>
          <w:rFonts w:ascii="Arial" w:eastAsia="Times New Roman" w:hAnsi="Arial" w:cs="Arial"/>
          <w:color w:val="000000" w:themeColor="text1"/>
          <w:lang w:val="en-US"/>
        </w:rPr>
        <w:t xml:space="preserve"> 54 Regional Member Countries </w:t>
      </w:r>
      <w:r w:rsidR="00C86722" w:rsidRPr="00294B41">
        <w:rPr>
          <w:rFonts w:ascii="Arial" w:eastAsia="Times New Roman" w:hAnsi="Arial" w:cs="Arial"/>
          <w:color w:val="000000" w:themeColor="text1"/>
          <w:lang w:val="en-US"/>
        </w:rPr>
        <w:t xml:space="preserve">in Africa </w:t>
      </w:r>
      <w:r w:rsidRPr="00294B41">
        <w:rPr>
          <w:rFonts w:ascii="Arial" w:eastAsia="Times New Roman" w:hAnsi="Arial" w:cs="Arial"/>
          <w:color w:val="000000" w:themeColor="text1"/>
          <w:lang w:val="en-US"/>
        </w:rPr>
        <w:t xml:space="preserve">under the “Improving Economic Statistics” component of the Statistical Capacity Building (SCB) Program Phase 4.2. This component of the Program aims to improve national accounts, especially the exercise in rebasing of GDP in RMCs and price statistics (including harmonized CPI, purchasing power parity statistics to facilitate cross-country comparisons and analysis), infrastructure, agriculture and food security, environment and climate change, regional integration and trade statistics, business registers and labor statistics. </w:t>
      </w:r>
    </w:p>
    <w:p w14:paraId="3169E1D5" w14:textId="77777777" w:rsidR="002A7CCC" w:rsidRPr="00294B41" w:rsidRDefault="002A7CCC" w:rsidP="002A7CCC">
      <w:pPr>
        <w:spacing w:after="240" w:line="240" w:lineRule="auto"/>
        <w:ind w:right="-138"/>
        <w:contextualSpacing/>
        <w:jc w:val="both"/>
        <w:rPr>
          <w:rFonts w:ascii="Arial" w:eastAsia="Times New Roman" w:hAnsi="Arial" w:cs="Arial"/>
          <w:color w:val="000000" w:themeColor="text1"/>
          <w:lang w:val="en-US"/>
        </w:rPr>
      </w:pPr>
    </w:p>
    <w:p w14:paraId="07BFB03B" w14:textId="513A31AF" w:rsidR="003976D0" w:rsidRPr="00294B41" w:rsidRDefault="002A7CCC" w:rsidP="002A7CCC">
      <w:pPr>
        <w:spacing w:after="240" w:line="240" w:lineRule="auto"/>
        <w:ind w:right="-138"/>
        <w:contextualSpacing/>
        <w:jc w:val="both"/>
        <w:rPr>
          <w:rFonts w:ascii="Arial" w:eastAsia="Times New Roman" w:hAnsi="Arial" w:cs="Arial"/>
          <w:color w:val="000000" w:themeColor="text1"/>
          <w:lang w:val="en-US"/>
        </w:rPr>
      </w:pPr>
      <w:r w:rsidRPr="00294B41">
        <w:rPr>
          <w:rFonts w:ascii="Arial" w:eastAsia="Times New Roman" w:hAnsi="Arial" w:cs="Arial"/>
          <w:color w:val="000000" w:themeColor="text1"/>
          <w:lang w:val="en-US"/>
        </w:rPr>
        <w:t>The ICP include</w:t>
      </w:r>
      <w:r w:rsidR="00C86722" w:rsidRPr="00294B41">
        <w:rPr>
          <w:rFonts w:ascii="Arial" w:eastAsia="Times New Roman" w:hAnsi="Arial" w:cs="Arial"/>
          <w:color w:val="000000" w:themeColor="text1"/>
          <w:lang w:val="en-US"/>
        </w:rPr>
        <w:t>d</w:t>
      </w:r>
      <w:r w:rsidRPr="00294B41">
        <w:rPr>
          <w:rFonts w:ascii="Arial" w:eastAsia="Times New Roman" w:hAnsi="Arial" w:cs="Arial"/>
          <w:color w:val="000000" w:themeColor="text1"/>
          <w:lang w:val="en-US"/>
        </w:rPr>
        <w:t xml:space="preserve"> data collection for the main household price surveys in all 54 Regional Member Countries with support of the Sub-Regional Organizations of COMESA and AFRISTAT as well as Five (5) non- household price surveys (national accounts specific surveys for private education, machinery and equipment construction and civil engineering, compensation of employees, and other surveys); the compilation detailed Gross Domestic Product(GDP) expenditures: the regional validation of data and the computation of regional results with specific emphasis on poverty Purchasing Power Parities. The survey</w:t>
      </w:r>
      <w:r w:rsidR="00C86722" w:rsidRPr="00294B41">
        <w:rPr>
          <w:rFonts w:ascii="Arial" w:eastAsia="Times New Roman" w:hAnsi="Arial" w:cs="Arial"/>
          <w:color w:val="000000" w:themeColor="text1"/>
          <w:lang w:val="en-US"/>
        </w:rPr>
        <w:t>s were</w:t>
      </w:r>
      <w:r w:rsidRPr="00294B41">
        <w:rPr>
          <w:rFonts w:ascii="Arial" w:eastAsia="Times New Roman" w:hAnsi="Arial" w:cs="Arial"/>
          <w:color w:val="000000" w:themeColor="text1"/>
          <w:lang w:val="en-US"/>
        </w:rPr>
        <w:t xml:space="preserve"> </w:t>
      </w:r>
      <w:r w:rsidR="00C86722" w:rsidRPr="00294B41">
        <w:rPr>
          <w:rFonts w:ascii="Arial" w:eastAsia="Times New Roman" w:hAnsi="Arial" w:cs="Arial"/>
          <w:color w:val="000000" w:themeColor="text1"/>
          <w:lang w:val="en-US"/>
        </w:rPr>
        <w:t xml:space="preserve">carried out </w:t>
      </w:r>
      <w:r w:rsidRPr="00294B41">
        <w:rPr>
          <w:rFonts w:ascii="Arial" w:eastAsia="Times New Roman" w:hAnsi="Arial" w:cs="Arial"/>
          <w:color w:val="000000" w:themeColor="text1"/>
          <w:lang w:val="en-US"/>
        </w:rPr>
        <w:t xml:space="preserve">  from </w:t>
      </w:r>
      <w:r w:rsidR="00F13E84" w:rsidRPr="00294B41">
        <w:rPr>
          <w:rFonts w:ascii="Arial" w:eastAsia="Times New Roman" w:hAnsi="Arial" w:cs="Arial"/>
          <w:color w:val="000000" w:themeColor="text1"/>
          <w:lang w:val="en-US"/>
        </w:rPr>
        <w:t xml:space="preserve">the </w:t>
      </w:r>
      <w:r w:rsidR="00C86722" w:rsidRPr="00294B41">
        <w:rPr>
          <w:rFonts w:ascii="Arial" w:eastAsia="Times New Roman" w:hAnsi="Arial" w:cs="Arial"/>
          <w:color w:val="000000" w:themeColor="text1"/>
          <w:lang w:val="en-US"/>
        </w:rPr>
        <w:t>3</w:t>
      </w:r>
      <w:r w:rsidR="00C86722" w:rsidRPr="00294B41">
        <w:rPr>
          <w:rFonts w:ascii="Arial" w:eastAsia="Times New Roman" w:hAnsi="Arial" w:cs="Arial"/>
          <w:color w:val="000000" w:themeColor="text1"/>
          <w:vertAlign w:val="superscript"/>
          <w:lang w:val="en-US"/>
        </w:rPr>
        <w:t>rd</w:t>
      </w:r>
      <w:r w:rsidR="00C86722" w:rsidRPr="00294B41">
        <w:rPr>
          <w:rFonts w:ascii="Arial" w:eastAsia="Times New Roman" w:hAnsi="Arial" w:cs="Arial"/>
          <w:color w:val="000000" w:themeColor="text1"/>
          <w:lang w:val="en-US"/>
        </w:rPr>
        <w:t xml:space="preserve"> </w:t>
      </w:r>
      <w:r w:rsidRPr="00294B41">
        <w:rPr>
          <w:rFonts w:ascii="Arial" w:eastAsia="Times New Roman" w:hAnsi="Arial" w:cs="Arial"/>
          <w:color w:val="000000" w:themeColor="text1"/>
          <w:lang w:val="en-US"/>
        </w:rPr>
        <w:t>quarter of 2017 (</w:t>
      </w:r>
      <w:r w:rsidR="009363AC" w:rsidRPr="00294B41">
        <w:rPr>
          <w:rFonts w:ascii="Arial" w:eastAsia="Times New Roman" w:hAnsi="Arial" w:cs="Arial"/>
          <w:color w:val="000000" w:themeColor="text1"/>
          <w:lang w:val="en-US"/>
        </w:rPr>
        <w:t>September</w:t>
      </w:r>
      <w:r w:rsidRPr="00294B41">
        <w:rPr>
          <w:rFonts w:ascii="Arial" w:eastAsia="Times New Roman" w:hAnsi="Arial" w:cs="Arial"/>
          <w:color w:val="000000" w:themeColor="text1"/>
          <w:lang w:val="en-US"/>
        </w:rPr>
        <w:t xml:space="preserve"> 2017) to the end of the </w:t>
      </w:r>
      <w:r w:rsidR="00C86722" w:rsidRPr="00294B41">
        <w:rPr>
          <w:rFonts w:ascii="Arial" w:eastAsia="Times New Roman" w:hAnsi="Arial" w:cs="Arial"/>
          <w:color w:val="000000" w:themeColor="text1"/>
          <w:lang w:val="en-US"/>
        </w:rPr>
        <w:t>4</w:t>
      </w:r>
      <w:r w:rsidR="00C86722" w:rsidRPr="00294B41">
        <w:rPr>
          <w:rFonts w:ascii="Arial" w:eastAsia="Times New Roman" w:hAnsi="Arial" w:cs="Arial"/>
          <w:color w:val="000000" w:themeColor="text1"/>
          <w:vertAlign w:val="superscript"/>
          <w:lang w:val="en-US"/>
        </w:rPr>
        <w:t>th</w:t>
      </w:r>
      <w:r w:rsidR="00C86722" w:rsidRPr="00294B41">
        <w:rPr>
          <w:rFonts w:ascii="Arial" w:eastAsia="Times New Roman" w:hAnsi="Arial" w:cs="Arial"/>
          <w:color w:val="000000" w:themeColor="text1"/>
          <w:lang w:val="en-US"/>
        </w:rPr>
        <w:t xml:space="preserve"> </w:t>
      </w:r>
      <w:r w:rsidRPr="00294B41">
        <w:rPr>
          <w:rFonts w:ascii="Arial" w:eastAsia="Times New Roman" w:hAnsi="Arial" w:cs="Arial"/>
          <w:color w:val="000000" w:themeColor="text1"/>
          <w:lang w:val="en-US"/>
        </w:rPr>
        <w:t>quarter of 2018 (</w:t>
      </w:r>
      <w:r w:rsidR="00C86722" w:rsidRPr="00294B41">
        <w:rPr>
          <w:rFonts w:ascii="Arial" w:eastAsia="Times New Roman" w:hAnsi="Arial" w:cs="Arial"/>
          <w:color w:val="000000" w:themeColor="text1"/>
          <w:lang w:val="en-US"/>
        </w:rPr>
        <w:t>November</w:t>
      </w:r>
      <w:r w:rsidRPr="00294B41">
        <w:rPr>
          <w:rFonts w:ascii="Arial" w:eastAsia="Times New Roman" w:hAnsi="Arial" w:cs="Arial"/>
          <w:color w:val="000000" w:themeColor="text1"/>
          <w:lang w:val="en-US"/>
        </w:rPr>
        <w:t xml:space="preserve"> 2018). The ICP price and National Accounts experts in the NSOs </w:t>
      </w:r>
      <w:r w:rsidR="00C86722" w:rsidRPr="00294B41">
        <w:rPr>
          <w:rFonts w:ascii="Arial" w:eastAsia="Times New Roman" w:hAnsi="Arial" w:cs="Arial"/>
          <w:color w:val="000000" w:themeColor="text1"/>
          <w:lang w:val="en-US"/>
        </w:rPr>
        <w:t xml:space="preserve">were </w:t>
      </w:r>
      <w:r w:rsidRPr="00294B41">
        <w:rPr>
          <w:rFonts w:ascii="Arial" w:eastAsia="Times New Roman" w:hAnsi="Arial" w:cs="Arial"/>
          <w:color w:val="000000" w:themeColor="text1"/>
          <w:lang w:val="en-US"/>
        </w:rPr>
        <w:t>responsible for conducting ICP price Surveys and five (5) specific National Accounts Surveys</w:t>
      </w:r>
      <w:r w:rsidR="00C86722" w:rsidRPr="00294B41">
        <w:rPr>
          <w:rFonts w:ascii="Arial" w:eastAsia="Times New Roman" w:hAnsi="Arial" w:cs="Arial"/>
          <w:color w:val="000000" w:themeColor="text1"/>
          <w:lang w:val="en-US"/>
        </w:rPr>
        <w:t xml:space="preserve"> respectively</w:t>
      </w:r>
      <w:r w:rsidRPr="00294B41">
        <w:rPr>
          <w:rFonts w:ascii="Arial" w:eastAsia="Times New Roman" w:hAnsi="Arial" w:cs="Arial"/>
          <w:color w:val="000000" w:themeColor="text1"/>
          <w:lang w:val="en-US"/>
        </w:rPr>
        <w:t xml:space="preserve">. </w:t>
      </w:r>
    </w:p>
    <w:p w14:paraId="460969CB" w14:textId="5B452C41" w:rsidR="002A7CCC" w:rsidRPr="00294B41" w:rsidRDefault="002A7CCC" w:rsidP="002A7CCC">
      <w:pPr>
        <w:spacing w:after="240" w:line="240" w:lineRule="auto"/>
        <w:ind w:right="-138"/>
        <w:contextualSpacing/>
        <w:jc w:val="both"/>
        <w:rPr>
          <w:rFonts w:ascii="Arial" w:eastAsia="Times New Roman" w:hAnsi="Arial" w:cs="Arial"/>
          <w:color w:val="000000" w:themeColor="text1"/>
          <w:lang w:val="en-US"/>
        </w:rPr>
      </w:pPr>
      <w:r w:rsidRPr="00294B41">
        <w:rPr>
          <w:rFonts w:ascii="Arial" w:eastAsia="Times New Roman" w:hAnsi="Arial" w:cs="Arial"/>
          <w:color w:val="000000" w:themeColor="text1"/>
          <w:lang w:val="en-US"/>
        </w:rPr>
        <w:t xml:space="preserve"> </w:t>
      </w:r>
    </w:p>
    <w:p w14:paraId="24A6459F" w14:textId="2BB8AD9A" w:rsidR="00FA57E4" w:rsidRPr="00294B41" w:rsidRDefault="002A7CCC" w:rsidP="00DB4A3E">
      <w:pPr>
        <w:widowControl w:val="0"/>
        <w:tabs>
          <w:tab w:val="left" w:pos="-720"/>
          <w:tab w:val="left" w:pos="0"/>
          <w:tab w:val="left" w:pos="720"/>
          <w:tab w:val="left" w:pos="1440"/>
          <w:tab w:val="decimal" w:pos="5270"/>
          <w:tab w:val="decimal" w:pos="6210"/>
          <w:tab w:val="decimal" w:pos="8930"/>
        </w:tabs>
        <w:suppressAutoHyphens/>
        <w:spacing w:after="240" w:line="240" w:lineRule="auto"/>
        <w:ind w:right="-138"/>
        <w:jc w:val="both"/>
        <w:rPr>
          <w:rFonts w:ascii="Arial" w:eastAsia="Times New Roman" w:hAnsi="Arial" w:cs="Arial"/>
          <w:snapToGrid w:val="0"/>
          <w:color w:val="000000" w:themeColor="text1"/>
          <w:spacing w:val="-2"/>
          <w:lang w:val="en-US"/>
        </w:rPr>
      </w:pPr>
      <w:r w:rsidRPr="00294B41">
        <w:rPr>
          <w:rFonts w:ascii="Arial" w:eastAsia="Times New Roman" w:hAnsi="Arial" w:cs="Arial"/>
          <w:snapToGrid w:val="0"/>
          <w:color w:val="000000" w:themeColor="text1"/>
          <w:spacing w:val="-2"/>
          <w:lang w:val="en-ZA"/>
        </w:rPr>
        <w:t xml:space="preserve">The </w:t>
      </w:r>
      <w:r w:rsidRPr="00294B41">
        <w:rPr>
          <w:rFonts w:ascii="Arial" w:eastAsia="Times New Roman" w:hAnsi="Arial" w:cs="Arial"/>
          <w:snapToGrid w:val="0"/>
          <w:color w:val="000000" w:themeColor="text1"/>
          <w:spacing w:val="-2"/>
        </w:rPr>
        <w:t xml:space="preserve">agreement </w:t>
      </w:r>
      <w:r w:rsidRPr="00294B41">
        <w:rPr>
          <w:rFonts w:ascii="Arial" w:eastAsia="Times New Roman" w:hAnsi="Arial" w:cs="Arial"/>
          <w:snapToGrid w:val="0"/>
          <w:color w:val="000000" w:themeColor="text1"/>
          <w:spacing w:val="-2"/>
          <w:lang w:val="en-US"/>
        </w:rPr>
        <w:t xml:space="preserve">for ICP </w:t>
      </w:r>
      <w:r w:rsidRPr="00294B41">
        <w:rPr>
          <w:rFonts w:ascii="Arial" w:eastAsia="Times New Roman" w:hAnsi="Arial" w:cs="Arial"/>
          <w:snapToGrid w:val="0"/>
          <w:color w:val="000000" w:themeColor="text1"/>
          <w:spacing w:val="-2"/>
        </w:rPr>
        <w:t xml:space="preserve">was signed on </w:t>
      </w:r>
      <w:r w:rsidRPr="00294B41">
        <w:rPr>
          <w:rFonts w:ascii="Arial" w:eastAsia="Times New Roman" w:hAnsi="Arial" w:cs="Arial"/>
          <w:snapToGrid w:val="0"/>
          <w:color w:val="000000" w:themeColor="text1"/>
          <w:spacing w:val="-2"/>
          <w:lang w:val="en-US"/>
        </w:rPr>
        <w:t xml:space="preserve">23 March </w:t>
      </w:r>
      <w:r w:rsidRPr="00294B41">
        <w:rPr>
          <w:rFonts w:ascii="Arial" w:eastAsia="Times New Roman" w:hAnsi="Arial" w:cs="Arial"/>
          <w:snapToGrid w:val="0"/>
          <w:color w:val="000000" w:themeColor="text1"/>
          <w:spacing w:val="-2"/>
        </w:rPr>
        <w:t xml:space="preserve">2017. The  closing date of the grant </w:t>
      </w:r>
      <w:r w:rsidRPr="00294B41">
        <w:rPr>
          <w:rFonts w:ascii="Arial" w:eastAsia="Times New Roman" w:hAnsi="Arial" w:cs="Arial"/>
          <w:snapToGrid w:val="0"/>
          <w:color w:val="000000" w:themeColor="text1"/>
          <w:spacing w:val="-2"/>
          <w:lang w:val="en-US"/>
        </w:rPr>
        <w:t>was 31 December 2018</w:t>
      </w:r>
      <w:r w:rsidRPr="00294B41">
        <w:rPr>
          <w:rFonts w:ascii="Arial" w:eastAsia="Times New Roman" w:hAnsi="Arial" w:cs="Arial"/>
          <w:snapToGrid w:val="0"/>
          <w:color w:val="000000" w:themeColor="text1"/>
          <w:spacing w:val="-2"/>
        </w:rPr>
        <w:t xml:space="preserve">. </w:t>
      </w:r>
      <w:r w:rsidR="00C86722" w:rsidRPr="00294B41">
        <w:rPr>
          <w:rFonts w:ascii="Arial" w:eastAsia="Times New Roman" w:hAnsi="Arial" w:cs="Arial"/>
          <w:snapToGrid w:val="0"/>
          <w:color w:val="000000" w:themeColor="text1"/>
          <w:spacing w:val="-2"/>
          <w:lang w:val="en-US"/>
        </w:rPr>
        <w:t xml:space="preserve">The closing date for the </w:t>
      </w:r>
      <w:r w:rsidRPr="00294B41">
        <w:rPr>
          <w:rFonts w:ascii="Arial" w:eastAsia="Times New Roman" w:hAnsi="Arial" w:cs="Arial"/>
          <w:snapToGrid w:val="0"/>
          <w:color w:val="000000" w:themeColor="text1"/>
          <w:spacing w:val="-2"/>
          <w:lang w:val="en-US"/>
        </w:rPr>
        <w:t>ICP program was further extended</w:t>
      </w:r>
      <w:r w:rsidR="003976D0" w:rsidRPr="00294B41">
        <w:rPr>
          <w:rFonts w:ascii="Arial" w:eastAsia="Times New Roman" w:hAnsi="Arial" w:cs="Arial"/>
          <w:snapToGrid w:val="0"/>
          <w:color w:val="000000" w:themeColor="text1"/>
          <w:spacing w:val="-2"/>
          <w:lang w:val="en-US"/>
        </w:rPr>
        <w:t xml:space="preserve"> to</w:t>
      </w:r>
      <w:r w:rsidR="00C86722" w:rsidRPr="00294B41">
        <w:rPr>
          <w:rFonts w:ascii="Arial" w:eastAsia="Times New Roman" w:hAnsi="Arial" w:cs="Arial"/>
          <w:snapToGrid w:val="0"/>
          <w:color w:val="000000" w:themeColor="text1"/>
          <w:spacing w:val="-2"/>
          <w:lang w:val="en-US"/>
        </w:rPr>
        <w:t xml:space="preserve"> June 2020</w:t>
      </w:r>
      <w:r w:rsidRPr="00294B41">
        <w:rPr>
          <w:rFonts w:ascii="Arial" w:eastAsia="Times New Roman" w:hAnsi="Arial" w:cs="Arial"/>
          <w:snapToGrid w:val="0"/>
          <w:color w:val="000000" w:themeColor="text1"/>
          <w:spacing w:val="-2"/>
          <w:lang w:val="en-US"/>
        </w:rPr>
        <w:t>.</w:t>
      </w:r>
    </w:p>
    <w:p w14:paraId="4583C94E" w14:textId="77777777" w:rsidR="00852CDB" w:rsidRPr="001F2996" w:rsidRDefault="00852CDB" w:rsidP="00646BA6">
      <w:pPr>
        <w:pStyle w:val="DefaultText"/>
        <w:tabs>
          <w:tab w:val="clear" w:pos="-709"/>
        </w:tabs>
        <w:spacing w:line="240" w:lineRule="auto"/>
        <w:rPr>
          <w:rFonts w:ascii="Arial" w:eastAsiaTheme="minorHAnsi" w:hAnsi="Arial" w:cs="Arial"/>
          <w:color w:val="000000" w:themeColor="text1"/>
          <w:sz w:val="22"/>
          <w:szCs w:val="22"/>
          <w:lang w:val="x-none" w:eastAsia="en-US"/>
        </w:rPr>
      </w:pPr>
    </w:p>
    <w:p w14:paraId="3A607EA7" w14:textId="066970C5" w:rsidR="00852CDB" w:rsidRPr="001F2996" w:rsidRDefault="0088042E" w:rsidP="001C2893">
      <w:pPr>
        <w:pStyle w:val="ListParagraph"/>
        <w:numPr>
          <w:ilvl w:val="0"/>
          <w:numId w:val="3"/>
        </w:numPr>
        <w:rPr>
          <w:rFonts w:ascii="Arial" w:hAnsi="Arial" w:cs="Arial"/>
          <w:color w:val="000000" w:themeColor="text1"/>
          <w:lang w:val="en-GB"/>
        </w:rPr>
      </w:pPr>
      <w:r w:rsidRPr="001F2996">
        <w:rPr>
          <w:rFonts w:ascii="Arial" w:hAnsi="Arial" w:cs="Arial"/>
          <w:b/>
          <w:bCs/>
          <w:color w:val="000000" w:themeColor="text1"/>
          <w:lang w:val="en-GB"/>
        </w:rPr>
        <w:t>Overview of 2019 programme and expenditure implementation</w:t>
      </w:r>
    </w:p>
    <w:p w14:paraId="65E3EF86" w14:textId="003D0379" w:rsidR="009363AC" w:rsidRPr="001F2996" w:rsidRDefault="00B47863" w:rsidP="00537FA2">
      <w:pPr>
        <w:ind w:left="360"/>
        <w:jc w:val="both"/>
        <w:rPr>
          <w:rFonts w:ascii="Arial" w:hAnsi="Arial" w:cs="Arial"/>
          <w:bCs/>
          <w:color w:val="000000" w:themeColor="text1"/>
          <w:lang w:val="en-GB"/>
        </w:rPr>
      </w:pPr>
      <w:r w:rsidRPr="001F2996">
        <w:rPr>
          <w:rFonts w:ascii="Arial" w:hAnsi="Arial" w:cs="Arial"/>
          <w:bCs/>
          <w:color w:val="000000" w:themeColor="text1"/>
          <w:lang w:val="en-GB"/>
        </w:rPr>
        <w:t>Most of the activities b</w:t>
      </w:r>
      <w:r w:rsidR="001C3504" w:rsidRPr="001F2996">
        <w:rPr>
          <w:rFonts w:ascii="Arial" w:hAnsi="Arial" w:cs="Arial"/>
          <w:bCs/>
          <w:color w:val="000000" w:themeColor="text1"/>
          <w:lang w:val="en-GB"/>
        </w:rPr>
        <w:t>etween January and June 201</w:t>
      </w:r>
      <w:r w:rsidRPr="001F2996">
        <w:rPr>
          <w:rFonts w:ascii="Arial" w:hAnsi="Arial" w:cs="Arial"/>
          <w:bCs/>
          <w:color w:val="000000" w:themeColor="text1"/>
          <w:lang w:val="en-GB"/>
        </w:rPr>
        <w:t>9 were focused on the finalisation of the special surveys for National Account</w:t>
      </w:r>
      <w:r w:rsidR="003976D0" w:rsidRPr="001F2996">
        <w:rPr>
          <w:rFonts w:ascii="Arial" w:hAnsi="Arial" w:cs="Arial"/>
          <w:bCs/>
          <w:color w:val="000000" w:themeColor="text1"/>
          <w:lang w:val="en-GB"/>
        </w:rPr>
        <w:t>s</w:t>
      </w:r>
      <w:r w:rsidRPr="001F2996">
        <w:rPr>
          <w:rFonts w:ascii="Arial" w:hAnsi="Arial" w:cs="Arial"/>
          <w:bCs/>
          <w:color w:val="000000" w:themeColor="text1"/>
          <w:lang w:val="en-GB"/>
        </w:rPr>
        <w:t>; Private education, Machinery and equipment, Compensation of government employees and GDP splitting for the latest years.</w:t>
      </w:r>
    </w:p>
    <w:p w14:paraId="669D8B99" w14:textId="554DA759" w:rsidR="00B47863" w:rsidRPr="001F2996" w:rsidRDefault="00B47863" w:rsidP="00537FA2">
      <w:pPr>
        <w:ind w:left="360"/>
        <w:jc w:val="both"/>
        <w:rPr>
          <w:rFonts w:ascii="Arial" w:hAnsi="Arial" w:cs="Arial"/>
          <w:bCs/>
          <w:color w:val="000000" w:themeColor="text1"/>
          <w:lang w:val="en-GB"/>
        </w:rPr>
      </w:pPr>
      <w:r w:rsidRPr="001F2996">
        <w:rPr>
          <w:rFonts w:ascii="Arial" w:hAnsi="Arial" w:cs="Arial"/>
          <w:bCs/>
          <w:color w:val="000000" w:themeColor="text1"/>
          <w:lang w:val="en-GB"/>
        </w:rPr>
        <w:t>After all the data for both Price and National Accounts statistics were submitted, the AfDB in collaboration with AFRISTAT and COMESA organised a data validation and closure workshop for the 2017 ICP round which was held in April 2019 in Addis Ababa, Ethiopia.</w:t>
      </w:r>
    </w:p>
    <w:p w14:paraId="568AA8CC" w14:textId="61064405" w:rsidR="000C423F" w:rsidRPr="001F2996" w:rsidRDefault="00C15EE7" w:rsidP="0073375E">
      <w:pPr>
        <w:rPr>
          <w:rFonts w:ascii="Arial" w:hAnsi="Arial" w:cs="Arial"/>
          <w:color w:val="000000" w:themeColor="text1"/>
          <w:lang w:val="en-GB"/>
        </w:rPr>
      </w:pPr>
      <w:r w:rsidRPr="001F2996">
        <w:rPr>
          <w:rFonts w:ascii="Arial" w:hAnsi="Arial" w:cs="Arial"/>
          <w:color w:val="000000" w:themeColor="text1"/>
          <w:lang w:val="en-GB"/>
        </w:rPr>
        <w:t>Table 1, below presents expenditure incurred in the period in implementing the above activities</w:t>
      </w:r>
    </w:p>
    <w:tbl>
      <w:tblPr>
        <w:tblW w:w="9846" w:type="dxa"/>
        <w:tblLook w:val="04A0" w:firstRow="1" w:lastRow="0" w:firstColumn="1" w:lastColumn="0" w:noHBand="0" w:noVBand="1"/>
      </w:tblPr>
      <w:tblGrid>
        <w:gridCol w:w="544"/>
        <w:gridCol w:w="1372"/>
        <w:gridCol w:w="1017"/>
        <w:gridCol w:w="1017"/>
        <w:gridCol w:w="928"/>
        <w:gridCol w:w="1017"/>
        <w:gridCol w:w="1017"/>
        <w:gridCol w:w="990"/>
        <w:gridCol w:w="990"/>
        <w:gridCol w:w="954"/>
      </w:tblGrid>
      <w:tr w:rsidR="000D5D2D" w:rsidRPr="00A954A0" w14:paraId="21E09F21" w14:textId="4AE559DF" w:rsidTr="00050575">
        <w:trPr>
          <w:trHeight w:val="330"/>
        </w:trPr>
        <w:tc>
          <w:tcPr>
            <w:tcW w:w="544" w:type="dxa"/>
            <w:vMerge w:val="restart"/>
            <w:tcBorders>
              <w:top w:val="double" w:sz="6" w:space="0" w:color="auto"/>
              <w:left w:val="double" w:sz="6" w:space="0" w:color="auto"/>
              <w:bottom w:val="single" w:sz="4" w:space="0" w:color="000000"/>
              <w:right w:val="single" w:sz="4" w:space="0" w:color="auto"/>
            </w:tcBorders>
            <w:shd w:val="clear" w:color="000000" w:fill="BFBFBF"/>
            <w:hideMark/>
          </w:tcPr>
          <w:p w14:paraId="735F94AC" w14:textId="77777777" w:rsidR="004061ED" w:rsidRPr="00A954A0" w:rsidRDefault="004061ED" w:rsidP="000C423F">
            <w:pPr>
              <w:spacing w:after="0" w:line="240" w:lineRule="auto"/>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No.</w:t>
            </w:r>
          </w:p>
        </w:tc>
        <w:tc>
          <w:tcPr>
            <w:tcW w:w="1372" w:type="dxa"/>
            <w:vMerge w:val="restart"/>
            <w:tcBorders>
              <w:top w:val="double" w:sz="6" w:space="0" w:color="auto"/>
              <w:left w:val="single" w:sz="4" w:space="0" w:color="auto"/>
              <w:bottom w:val="single" w:sz="4" w:space="0" w:color="000000"/>
              <w:right w:val="single" w:sz="4" w:space="0" w:color="auto"/>
            </w:tcBorders>
            <w:shd w:val="clear" w:color="000000" w:fill="BFBFBF"/>
            <w:hideMark/>
          </w:tcPr>
          <w:p w14:paraId="34D78345" w14:textId="77777777" w:rsidR="004061ED" w:rsidRPr="00A954A0" w:rsidRDefault="004061ED" w:rsidP="000C423F">
            <w:pPr>
              <w:spacing w:after="0" w:line="240" w:lineRule="auto"/>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Budget Line Description [as in grant contract]</w:t>
            </w:r>
          </w:p>
        </w:tc>
        <w:tc>
          <w:tcPr>
            <w:tcW w:w="1017" w:type="dxa"/>
            <w:tcBorders>
              <w:top w:val="double" w:sz="6" w:space="0" w:color="auto"/>
              <w:left w:val="nil"/>
              <w:bottom w:val="single" w:sz="4" w:space="0" w:color="auto"/>
              <w:right w:val="single" w:sz="4" w:space="0" w:color="auto"/>
            </w:tcBorders>
            <w:shd w:val="clear" w:color="000000" w:fill="BFBFBF"/>
            <w:hideMark/>
          </w:tcPr>
          <w:p w14:paraId="4AD3C06A"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2018</w:t>
            </w:r>
          </w:p>
        </w:tc>
        <w:tc>
          <w:tcPr>
            <w:tcW w:w="5959" w:type="dxa"/>
            <w:gridSpan w:val="6"/>
            <w:tcBorders>
              <w:top w:val="double" w:sz="6" w:space="0" w:color="auto"/>
              <w:left w:val="nil"/>
              <w:bottom w:val="single" w:sz="4" w:space="0" w:color="auto"/>
              <w:right w:val="double" w:sz="6" w:space="0" w:color="auto"/>
            </w:tcBorders>
            <w:shd w:val="clear" w:color="000000" w:fill="BFBFBF"/>
            <w:hideMark/>
          </w:tcPr>
          <w:p w14:paraId="0CDC253A" w14:textId="77777777" w:rsidR="004061ED" w:rsidRPr="00A954A0" w:rsidRDefault="004061ED" w:rsidP="000C423F">
            <w:pPr>
              <w:spacing w:after="0" w:line="240" w:lineRule="auto"/>
              <w:jc w:val="center"/>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2019</w:t>
            </w:r>
          </w:p>
          <w:p w14:paraId="46A016CF" w14:textId="0697E941" w:rsidR="004061ED" w:rsidRPr="00A954A0" w:rsidRDefault="004061ED" w:rsidP="000C423F">
            <w:pPr>
              <w:spacing w:after="0" w:line="240" w:lineRule="auto"/>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 </w:t>
            </w:r>
          </w:p>
          <w:p w14:paraId="345AFE75" w14:textId="2EE88FA3" w:rsidR="004061ED" w:rsidRPr="00A954A0" w:rsidRDefault="004061ED" w:rsidP="000C423F">
            <w:pPr>
              <w:spacing w:after="0" w:line="240" w:lineRule="auto"/>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 </w:t>
            </w:r>
          </w:p>
        </w:tc>
        <w:tc>
          <w:tcPr>
            <w:tcW w:w="954" w:type="dxa"/>
            <w:tcBorders>
              <w:top w:val="double" w:sz="6" w:space="0" w:color="auto"/>
              <w:left w:val="nil"/>
              <w:bottom w:val="single" w:sz="4" w:space="0" w:color="auto"/>
              <w:right w:val="double" w:sz="6" w:space="0" w:color="auto"/>
            </w:tcBorders>
            <w:shd w:val="clear" w:color="000000" w:fill="BFBFBF"/>
          </w:tcPr>
          <w:p w14:paraId="5BB58DA3" w14:textId="77777777" w:rsidR="004061ED" w:rsidRPr="00A954A0" w:rsidRDefault="004061ED" w:rsidP="000C423F">
            <w:pPr>
              <w:spacing w:after="0" w:line="240" w:lineRule="auto"/>
              <w:jc w:val="center"/>
              <w:rPr>
                <w:rFonts w:ascii="Arial" w:eastAsia="Times New Roman" w:hAnsi="Arial" w:cs="Arial"/>
                <w:b/>
                <w:bCs/>
                <w:color w:val="000000" w:themeColor="text1"/>
                <w:sz w:val="16"/>
                <w:szCs w:val="16"/>
              </w:rPr>
            </w:pPr>
          </w:p>
        </w:tc>
      </w:tr>
      <w:tr w:rsidR="00050575" w:rsidRPr="00A954A0" w14:paraId="6B55C653" w14:textId="5F0786F2" w:rsidTr="00050575">
        <w:trPr>
          <w:trHeight w:val="780"/>
        </w:trPr>
        <w:tc>
          <w:tcPr>
            <w:tcW w:w="544" w:type="dxa"/>
            <w:vMerge/>
            <w:tcBorders>
              <w:top w:val="double" w:sz="6" w:space="0" w:color="auto"/>
              <w:left w:val="double" w:sz="6" w:space="0" w:color="auto"/>
              <w:bottom w:val="single" w:sz="4" w:space="0" w:color="000000"/>
              <w:right w:val="single" w:sz="4" w:space="0" w:color="auto"/>
            </w:tcBorders>
            <w:vAlign w:val="center"/>
            <w:hideMark/>
          </w:tcPr>
          <w:p w14:paraId="4145798C" w14:textId="77777777" w:rsidR="004061ED" w:rsidRPr="00A954A0" w:rsidRDefault="004061ED" w:rsidP="000C423F">
            <w:pPr>
              <w:spacing w:after="0" w:line="240" w:lineRule="auto"/>
              <w:rPr>
                <w:rFonts w:ascii="Arial" w:eastAsia="Times New Roman" w:hAnsi="Arial" w:cs="Arial"/>
                <w:b/>
                <w:bCs/>
                <w:color w:val="000000" w:themeColor="text1"/>
                <w:sz w:val="16"/>
                <w:szCs w:val="16"/>
              </w:rPr>
            </w:pPr>
          </w:p>
        </w:tc>
        <w:tc>
          <w:tcPr>
            <w:tcW w:w="1372" w:type="dxa"/>
            <w:vMerge/>
            <w:tcBorders>
              <w:top w:val="double" w:sz="6" w:space="0" w:color="auto"/>
              <w:left w:val="single" w:sz="4" w:space="0" w:color="auto"/>
              <w:bottom w:val="single" w:sz="4" w:space="0" w:color="000000"/>
              <w:right w:val="single" w:sz="4" w:space="0" w:color="auto"/>
            </w:tcBorders>
            <w:vAlign w:val="center"/>
            <w:hideMark/>
          </w:tcPr>
          <w:p w14:paraId="2154D16B" w14:textId="77777777" w:rsidR="004061ED" w:rsidRPr="00A954A0" w:rsidRDefault="004061ED" w:rsidP="000C423F">
            <w:pPr>
              <w:spacing w:after="0" w:line="240" w:lineRule="auto"/>
              <w:rPr>
                <w:rFonts w:ascii="Arial" w:eastAsia="Times New Roman" w:hAnsi="Arial" w:cs="Arial"/>
                <w:b/>
                <w:bCs/>
                <w:color w:val="000000" w:themeColor="text1"/>
                <w:sz w:val="16"/>
                <w:szCs w:val="16"/>
              </w:rPr>
            </w:pPr>
          </w:p>
        </w:tc>
        <w:tc>
          <w:tcPr>
            <w:tcW w:w="1017" w:type="dxa"/>
            <w:tcBorders>
              <w:top w:val="nil"/>
              <w:left w:val="nil"/>
              <w:bottom w:val="single" w:sz="4" w:space="0" w:color="auto"/>
              <w:right w:val="single" w:sz="4" w:space="0" w:color="auto"/>
            </w:tcBorders>
            <w:shd w:val="clear" w:color="000000" w:fill="BFBFBF"/>
            <w:hideMark/>
          </w:tcPr>
          <w:p w14:paraId="4DF2BC61"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Actual</w:t>
            </w:r>
          </w:p>
        </w:tc>
        <w:tc>
          <w:tcPr>
            <w:tcW w:w="1017" w:type="dxa"/>
            <w:tcBorders>
              <w:top w:val="nil"/>
              <w:left w:val="nil"/>
              <w:bottom w:val="single" w:sz="4" w:space="0" w:color="auto"/>
              <w:right w:val="single" w:sz="4" w:space="0" w:color="auto"/>
            </w:tcBorders>
            <w:shd w:val="clear" w:color="000000" w:fill="BFBFBF"/>
            <w:hideMark/>
          </w:tcPr>
          <w:p w14:paraId="7431AC27"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Original Budget</w:t>
            </w:r>
          </w:p>
        </w:tc>
        <w:tc>
          <w:tcPr>
            <w:tcW w:w="928" w:type="dxa"/>
            <w:tcBorders>
              <w:top w:val="nil"/>
              <w:left w:val="nil"/>
              <w:bottom w:val="single" w:sz="4" w:space="0" w:color="auto"/>
              <w:right w:val="single" w:sz="4" w:space="0" w:color="auto"/>
            </w:tcBorders>
            <w:shd w:val="clear" w:color="000000" w:fill="BFBFBF"/>
            <w:hideMark/>
          </w:tcPr>
          <w:p w14:paraId="30A648FC"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Actual: Six months</w:t>
            </w:r>
          </w:p>
        </w:tc>
        <w:tc>
          <w:tcPr>
            <w:tcW w:w="1017" w:type="dxa"/>
            <w:tcBorders>
              <w:top w:val="nil"/>
              <w:left w:val="nil"/>
              <w:bottom w:val="single" w:sz="4" w:space="0" w:color="auto"/>
              <w:right w:val="single" w:sz="4" w:space="0" w:color="auto"/>
            </w:tcBorders>
            <w:shd w:val="clear" w:color="000000" w:fill="BFBFBF"/>
            <w:hideMark/>
          </w:tcPr>
          <w:p w14:paraId="764AA5EA"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Forecast: Six months</w:t>
            </w:r>
          </w:p>
        </w:tc>
        <w:tc>
          <w:tcPr>
            <w:tcW w:w="1017" w:type="dxa"/>
            <w:tcBorders>
              <w:top w:val="nil"/>
              <w:left w:val="nil"/>
              <w:bottom w:val="single" w:sz="4" w:space="0" w:color="auto"/>
              <w:right w:val="nil"/>
            </w:tcBorders>
            <w:shd w:val="clear" w:color="000000" w:fill="BFBFBF"/>
            <w:hideMark/>
          </w:tcPr>
          <w:p w14:paraId="28CBEEF5"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Revised Forecast</w:t>
            </w:r>
          </w:p>
        </w:tc>
        <w:tc>
          <w:tcPr>
            <w:tcW w:w="990" w:type="dxa"/>
            <w:tcBorders>
              <w:top w:val="double" w:sz="6" w:space="0" w:color="auto"/>
              <w:left w:val="double" w:sz="6" w:space="0" w:color="auto"/>
              <w:bottom w:val="single" w:sz="4" w:space="0" w:color="auto"/>
              <w:right w:val="single" w:sz="4" w:space="0" w:color="auto"/>
            </w:tcBorders>
            <w:shd w:val="clear" w:color="000000" w:fill="BFBFBF"/>
            <w:hideMark/>
          </w:tcPr>
          <w:p w14:paraId="329AE4AD"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 Budget Utilisation achieved</w:t>
            </w:r>
          </w:p>
        </w:tc>
        <w:tc>
          <w:tcPr>
            <w:tcW w:w="990" w:type="dxa"/>
            <w:tcBorders>
              <w:top w:val="double" w:sz="6" w:space="0" w:color="auto"/>
              <w:left w:val="nil"/>
              <w:bottom w:val="single" w:sz="4" w:space="0" w:color="auto"/>
              <w:right w:val="double" w:sz="6" w:space="0" w:color="auto"/>
            </w:tcBorders>
            <w:shd w:val="clear" w:color="000000" w:fill="BFBFBF"/>
            <w:hideMark/>
          </w:tcPr>
          <w:p w14:paraId="7B43991C"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 Forecast Budget Utilisation</w:t>
            </w:r>
          </w:p>
        </w:tc>
        <w:tc>
          <w:tcPr>
            <w:tcW w:w="954" w:type="dxa"/>
            <w:tcBorders>
              <w:top w:val="double" w:sz="6" w:space="0" w:color="auto"/>
              <w:left w:val="nil"/>
              <w:bottom w:val="single" w:sz="4" w:space="0" w:color="auto"/>
              <w:right w:val="double" w:sz="6" w:space="0" w:color="auto"/>
            </w:tcBorders>
            <w:shd w:val="clear" w:color="000000" w:fill="BFBFBF"/>
          </w:tcPr>
          <w:p w14:paraId="3ED0DEDC" w14:textId="19EB549B" w:rsidR="004061ED" w:rsidRPr="00A954A0" w:rsidRDefault="003A7C2F" w:rsidP="000C423F">
            <w:pPr>
              <w:spacing w:after="0" w:line="240" w:lineRule="auto"/>
              <w:jc w:val="right"/>
              <w:rPr>
                <w:rFonts w:ascii="Arial" w:eastAsia="Times New Roman" w:hAnsi="Arial" w:cs="Arial"/>
                <w:b/>
                <w:bCs/>
                <w:color w:val="000000" w:themeColor="text1"/>
                <w:sz w:val="16"/>
                <w:szCs w:val="16"/>
                <w:lang w:val="en-GB"/>
              </w:rPr>
            </w:pPr>
            <w:r w:rsidRPr="00A954A0">
              <w:rPr>
                <w:rFonts w:ascii="Arial" w:eastAsia="Times New Roman" w:hAnsi="Arial" w:cs="Arial"/>
                <w:b/>
                <w:bCs/>
                <w:color w:val="000000" w:themeColor="text1"/>
                <w:sz w:val="16"/>
                <w:szCs w:val="16"/>
                <w:lang w:val="en-GB"/>
              </w:rPr>
              <w:t>Proposed budget revision</w:t>
            </w:r>
          </w:p>
        </w:tc>
      </w:tr>
      <w:tr w:rsidR="00050575" w:rsidRPr="00050575" w14:paraId="78302C6E" w14:textId="6E027BCE" w:rsidTr="00050575">
        <w:trPr>
          <w:trHeight w:val="510"/>
        </w:trPr>
        <w:tc>
          <w:tcPr>
            <w:tcW w:w="544" w:type="dxa"/>
            <w:vMerge/>
            <w:tcBorders>
              <w:top w:val="double" w:sz="6" w:space="0" w:color="auto"/>
              <w:left w:val="double" w:sz="6" w:space="0" w:color="auto"/>
              <w:bottom w:val="single" w:sz="4" w:space="0" w:color="000000"/>
              <w:right w:val="single" w:sz="4" w:space="0" w:color="auto"/>
            </w:tcBorders>
            <w:vAlign w:val="center"/>
            <w:hideMark/>
          </w:tcPr>
          <w:p w14:paraId="54A6416E" w14:textId="77777777" w:rsidR="004061ED" w:rsidRPr="00050575" w:rsidRDefault="004061ED" w:rsidP="000C423F">
            <w:pPr>
              <w:spacing w:after="0" w:line="240" w:lineRule="auto"/>
              <w:rPr>
                <w:rFonts w:ascii="Arial" w:eastAsia="Times New Roman" w:hAnsi="Arial" w:cs="Arial"/>
                <w:b/>
                <w:bCs/>
                <w:color w:val="000000" w:themeColor="text1"/>
                <w:sz w:val="16"/>
                <w:szCs w:val="16"/>
              </w:rPr>
            </w:pPr>
          </w:p>
        </w:tc>
        <w:tc>
          <w:tcPr>
            <w:tcW w:w="1372" w:type="dxa"/>
            <w:vMerge/>
            <w:tcBorders>
              <w:top w:val="double" w:sz="6" w:space="0" w:color="auto"/>
              <w:left w:val="single" w:sz="4" w:space="0" w:color="auto"/>
              <w:bottom w:val="single" w:sz="4" w:space="0" w:color="000000"/>
              <w:right w:val="single" w:sz="4" w:space="0" w:color="auto"/>
            </w:tcBorders>
            <w:vAlign w:val="center"/>
            <w:hideMark/>
          </w:tcPr>
          <w:p w14:paraId="09290CBB" w14:textId="77777777" w:rsidR="004061ED" w:rsidRPr="00050575" w:rsidRDefault="004061ED" w:rsidP="000C423F">
            <w:pPr>
              <w:spacing w:after="0" w:line="240" w:lineRule="auto"/>
              <w:rPr>
                <w:rFonts w:ascii="Arial" w:eastAsia="Times New Roman" w:hAnsi="Arial" w:cs="Arial"/>
                <w:b/>
                <w:bCs/>
                <w:color w:val="000000" w:themeColor="text1"/>
                <w:sz w:val="16"/>
                <w:szCs w:val="16"/>
              </w:rPr>
            </w:pPr>
          </w:p>
        </w:tc>
        <w:tc>
          <w:tcPr>
            <w:tcW w:w="1017" w:type="dxa"/>
            <w:tcBorders>
              <w:top w:val="nil"/>
              <w:left w:val="nil"/>
              <w:bottom w:val="single" w:sz="4" w:space="0" w:color="auto"/>
              <w:right w:val="single" w:sz="4" w:space="0" w:color="auto"/>
            </w:tcBorders>
            <w:shd w:val="clear" w:color="000000" w:fill="BFBFBF"/>
            <w:hideMark/>
          </w:tcPr>
          <w:p w14:paraId="06DA0767"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12 months</w:t>
            </w:r>
          </w:p>
        </w:tc>
        <w:tc>
          <w:tcPr>
            <w:tcW w:w="1017" w:type="dxa"/>
            <w:tcBorders>
              <w:top w:val="nil"/>
              <w:left w:val="nil"/>
              <w:bottom w:val="single" w:sz="4" w:space="0" w:color="auto"/>
              <w:right w:val="single" w:sz="4" w:space="0" w:color="auto"/>
            </w:tcBorders>
            <w:shd w:val="clear" w:color="000000" w:fill="BFBFBF"/>
            <w:hideMark/>
          </w:tcPr>
          <w:p w14:paraId="755AA6FF"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12 months</w:t>
            </w:r>
          </w:p>
        </w:tc>
        <w:tc>
          <w:tcPr>
            <w:tcW w:w="928" w:type="dxa"/>
            <w:tcBorders>
              <w:top w:val="nil"/>
              <w:left w:val="nil"/>
              <w:bottom w:val="single" w:sz="4" w:space="0" w:color="auto"/>
              <w:right w:val="single" w:sz="4" w:space="0" w:color="auto"/>
            </w:tcBorders>
            <w:shd w:val="clear" w:color="000000" w:fill="BFBFBF"/>
            <w:hideMark/>
          </w:tcPr>
          <w:p w14:paraId="31C587C3"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Jan - June</w:t>
            </w:r>
          </w:p>
        </w:tc>
        <w:tc>
          <w:tcPr>
            <w:tcW w:w="1017" w:type="dxa"/>
            <w:tcBorders>
              <w:top w:val="nil"/>
              <w:left w:val="nil"/>
              <w:bottom w:val="single" w:sz="4" w:space="0" w:color="auto"/>
              <w:right w:val="single" w:sz="4" w:space="0" w:color="auto"/>
            </w:tcBorders>
            <w:shd w:val="clear" w:color="000000" w:fill="BFBFBF"/>
            <w:hideMark/>
          </w:tcPr>
          <w:p w14:paraId="01F618E3"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July-Dec</w:t>
            </w:r>
          </w:p>
        </w:tc>
        <w:tc>
          <w:tcPr>
            <w:tcW w:w="1017" w:type="dxa"/>
            <w:tcBorders>
              <w:top w:val="nil"/>
              <w:left w:val="nil"/>
              <w:bottom w:val="single" w:sz="4" w:space="0" w:color="auto"/>
              <w:right w:val="nil"/>
            </w:tcBorders>
            <w:shd w:val="clear" w:color="000000" w:fill="BFBFBF"/>
            <w:hideMark/>
          </w:tcPr>
          <w:p w14:paraId="59257629"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Jan - Dec: 12 months</w:t>
            </w:r>
          </w:p>
        </w:tc>
        <w:tc>
          <w:tcPr>
            <w:tcW w:w="990" w:type="dxa"/>
            <w:tcBorders>
              <w:top w:val="nil"/>
              <w:left w:val="double" w:sz="6" w:space="0" w:color="auto"/>
              <w:bottom w:val="single" w:sz="4" w:space="0" w:color="auto"/>
              <w:right w:val="single" w:sz="4" w:space="0" w:color="auto"/>
            </w:tcBorders>
            <w:shd w:val="clear" w:color="000000" w:fill="BFBFBF"/>
            <w:hideMark/>
          </w:tcPr>
          <w:p w14:paraId="0D32D77F"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Jan - June</w:t>
            </w:r>
          </w:p>
        </w:tc>
        <w:tc>
          <w:tcPr>
            <w:tcW w:w="990" w:type="dxa"/>
            <w:tcBorders>
              <w:top w:val="nil"/>
              <w:left w:val="nil"/>
              <w:bottom w:val="single" w:sz="4" w:space="0" w:color="auto"/>
              <w:right w:val="double" w:sz="6" w:space="0" w:color="auto"/>
            </w:tcBorders>
            <w:shd w:val="clear" w:color="000000" w:fill="BFBFBF"/>
            <w:hideMark/>
          </w:tcPr>
          <w:p w14:paraId="7281CA06"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Jan - Dec: 12 months</w:t>
            </w:r>
          </w:p>
        </w:tc>
        <w:tc>
          <w:tcPr>
            <w:tcW w:w="954" w:type="dxa"/>
            <w:tcBorders>
              <w:top w:val="nil"/>
              <w:left w:val="nil"/>
              <w:bottom w:val="single" w:sz="4" w:space="0" w:color="auto"/>
              <w:right w:val="double" w:sz="6" w:space="0" w:color="auto"/>
            </w:tcBorders>
            <w:shd w:val="clear" w:color="000000" w:fill="BFBFBF"/>
          </w:tcPr>
          <w:p w14:paraId="70547E87"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p>
        </w:tc>
      </w:tr>
      <w:tr w:rsidR="00050575" w:rsidRPr="00050575" w14:paraId="12A97D6A" w14:textId="7486E212" w:rsidTr="00050575">
        <w:trPr>
          <w:trHeight w:val="315"/>
        </w:trPr>
        <w:tc>
          <w:tcPr>
            <w:tcW w:w="544" w:type="dxa"/>
            <w:tcBorders>
              <w:top w:val="nil"/>
              <w:left w:val="double" w:sz="6" w:space="0" w:color="auto"/>
              <w:bottom w:val="double" w:sz="6" w:space="0" w:color="auto"/>
              <w:right w:val="single" w:sz="4" w:space="0" w:color="auto"/>
            </w:tcBorders>
            <w:shd w:val="clear" w:color="000000" w:fill="BFBFBF"/>
            <w:hideMark/>
          </w:tcPr>
          <w:p w14:paraId="6B2579A9" w14:textId="551AF4D4" w:rsidR="004061ED" w:rsidRPr="00050575" w:rsidRDefault="004061ED" w:rsidP="000C423F">
            <w:pPr>
              <w:spacing w:after="0" w:line="240" w:lineRule="auto"/>
              <w:rPr>
                <w:rFonts w:ascii="Arial" w:eastAsia="Times New Roman" w:hAnsi="Arial" w:cs="Arial"/>
                <w:b/>
                <w:color w:val="000000" w:themeColor="text1"/>
                <w:sz w:val="16"/>
                <w:szCs w:val="16"/>
              </w:rPr>
            </w:pPr>
            <w:r w:rsidRPr="00050575">
              <w:rPr>
                <w:rFonts w:ascii="Arial" w:eastAsia="Times New Roman" w:hAnsi="Arial" w:cs="Arial"/>
                <w:b/>
                <w:color w:val="000000" w:themeColor="text1"/>
                <w:sz w:val="16"/>
                <w:szCs w:val="16"/>
              </w:rPr>
              <w:t>Col 1</w:t>
            </w:r>
          </w:p>
        </w:tc>
        <w:tc>
          <w:tcPr>
            <w:tcW w:w="1372" w:type="dxa"/>
            <w:tcBorders>
              <w:top w:val="nil"/>
              <w:left w:val="nil"/>
              <w:bottom w:val="double" w:sz="6" w:space="0" w:color="auto"/>
              <w:right w:val="single" w:sz="4" w:space="0" w:color="auto"/>
            </w:tcBorders>
            <w:shd w:val="clear" w:color="000000" w:fill="BFBFBF"/>
            <w:hideMark/>
          </w:tcPr>
          <w:p w14:paraId="17B9326C" w14:textId="77777777" w:rsidR="004061ED" w:rsidRPr="00050575" w:rsidRDefault="004061ED" w:rsidP="000C423F">
            <w:pPr>
              <w:spacing w:after="0" w:line="240" w:lineRule="auto"/>
              <w:rPr>
                <w:rFonts w:ascii="Arial" w:eastAsia="Times New Roman" w:hAnsi="Arial" w:cs="Arial"/>
                <w:b/>
                <w:color w:val="000000" w:themeColor="text1"/>
                <w:sz w:val="16"/>
                <w:szCs w:val="16"/>
              </w:rPr>
            </w:pPr>
            <w:r w:rsidRPr="00050575">
              <w:rPr>
                <w:rFonts w:ascii="Arial" w:eastAsia="Times New Roman" w:hAnsi="Arial" w:cs="Arial"/>
                <w:b/>
                <w:color w:val="000000" w:themeColor="text1"/>
                <w:sz w:val="16"/>
                <w:szCs w:val="16"/>
              </w:rPr>
              <w:t>Col 2</w:t>
            </w:r>
          </w:p>
        </w:tc>
        <w:tc>
          <w:tcPr>
            <w:tcW w:w="1017" w:type="dxa"/>
            <w:tcBorders>
              <w:top w:val="nil"/>
              <w:left w:val="nil"/>
              <w:bottom w:val="double" w:sz="6" w:space="0" w:color="auto"/>
              <w:right w:val="single" w:sz="4" w:space="0" w:color="auto"/>
            </w:tcBorders>
            <w:shd w:val="clear" w:color="000000" w:fill="BFBFBF"/>
            <w:hideMark/>
          </w:tcPr>
          <w:p w14:paraId="36D00D9C"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Col 3</w:t>
            </w:r>
          </w:p>
        </w:tc>
        <w:tc>
          <w:tcPr>
            <w:tcW w:w="1017" w:type="dxa"/>
            <w:tcBorders>
              <w:top w:val="nil"/>
              <w:left w:val="nil"/>
              <w:bottom w:val="double" w:sz="6" w:space="0" w:color="auto"/>
              <w:right w:val="single" w:sz="4" w:space="0" w:color="auto"/>
            </w:tcBorders>
            <w:shd w:val="clear" w:color="000000" w:fill="BFBFBF"/>
            <w:hideMark/>
          </w:tcPr>
          <w:p w14:paraId="66A6F23C"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Col 4</w:t>
            </w:r>
          </w:p>
        </w:tc>
        <w:tc>
          <w:tcPr>
            <w:tcW w:w="928" w:type="dxa"/>
            <w:tcBorders>
              <w:top w:val="nil"/>
              <w:left w:val="nil"/>
              <w:bottom w:val="double" w:sz="6" w:space="0" w:color="auto"/>
              <w:right w:val="single" w:sz="4" w:space="0" w:color="auto"/>
            </w:tcBorders>
            <w:shd w:val="clear" w:color="000000" w:fill="BFBFBF"/>
            <w:hideMark/>
          </w:tcPr>
          <w:p w14:paraId="2DA7DC76"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Col 5</w:t>
            </w:r>
          </w:p>
        </w:tc>
        <w:tc>
          <w:tcPr>
            <w:tcW w:w="1017" w:type="dxa"/>
            <w:tcBorders>
              <w:top w:val="nil"/>
              <w:left w:val="nil"/>
              <w:bottom w:val="double" w:sz="6" w:space="0" w:color="auto"/>
              <w:right w:val="single" w:sz="4" w:space="0" w:color="auto"/>
            </w:tcBorders>
            <w:shd w:val="clear" w:color="000000" w:fill="BFBFBF"/>
            <w:hideMark/>
          </w:tcPr>
          <w:p w14:paraId="1BC16D97"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Col 6</w:t>
            </w:r>
          </w:p>
        </w:tc>
        <w:tc>
          <w:tcPr>
            <w:tcW w:w="1017" w:type="dxa"/>
            <w:tcBorders>
              <w:top w:val="nil"/>
              <w:left w:val="nil"/>
              <w:bottom w:val="double" w:sz="6" w:space="0" w:color="auto"/>
              <w:right w:val="nil"/>
            </w:tcBorders>
            <w:shd w:val="clear" w:color="000000" w:fill="BFBFBF"/>
            <w:hideMark/>
          </w:tcPr>
          <w:p w14:paraId="669601B6"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 xml:space="preserve"> Col 7=5+6</w:t>
            </w:r>
          </w:p>
        </w:tc>
        <w:tc>
          <w:tcPr>
            <w:tcW w:w="990" w:type="dxa"/>
            <w:tcBorders>
              <w:top w:val="nil"/>
              <w:left w:val="double" w:sz="6" w:space="0" w:color="auto"/>
              <w:bottom w:val="double" w:sz="6" w:space="0" w:color="auto"/>
              <w:right w:val="single" w:sz="4" w:space="0" w:color="auto"/>
            </w:tcBorders>
            <w:shd w:val="clear" w:color="000000" w:fill="BFBFBF"/>
            <w:hideMark/>
          </w:tcPr>
          <w:p w14:paraId="23CC8460"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Col 8=5/4</w:t>
            </w:r>
          </w:p>
        </w:tc>
        <w:tc>
          <w:tcPr>
            <w:tcW w:w="990" w:type="dxa"/>
            <w:tcBorders>
              <w:top w:val="nil"/>
              <w:left w:val="nil"/>
              <w:bottom w:val="double" w:sz="6" w:space="0" w:color="auto"/>
              <w:right w:val="double" w:sz="6" w:space="0" w:color="auto"/>
            </w:tcBorders>
            <w:shd w:val="clear" w:color="000000" w:fill="BFBFBF"/>
            <w:hideMark/>
          </w:tcPr>
          <w:p w14:paraId="77FF27DF"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r w:rsidRPr="00050575">
              <w:rPr>
                <w:rFonts w:ascii="Arial" w:eastAsia="Times New Roman" w:hAnsi="Arial" w:cs="Arial"/>
                <w:b/>
                <w:bCs/>
                <w:color w:val="000000" w:themeColor="text1"/>
                <w:sz w:val="16"/>
                <w:szCs w:val="16"/>
              </w:rPr>
              <w:t>Col 9=7/4</w:t>
            </w:r>
          </w:p>
        </w:tc>
        <w:tc>
          <w:tcPr>
            <w:tcW w:w="954" w:type="dxa"/>
            <w:tcBorders>
              <w:top w:val="nil"/>
              <w:left w:val="nil"/>
              <w:bottom w:val="double" w:sz="6" w:space="0" w:color="auto"/>
              <w:right w:val="double" w:sz="6" w:space="0" w:color="auto"/>
            </w:tcBorders>
            <w:shd w:val="clear" w:color="000000" w:fill="BFBFBF"/>
          </w:tcPr>
          <w:p w14:paraId="759BD56E" w14:textId="77777777" w:rsidR="004061ED" w:rsidRPr="00050575" w:rsidRDefault="004061ED" w:rsidP="000C423F">
            <w:pPr>
              <w:spacing w:after="0" w:line="240" w:lineRule="auto"/>
              <w:jc w:val="right"/>
              <w:rPr>
                <w:rFonts w:ascii="Arial" w:eastAsia="Times New Roman" w:hAnsi="Arial" w:cs="Arial"/>
                <w:b/>
                <w:bCs/>
                <w:color w:val="000000" w:themeColor="text1"/>
                <w:sz w:val="16"/>
                <w:szCs w:val="16"/>
              </w:rPr>
            </w:pPr>
          </w:p>
        </w:tc>
      </w:tr>
      <w:tr w:rsidR="00050575" w:rsidRPr="00A954A0" w14:paraId="537E7FA9" w14:textId="7657D7C4" w:rsidTr="00050575">
        <w:trPr>
          <w:trHeight w:val="315"/>
        </w:trPr>
        <w:tc>
          <w:tcPr>
            <w:tcW w:w="544" w:type="dxa"/>
            <w:tcBorders>
              <w:top w:val="nil"/>
              <w:left w:val="double" w:sz="6" w:space="0" w:color="auto"/>
              <w:bottom w:val="single" w:sz="4" w:space="0" w:color="auto"/>
              <w:right w:val="single" w:sz="4" w:space="0" w:color="auto"/>
            </w:tcBorders>
            <w:shd w:val="clear" w:color="000000" w:fill="BFBFBF"/>
            <w:hideMark/>
          </w:tcPr>
          <w:p w14:paraId="0B3D1876" w14:textId="77777777" w:rsidR="004061ED" w:rsidRPr="00A954A0" w:rsidRDefault="004061ED" w:rsidP="000C423F">
            <w:pPr>
              <w:spacing w:after="0" w:line="240" w:lineRule="auto"/>
              <w:rPr>
                <w:rFonts w:ascii="Arial" w:eastAsia="Times New Roman" w:hAnsi="Arial" w:cs="Arial"/>
                <w:color w:val="000000" w:themeColor="text1"/>
                <w:sz w:val="16"/>
                <w:szCs w:val="16"/>
              </w:rPr>
            </w:pPr>
            <w:r w:rsidRPr="00A954A0">
              <w:rPr>
                <w:rFonts w:ascii="Arial" w:eastAsia="Times New Roman" w:hAnsi="Arial" w:cs="Arial"/>
                <w:color w:val="000000" w:themeColor="text1"/>
                <w:sz w:val="16"/>
                <w:szCs w:val="16"/>
              </w:rPr>
              <w:t> </w:t>
            </w:r>
          </w:p>
        </w:tc>
        <w:tc>
          <w:tcPr>
            <w:tcW w:w="1372" w:type="dxa"/>
            <w:tcBorders>
              <w:top w:val="nil"/>
              <w:left w:val="nil"/>
              <w:bottom w:val="single" w:sz="4" w:space="0" w:color="auto"/>
              <w:right w:val="single" w:sz="4" w:space="0" w:color="auto"/>
            </w:tcBorders>
            <w:shd w:val="clear" w:color="000000" w:fill="BFBFBF"/>
            <w:hideMark/>
          </w:tcPr>
          <w:p w14:paraId="41E02F40" w14:textId="77777777" w:rsidR="004061ED" w:rsidRPr="00A954A0" w:rsidRDefault="004061ED" w:rsidP="000C423F">
            <w:pPr>
              <w:spacing w:after="0" w:line="240" w:lineRule="auto"/>
              <w:rPr>
                <w:rFonts w:ascii="Arial" w:eastAsia="Times New Roman" w:hAnsi="Arial" w:cs="Arial"/>
                <w:color w:val="000000" w:themeColor="text1"/>
                <w:sz w:val="16"/>
                <w:szCs w:val="16"/>
              </w:rPr>
            </w:pPr>
            <w:r w:rsidRPr="00A954A0">
              <w:rPr>
                <w:rFonts w:ascii="Arial" w:eastAsia="Times New Roman" w:hAnsi="Arial" w:cs="Arial"/>
                <w:color w:val="000000" w:themeColor="text1"/>
                <w:sz w:val="16"/>
                <w:szCs w:val="16"/>
              </w:rPr>
              <w:t> </w:t>
            </w:r>
          </w:p>
        </w:tc>
        <w:tc>
          <w:tcPr>
            <w:tcW w:w="1017" w:type="dxa"/>
            <w:tcBorders>
              <w:top w:val="nil"/>
              <w:left w:val="nil"/>
              <w:bottom w:val="single" w:sz="4" w:space="0" w:color="auto"/>
              <w:right w:val="single" w:sz="4" w:space="0" w:color="auto"/>
            </w:tcBorders>
            <w:shd w:val="clear" w:color="000000" w:fill="BFBFBF"/>
            <w:hideMark/>
          </w:tcPr>
          <w:p w14:paraId="50816F8F"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 </w:t>
            </w:r>
          </w:p>
        </w:tc>
        <w:tc>
          <w:tcPr>
            <w:tcW w:w="1017" w:type="dxa"/>
            <w:tcBorders>
              <w:top w:val="nil"/>
              <w:left w:val="nil"/>
              <w:bottom w:val="single" w:sz="4" w:space="0" w:color="auto"/>
              <w:right w:val="single" w:sz="4" w:space="0" w:color="auto"/>
            </w:tcBorders>
            <w:shd w:val="clear" w:color="000000" w:fill="BFBFBF"/>
            <w:hideMark/>
          </w:tcPr>
          <w:p w14:paraId="10A19B77"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 </w:t>
            </w:r>
          </w:p>
        </w:tc>
        <w:tc>
          <w:tcPr>
            <w:tcW w:w="928" w:type="dxa"/>
            <w:tcBorders>
              <w:top w:val="nil"/>
              <w:left w:val="nil"/>
              <w:bottom w:val="single" w:sz="4" w:space="0" w:color="auto"/>
              <w:right w:val="single" w:sz="4" w:space="0" w:color="auto"/>
            </w:tcBorders>
            <w:shd w:val="clear" w:color="000000" w:fill="BFBFBF"/>
            <w:hideMark/>
          </w:tcPr>
          <w:p w14:paraId="22D5E7E5" w14:textId="77777777" w:rsidR="004061ED" w:rsidRPr="00A954A0" w:rsidRDefault="004061ED" w:rsidP="000C423F">
            <w:pPr>
              <w:spacing w:after="0" w:line="240" w:lineRule="auto"/>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 </w:t>
            </w:r>
          </w:p>
        </w:tc>
        <w:tc>
          <w:tcPr>
            <w:tcW w:w="1017" w:type="dxa"/>
            <w:tcBorders>
              <w:top w:val="nil"/>
              <w:left w:val="nil"/>
              <w:bottom w:val="single" w:sz="4" w:space="0" w:color="auto"/>
              <w:right w:val="single" w:sz="4" w:space="0" w:color="auto"/>
            </w:tcBorders>
            <w:shd w:val="clear" w:color="000000" w:fill="BFBFBF"/>
            <w:hideMark/>
          </w:tcPr>
          <w:p w14:paraId="032DF07F" w14:textId="77777777" w:rsidR="004061ED" w:rsidRPr="00A954A0" w:rsidRDefault="004061ED" w:rsidP="000C423F">
            <w:pPr>
              <w:spacing w:after="0" w:line="240" w:lineRule="auto"/>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 </w:t>
            </w:r>
          </w:p>
        </w:tc>
        <w:tc>
          <w:tcPr>
            <w:tcW w:w="1017" w:type="dxa"/>
            <w:tcBorders>
              <w:top w:val="nil"/>
              <w:left w:val="nil"/>
              <w:bottom w:val="single" w:sz="4" w:space="0" w:color="auto"/>
              <w:right w:val="nil"/>
            </w:tcBorders>
            <w:shd w:val="clear" w:color="000000" w:fill="BFBFBF"/>
            <w:hideMark/>
          </w:tcPr>
          <w:p w14:paraId="146FE360"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 </w:t>
            </w:r>
          </w:p>
        </w:tc>
        <w:tc>
          <w:tcPr>
            <w:tcW w:w="990" w:type="dxa"/>
            <w:tcBorders>
              <w:top w:val="nil"/>
              <w:left w:val="double" w:sz="6" w:space="0" w:color="auto"/>
              <w:bottom w:val="single" w:sz="4" w:space="0" w:color="auto"/>
              <w:right w:val="single" w:sz="4" w:space="0" w:color="auto"/>
            </w:tcBorders>
            <w:shd w:val="clear" w:color="000000" w:fill="BFBFBF"/>
            <w:hideMark/>
          </w:tcPr>
          <w:p w14:paraId="237285F0"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 </w:t>
            </w:r>
          </w:p>
        </w:tc>
        <w:tc>
          <w:tcPr>
            <w:tcW w:w="990" w:type="dxa"/>
            <w:tcBorders>
              <w:top w:val="nil"/>
              <w:left w:val="nil"/>
              <w:bottom w:val="single" w:sz="4" w:space="0" w:color="auto"/>
              <w:right w:val="double" w:sz="6" w:space="0" w:color="auto"/>
            </w:tcBorders>
            <w:shd w:val="clear" w:color="000000" w:fill="BFBFBF"/>
            <w:hideMark/>
          </w:tcPr>
          <w:p w14:paraId="7B890B2C"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r w:rsidRPr="00A954A0">
              <w:rPr>
                <w:rFonts w:ascii="Arial" w:eastAsia="Times New Roman" w:hAnsi="Arial" w:cs="Arial"/>
                <w:b/>
                <w:bCs/>
                <w:color w:val="000000" w:themeColor="text1"/>
                <w:sz w:val="16"/>
                <w:szCs w:val="16"/>
              </w:rPr>
              <w:t> </w:t>
            </w:r>
          </w:p>
        </w:tc>
        <w:tc>
          <w:tcPr>
            <w:tcW w:w="954" w:type="dxa"/>
            <w:tcBorders>
              <w:top w:val="nil"/>
              <w:left w:val="nil"/>
              <w:bottom w:val="single" w:sz="4" w:space="0" w:color="auto"/>
              <w:right w:val="double" w:sz="6" w:space="0" w:color="auto"/>
            </w:tcBorders>
            <w:shd w:val="clear" w:color="000000" w:fill="BFBFBF"/>
          </w:tcPr>
          <w:p w14:paraId="22FD6F51" w14:textId="77777777" w:rsidR="004061ED" w:rsidRPr="00A954A0" w:rsidRDefault="004061ED" w:rsidP="000C423F">
            <w:pPr>
              <w:spacing w:after="0" w:line="240" w:lineRule="auto"/>
              <w:jc w:val="right"/>
              <w:rPr>
                <w:rFonts w:ascii="Arial" w:eastAsia="Times New Roman" w:hAnsi="Arial" w:cs="Arial"/>
                <w:b/>
                <w:bCs/>
                <w:color w:val="000000" w:themeColor="text1"/>
                <w:sz w:val="16"/>
                <w:szCs w:val="16"/>
              </w:rPr>
            </w:pPr>
          </w:p>
        </w:tc>
      </w:tr>
      <w:tr w:rsidR="00050575" w:rsidRPr="00AC1971" w14:paraId="68783DCF" w14:textId="6FA44CAA" w:rsidTr="009A5DDE">
        <w:trPr>
          <w:trHeight w:val="680"/>
        </w:trPr>
        <w:tc>
          <w:tcPr>
            <w:tcW w:w="544" w:type="dxa"/>
            <w:tcBorders>
              <w:top w:val="nil"/>
              <w:left w:val="double" w:sz="6" w:space="0" w:color="auto"/>
              <w:bottom w:val="single" w:sz="4" w:space="0" w:color="auto"/>
              <w:right w:val="single" w:sz="4" w:space="0" w:color="auto"/>
            </w:tcBorders>
            <w:shd w:val="clear" w:color="000000" w:fill="FFFFFF"/>
            <w:vAlign w:val="bottom"/>
            <w:hideMark/>
          </w:tcPr>
          <w:p w14:paraId="2C19E3A8" w14:textId="77777777" w:rsidR="003A7C2F" w:rsidRPr="00AC1971" w:rsidRDefault="003A7C2F" w:rsidP="003A7C2F">
            <w:pPr>
              <w:spacing w:after="0" w:line="240" w:lineRule="auto"/>
              <w:rPr>
                <w:rFonts w:ascii="Arial" w:eastAsia="Times New Roman" w:hAnsi="Arial" w:cs="Arial"/>
                <w:b/>
                <w:bCs/>
                <w:color w:val="000000" w:themeColor="text1"/>
                <w:sz w:val="16"/>
                <w:szCs w:val="16"/>
              </w:rPr>
            </w:pPr>
            <w:r w:rsidRPr="00AC1971">
              <w:rPr>
                <w:rFonts w:ascii="Arial" w:eastAsia="Times New Roman" w:hAnsi="Arial" w:cs="Arial"/>
                <w:b/>
                <w:bCs/>
                <w:color w:val="000000" w:themeColor="text1"/>
                <w:sz w:val="16"/>
                <w:szCs w:val="16"/>
              </w:rPr>
              <w:t> </w:t>
            </w:r>
          </w:p>
          <w:p w14:paraId="36F446CB" w14:textId="2B751375" w:rsidR="003A7C2F" w:rsidRPr="00AC1971" w:rsidRDefault="003A7C2F" w:rsidP="003A7C2F">
            <w:pPr>
              <w:spacing w:after="0" w:line="240" w:lineRule="auto"/>
              <w:rPr>
                <w:rFonts w:ascii="Arial" w:eastAsia="Times New Roman" w:hAnsi="Arial" w:cs="Arial"/>
                <w:b/>
                <w:bCs/>
                <w:color w:val="000000" w:themeColor="text1"/>
                <w:sz w:val="16"/>
                <w:szCs w:val="16"/>
              </w:rPr>
            </w:pPr>
            <w:r w:rsidRPr="00AC1971">
              <w:rPr>
                <w:rFonts w:ascii="Arial" w:eastAsia="Times New Roman" w:hAnsi="Arial" w:cs="Arial"/>
                <w:b/>
                <w:bCs/>
                <w:color w:val="000000" w:themeColor="text1"/>
                <w:sz w:val="16"/>
                <w:szCs w:val="16"/>
                <w:lang w:val="en-GB"/>
              </w:rPr>
              <w:t>1</w:t>
            </w:r>
          </w:p>
        </w:tc>
        <w:tc>
          <w:tcPr>
            <w:tcW w:w="1372" w:type="dxa"/>
            <w:tcBorders>
              <w:top w:val="nil"/>
              <w:left w:val="nil"/>
              <w:bottom w:val="single" w:sz="4" w:space="0" w:color="auto"/>
              <w:right w:val="single" w:sz="4" w:space="0" w:color="auto"/>
            </w:tcBorders>
            <w:shd w:val="clear" w:color="000000" w:fill="FFFFFF"/>
            <w:vAlign w:val="bottom"/>
            <w:hideMark/>
          </w:tcPr>
          <w:p w14:paraId="7E6105D2" w14:textId="77777777" w:rsidR="003A7C2F" w:rsidRPr="00AC1971" w:rsidRDefault="003A7C2F" w:rsidP="003A7C2F">
            <w:pPr>
              <w:spacing w:after="0" w:line="240" w:lineRule="auto"/>
              <w:jc w:val="both"/>
              <w:rPr>
                <w:rFonts w:ascii="Arial" w:eastAsia="Times New Roman" w:hAnsi="Arial" w:cs="Arial"/>
                <w:b/>
                <w:bCs/>
                <w:color w:val="000000" w:themeColor="text1"/>
                <w:sz w:val="16"/>
                <w:szCs w:val="16"/>
              </w:rPr>
            </w:pPr>
            <w:r w:rsidRPr="00AC1971">
              <w:rPr>
                <w:rFonts w:ascii="Arial" w:eastAsia="Times New Roman" w:hAnsi="Arial" w:cs="Arial"/>
                <w:b/>
                <w:bCs/>
                <w:color w:val="000000" w:themeColor="text1"/>
                <w:sz w:val="16"/>
                <w:szCs w:val="16"/>
              </w:rPr>
              <w:t> </w:t>
            </w:r>
          </w:p>
          <w:p w14:paraId="7D954A4A" w14:textId="5C4A5814" w:rsidR="003A7C2F" w:rsidRPr="00AC1971" w:rsidRDefault="004848DD" w:rsidP="003A7C2F">
            <w:pPr>
              <w:jc w:val="both"/>
              <w:rPr>
                <w:rFonts w:ascii="Arial" w:eastAsia="Times New Roman" w:hAnsi="Arial" w:cs="Arial"/>
                <w:b/>
                <w:bCs/>
                <w:color w:val="000000" w:themeColor="text1"/>
                <w:sz w:val="16"/>
                <w:szCs w:val="16"/>
                <w:lang w:val="en-US"/>
              </w:rPr>
            </w:pPr>
            <w:r w:rsidRPr="00AC1971">
              <w:rPr>
                <w:rFonts w:ascii="Arial" w:eastAsia="Times New Roman" w:hAnsi="Arial" w:cs="Arial"/>
                <w:b/>
                <w:bCs/>
                <w:color w:val="000000" w:themeColor="text1"/>
                <w:sz w:val="16"/>
                <w:szCs w:val="16"/>
                <w:lang w:val="en-US"/>
              </w:rPr>
              <w:t>Program Coordination</w:t>
            </w:r>
          </w:p>
          <w:p w14:paraId="544CAFC3" w14:textId="00ACC07C" w:rsidR="003A7C2F" w:rsidRPr="00AC1971" w:rsidRDefault="003A7C2F" w:rsidP="003A7C2F">
            <w:pPr>
              <w:spacing w:after="0" w:line="240" w:lineRule="auto"/>
              <w:jc w:val="both"/>
              <w:rPr>
                <w:rFonts w:ascii="Arial" w:eastAsia="Times New Roman" w:hAnsi="Arial" w:cs="Arial"/>
                <w:b/>
                <w:bCs/>
                <w:color w:val="000000" w:themeColor="text1"/>
                <w:sz w:val="16"/>
                <w:szCs w:val="16"/>
              </w:rPr>
            </w:pPr>
          </w:p>
        </w:tc>
        <w:tc>
          <w:tcPr>
            <w:tcW w:w="1017" w:type="dxa"/>
            <w:tcBorders>
              <w:top w:val="nil"/>
              <w:left w:val="nil"/>
              <w:bottom w:val="single" w:sz="4" w:space="0" w:color="auto"/>
              <w:right w:val="single" w:sz="4" w:space="0" w:color="auto"/>
            </w:tcBorders>
            <w:shd w:val="clear" w:color="000000" w:fill="FFFFFF"/>
            <w:vAlign w:val="bottom"/>
            <w:hideMark/>
          </w:tcPr>
          <w:p w14:paraId="63EC930A"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5F3E40AC"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1CFFB9C3" w14:textId="4BBFE1A0" w:rsidR="003A7C2F" w:rsidRPr="00AC1971" w:rsidRDefault="00463007" w:rsidP="009D6703">
            <w:pPr>
              <w:spacing w:after="0" w:line="240" w:lineRule="auto"/>
              <w:jc w:val="right"/>
              <w:rPr>
                <w:rFonts w:ascii="Arial" w:eastAsia="Times New Roman" w:hAnsi="Arial" w:cs="Arial"/>
                <w:color w:val="000000" w:themeColor="text1"/>
                <w:sz w:val="16"/>
                <w:szCs w:val="16"/>
                <w:lang w:val="en-US"/>
              </w:rPr>
            </w:pPr>
            <w:r w:rsidRPr="00AC1971">
              <w:rPr>
                <w:rFonts w:ascii="Arial" w:eastAsia="Times New Roman" w:hAnsi="Arial" w:cs="Arial"/>
                <w:color w:val="000000" w:themeColor="text1"/>
                <w:sz w:val="16"/>
                <w:szCs w:val="16"/>
                <w:lang w:val="en-US"/>
              </w:rPr>
              <w:t>2</w:t>
            </w:r>
            <w:r w:rsidRPr="00AC1971">
              <w:rPr>
                <w:rFonts w:ascii="Arial" w:eastAsia="Times New Roman" w:hAnsi="Arial" w:cs="Arial"/>
                <w:color w:val="000000" w:themeColor="text1"/>
                <w:sz w:val="16"/>
                <w:szCs w:val="16"/>
              </w:rPr>
              <w:t>26,904.50</w:t>
            </w:r>
          </w:p>
        </w:tc>
        <w:tc>
          <w:tcPr>
            <w:tcW w:w="1017" w:type="dxa"/>
            <w:tcBorders>
              <w:top w:val="nil"/>
              <w:left w:val="nil"/>
              <w:bottom w:val="single" w:sz="4" w:space="0" w:color="auto"/>
              <w:right w:val="single" w:sz="4" w:space="0" w:color="auto"/>
            </w:tcBorders>
            <w:shd w:val="clear" w:color="000000" w:fill="FFFFFF"/>
            <w:vAlign w:val="bottom"/>
            <w:hideMark/>
          </w:tcPr>
          <w:p w14:paraId="1F5BD717"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2E027EA9"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1986333A" w14:textId="32E90138" w:rsidR="003A7C2F" w:rsidRPr="00AC1971" w:rsidRDefault="00995AEF" w:rsidP="009D6703">
            <w:pPr>
              <w:spacing w:after="0" w:line="240" w:lineRule="auto"/>
              <w:jc w:val="right"/>
              <w:rPr>
                <w:rFonts w:ascii="Arial" w:eastAsia="Times New Roman" w:hAnsi="Arial" w:cs="Arial"/>
                <w:color w:val="000000" w:themeColor="text1"/>
                <w:sz w:val="16"/>
                <w:szCs w:val="16"/>
                <w:lang w:val="en-US"/>
              </w:rPr>
            </w:pPr>
            <w:r w:rsidRPr="00AC1971">
              <w:rPr>
                <w:rFonts w:ascii="Arial" w:eastAsia="Times New Roman" w:hAnsi="Arial" w:cs="Arial"/>
                <w:color w:val="000000" w:themeColor="text1"/>
                <w:sz w:val="16"/>
                <w:szCs w:val="16"/>
                <w:lang w:val="en-US"/>
              </w:rPr>
              <w:t>244,351.00</w:t>
            </w:r>
          </w:p>
        </w:tc>
        <w:tc>
          <w:tcPr>
            <w:tcW w:w="928" w:type="dxa"/>
            <w:tcBorders>
              <w:top w:val="nil"/>
              <w:left w:val="nil"/>
              <w:bottom w:val="single" w:sz="4" w:space="0" w:color="auto"/>
              <w:right w:val="single" w:sz="4" w:space="0" w:color="auto"/>
            </w:tcBorders>
            <w:shd w:val="clear" w:color="000000" w:fill="FFFFFF"/>
            <w:vAlign w:val="bottom"/>
            <w:hideMark/>
          </w:tcPr>
          <w:p w14:paraId="3838A370"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68C08FC1" w14:textId="04446AAB"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4FBCE388" w14:textId="7674C60B" w:rsidR="007561FA" w:rsidRPr="00AC1971" w:rsidRDefault="00284C1F" w:rsidP="009D6703">
            <w:pPr>
              <w:spacing w:after="0" w:line="240" w:lineRule="auto"/>
              <w:jc w:val="right"/>
              <w:rPr>
                <w:rFonts w:ascii="Arial" w:eastAsia="Times New Roman" w:hAnsi="Arial" w:cs="Arial"/>
                <w:color w:val="000000" w:themeColor="text1"/>
                <w:sz w:val="16"/>
                <w:szCs w:val="16"/>
                <w:lang w:val="en-US"/>
              </w:rPr>
            </w:pPr>
            <w:r w:rsidRPr="00AC1971">
              <w:rPr>
                <w:rFonts w:ascii="Arial" w:eastAsia="Times New Roman" w:hAnsi="Arial" w:cs="Arial"/>
                <w:color w:val="000000" w:themeColor="text1"/>
                <w:sz w:val="16"/>
                <w:szCs w:val="16"/>
                <w:lang w:val="en-US"/>
              </w:rPr>
              <w:t>7</w:t>
            </w:r>
            <w:r w:rsidR="00801617" w:rsidRPr="00AC1971">
              <w:rPr>
                <w:rFonts w:ascii="Arial" w:eastAsia="Times New Roman" w:hAnsi="Arial" w:cs="Arial"/>
                <w:color w:val="000000" w:themeColor="text1"/>
                <w:sz w:val="16"/>
                <w:szCs w:val="16"/>
                <w:lang w:val="en-US"/>
              </w:rPr>
              <w:t>8,</w:t>
            </w:r>
            <w:r w:rsidR="001F0E4B" w:rsidRPr="00AC1971">
              <w:rPr>
                <w:rFonts w:ascii="Arial" w:eastAsia="Times New Roman" w:hAnsi="Arial" w:cs="Arial"/>
                <w:color w:val="000000" w:themeColor="text1"/>
                <w:sz w:val="16"/>
                <w:szCs w:val="16"/>
                <w:lang w:val="en-US"/>
              </w:rPr>
              <w:t>796.00</w:t>
            </w:r>
          </w:p>
          <w:p w14:paraId="4C67F330" w14:textId="02BE9BBD" w:rsidR="003A7C2F" w:rsidRPr="00AC1971" w:rsidRDefault="003A7C2F" w:rsidP="009D6703">
            <w:pPr>
              <w:spacing w:after="0" w:line="240" w:lineRule="auto"/>
              <w:jc w:val="right"/>
              <w:rPr>
                <w:rFonts w:ascii="Arial" w:eastAsia="Times New Roman" w:hAnsi="Arial" w:cs="Arial"/>
                <w:color w:val="000000" w:themeColor="text1"/>
                <w:sz w:val="16"/>
                <w:szCs w:val="16"/>
                <w:lang w:val="en-US"/>
              </w:rPr>
            </w:pPr>
          </w:p>
        </w:tc>
        <w:tc>
          <w:tcPr>
            <w:tcW w:w="1017" w:type="dxa"/>
            <w:tcBorders>
              <w:top w:val="nil"/>
              <w:left w:val="nil"/>
              <w:bottom w:val="single" w:sz="4" w:space="0" w:color="auto"/>
              <w:right w:val="single" w:sz="4" w:space="0" w:color="auto"/>
            </w:tcBorders>
            <w:shd w:val="clear" w:color="000000" w:fill="FFFFFF"/>
            <w:vAlign w:val="bottom"/>
            <w:hideMark/>
          </w:tcPr>
          <w:p w14:paraId="0C2C3F91" w14:textId="77777777" w:rsidR="008278A8" w:rsidRPr="00AC1971" w:rsidRDefault="008278A8" w:rsidP="009D6703">
            <w:pPr>
              <w:spacing w:after="0" w:line="240" w:lineRule="auto"/>
              <w:jc w:val="right"/>
              <w:rPr>
                <w:rFonts w:ascii="Arial" w:eastAsia="Times New Roman" w:hAnsi="Arial" w:cs="Arial"/>
                <w:color w:val="000000" w:themeColor="text1"/>
                <w:sz w:val="16"/>
                <w:szCs w:val="16"/>
              </w:rPr>
            </w:pPr>
          </w:p>
          <w:p w14:paraId="4AE95E57" w14:textId="4FBDC543" w:rsidR="003A7C2F" w:rsidRPr="00AC1971" w:rsidRDefault="00F5073B" w:rsidP="009D6703">
            <w:pPr>
              <w:spacing w:after="0" w:line="240" w:lineRule="auto"/>
              <w:jc w:val="right"/>
              <w:rPr>
                <w:rFonts w:ascii="Arial" w:eastAsia="Times New Roman" w:hAnsi="Arial" w:cs="Arial"/>
                <w:color w:val="000000" w:themeColor="text1"/>
                <w:sz w:val="16"/>
                <w:szCs w:val="16"/>
                <w:lang w:val="en-US"/>
              </w:rPr>
            </w:pPr>
            <w:r w:rsidRPr="00AC1971">
              <w:rPr>
                <w:rFonts w:ascii="Arial" w:eastAsia="Times New Roman" w:hAnsi="Arial" w:cs="Arial"/>
                <w:color w:val="000000" w:themeColor="text1"/>
                <w:sz w:val="16"/>
                <w:szCs w:val="16"/>
                <w:lang w:val="en-US"/>
              </w:rPr>
              <w:t xml:space="preserve">          </w:t>
            </w:r>
            <w:r w:rsidR="008278A8" w:rsidRPr="00AC1971">
              <w:rPr>
                <w:rFonts w:ascii="Arial" w:eastAsia="Times New Roman" w:hAnsi="Arial" w:cs="Arial"/>
                <w:color w:val="000000" w:themeColor="text1"/>
                <w:sz w:val="16"/>
                <w:szCs w:val="16"/>
                <w:lang w:val="en-US"/>
              </w:rPr>
              <w:t>1</w:t>
            </w:r>
            <w:r w:rsidR="009C4F5D" w:rsidRPr="00AC1971">
              <w:rPr>
                <w:rFonts w:ascii="Arial" w:eastAsia="Times New Roman" w:hAnsi="Arial" w:cs="Arial"/>
                <w:color w:val="000000" w:themeColor="text1"/>
                <w:sz w:val="16"/>
                <w:szCs w:val="16"/>
                <w:lang w:val="en-US"/>
              </w:rPr>
              <w:t>04,679</w:t>
            </w:r>
            <w:r w:rsidR="00535E44" w:rsidRPr="00AC1971">
              <w:rPr>
                <w:rFonts w:ascii="Arial" w:eastAsia="Times New Roman" w:hAnsi="Arial" w:cs="Arial"/>
                <w:color w:val="000000" w:themeColor="text1"/>
                <w:sz w:val="16"/>
                <w:szCs w:val="16"/>
                <w:lang w:val="en-US"/>
              </w:rPr>
              <w:t>.00</w:t>
            </w:r>
          </w:p>
        </w:tc>
        <w:tc>
          <w:tcPr>
            <w:tcW w:w="1017" w:type="dxa"/>
            <w:tcBorders>
              <w:top w:val="nil"/>
              <w:left w:val="nil"/>
              <w:bottom w:val="single" w:sz="4" w:space="0" w:color="auto"/>
              <w:right w:val="nil"/>
            </w:tcBorders>
            <w:shd w:val="clear" w:color="000000" w:fill="FFFFFF"/>
            <w:vAlign w:val="bottom"/>
            <w:hideMark/>
          </w:tcPr>
          <w:p w14:paraId="179D7735"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16F5253E"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75D50AA4" w14:textId="0A1A7279" w:rsidR="003A7C2F" w:rsidRPr="00AC1971" w:rsidRDefault="008361C9" w:rsidP="009D6703">
            <w:pPr>
              <w:spacing w:after="0" w:line="240" w:lineRule="auto"/>
              <w:jc w:val="right"/>
              <w:rPr>
                <w:rFonts w:ascii="Arial" w:eastAsia="Times New Roman" w:hAnsi="Arial" w:cs="Arial"/>
                <w:color w:val="000000" w:themeColor="text1"/>
                <w:sz w:val="16"/>
                <w:szCs w:val="16"/>
                <w:lang w:val="en-US"/>
              </w:rPr>
            </w:pPr>
            <w:r w:rsidRPr="00AC1971">
              <w:rPr>
                <w:rFonts w:ascii="Arial" w:eastAsia="Times New Roman" w:hAnsi="Arial" w:cs="Arial"/>
                <w:color w:val="000000" w:themeColor="text1"/>
                <w:sz w:val="16"/>
                <w:szCs w:val="16"/>
                <w:lang w:val="en-US"/>
              </w:rPr>
              <w:t>18</w:t>
            </w:r>
            <w:r w:rsidR="00D0466F" w:rsidRPr="00AC1971">
              <w:rPr>
                <w:rFonts w:ascii="Arial" w:eastAsia="Times New Roman" w:hAnsi="Arial" w:cs="Arial"/>
                <w:color w:val="000000" w:themeColor="text1"/>
                <w:sz w:val="16"/>
                <w:szCs w:val="16"/>
                <w:lang w:val="en-US"/>
              </w:rPr>
              <w:t>3</w:t>
            </w:r>
            <w:r w:rsidR="00674D16" w:rsidRPr="00AC1971">
              <w:rPr>
                <w:rFonts w:ascii="Arial" w:eastAsia="Times New Roman" w:hAnsi="Arial" w:cs="Arial"/>
                <w:color w:val="000000" w:themeColor="text1"/>
                <w:sz w:val="16"/>
                <w:szCs w:val="16"/>
                <w:lang w:val="en-US"/>
              </w:rPr>
              <w:t>,475</w:t>
            </w:r>
            <w:r w:rsidR="003D331E" w:rsidRPr="00AC1971">
              <w:rPr>
                <w:rFonts w:ascii="Arial" w:eastAsia="Times New Roman" w:hAnsi="Arial" w:cs="Arial"/>
                <w:color w:val="000000" w:themeColor="text1"/>
                <w:sz w:val="16"/>
                <w:szCs w:val="16"/>
                <w:lang w:val="en-US"/>
              </w:rPr>
              <w:t>.</w:t>
            </w:r>
            <w:r w:rsidR="00535E44" w:rsidRPr="00AC1971">
              <w:rPr>
                <w:rFonts w:ascii="Arial" w:eastAsia="Times New Roman" w:hAnsi="Arial" w:cs="Arial"/>
                <w:color w:val="000000" w:themeColor="text1"/>
                <w:sz w:val="16"/>
                <w:szCs w:val="16"/>
                <w:lang w:val="en-US"/>
              </w:rPr>
              <w:t>00</w:t>
            </w:r>
          </w:p>
        </w:tc>
        <w:tc>
          <w:tcPr>
            <w:tcW w:w="990" w:type="dxa"/>
            <w:tcBorders>
              <w:top w:val="nil"/>
              <w:left w:val="double" w:sz="6" w:space="0" w:color="auto"/>
              <w:bottom w:val="single" w:sz="4" w:space="0" w:color="auto"/>
              <w:right w:val="single" w:sz="4" w:space="0" w:color="auto"/>
            </w:tcBorders>
            <w:shd w:val="clear" w:color="000000" w:fill="FFFFFF"/>
            <w:vAlign w:val="bottom"/>
            <w:hideMark/>
          </w:tcPr>
          <w:p w14:paraId="7A64BAB4"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20F93B25"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09062A05" w14:textId="1D80E4FF" w:rsidR="003A7C2F" w:rsidRPr="00AC1971" w:rsidRDefault="00913BC3" w:rsidP="009D6703">
            <w:pPr>
              <w:spacing w:after="0" w:line="240" w:lineRule="auto"/>
              <w:jc w:val="right"/>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 xml:space="preserve">    </w:t>
            </w:r>
            <w:r w:rsidR="00871F77" w:rsidRPr="00AC1971">
              <w:rPr>
                <w:rFonts w:ascii="Arial" w:eastAsia="Times New Roman" w:hAnsi="Arial" w:cs="Arial"/>
                <w:color w:val="000000" w:themeColor="text1"/>
                <w:sz w:val="16"/>
                <w:szCs w:val="16"/>
                <w:lang w:val="en-US"/>
              </w:rPr>
              <w:t>32</w:t>
            </w:r>
          </w:p>
        </w:tc>
        <w:tc>
          <w:tcPr>
            <w:tcW w:w="990" w:type="dxa"/>
            <w:tcBorders>
              <w:top w:val="nil"/>
              <w:left w:val="nil"/>
              <w:bottom w:val="single" w:sz="4" w:space="0" w:color="auto"/>
              <w:right w:val="double" w:sz="6" w:space="0" w:color="auto"/>
            </w:tcBorders>
            <w:shd w:val="clear" w:color="000000" w:fill="FFFFFF"/>
            <w:vAlign w:val="bottom"/>
            <w:hideMark/>
          </w:tcPr>
          <w:p w14:paraId="2447955A"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5C247A85"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4C86BFC8" w14:textId="57E96D90" w:rsidR="003A7C2F" w:rsidRPr="00AC1971" w:rsidRDefault="006E0920"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7</w:t>
            </w:r>
            <w:r w:rsidR="007A18E8" w:rsidRPr="00AC1971">
              <w:rPr>
                <w:rFonts w:ascii="Arial" w:eastAsia="Times New Roman" w:hAnsi="Arial" w:cs="Arial"/>
                <w:color w:val="000000" w:themeColor="text1"/>
                <w:sz w:val="16"/>
                <w:szCs w:val="16"/>
                <w:lang w:val="en-GB"/>
              </w:rPr>
              <w:t>5</w:t>
            </w:r>
          </w:p>
        </w:tc>
        <w:tc>
          <w:tcPr>
            <w:tcW w:w="954" w:type="dxa"/>
            <w:tcBorders>
              <w:top w:val="nil"/>
              <w:left w:val="nil"/>
              <w:bottom w:val="single" w:sz="4" w:space="0" w:color="auto"/>
              <w:right w:val="double" w:sz="6" w:space="0" w:color="auto"/>
            </w:tcBorders>
            <w:shd w:val="clear" w:color="000000" w:fill="FFFFFF"/>
            <w:vAlign w:val="bottom"/>
          </w:tcPr>
          <w:p w14:paraId="5E795547"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6FC96AB1"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0D1E1896" w14:textId="63563596" w:rsidR="003A7C2F" w:rsidRPr="00AC1971" w:rsidRDefault="00F81BDC" w:rsidP="009D6703">
            <w:pPr>
              <w:spacing w:after="0" w:line="240" w:lineRule="auto"/>
              <w:jc w:val="right"/>
              <w:rPr>
                <w:rFonts w:ascii="Arial" w:eastAsia="Times New Roman" w:hAnsi="Arial" w:cs="Arial"/>
                <w:color w:val="000000" w:themeColor="text1"/>
                <w:sz w:val="16"/>
                <w:szCs w:val="16"/>
              </w:rPr>
            </w:pPr>
            <w:r w:rsidRPr="00AC1971">
              <w:rPr>
                <w:rFonts w:ascii="Arial" w:eastAsia="Times New Roman" w:hAnsi="Arial" w:cs="Arial"/>
                <w:color w:val="000000" w:themeColor="text1"/>
                <w:sz w:val="16"/>
                <w:szCs w:val="16"/>
                <w:lang w:val="en-US"/>
              </w:rPr>
              <w:t>-</w:t>
            </w:r>
          </w:p>
        </w:tc>
      </w:tr>
      <w:tr w:rsidR="00050575" w:rsidRPr="00AC1971" w14:paraId="733EBE3D" w14:textId="56A1EBA9" w:rsidTr="009A5DDE">
        <w:trPr>
          <w:trHeight w:val="300"/>
        </w:trPr>
        <w:tc>
          <w:tcPr>
            <w:tcW w:w="544" w:type="dxa"/>
            <w:tcBorders>
              <w:top w:val="nil"/>
              <w:left w:val="double" w:sz="6" w:space="0" w:color="auto"/>
              <w:bottom w:val="single" w:sz="4" w:space="0" w:color="auto"/>
              <w:right w:val="single" w:sz="4" w:space="0" w:color="auto"/>
            </w:tcBorders>
            <w:shd w:val="clear" w:color="000000" w:fill="FFFFFF"/>
            <w:vAlign w:val="bottom"/>
          </w:tcPr>
          <w:p w14:paraId="2F49ED2E" w14:textId="77777777" w:rsidR="003A7C2F" w:rsidRPr="00AC1971" w:rsidRDefault="003A7C2F" w:rsidP="003A7C2F">
            <w:pPr>
              <w:spacing w:after="0" w:line="240" w:lineRule="auto"/>
              <w:rPr>
                <w:rFonts w:ascii="Arial" w:eastAsia="Times New Roman" w:hAnsi="Arial" w:cs="Arial"/>
                <w:b/>
                <w:bCs/>
                <w:color w:val="000000" w:themeColor="text1"/>
                <w:sz w:val="16"/>
                <w:szCs w:val="16"/>
              </w:rPr>
            </w:pPr>
          </w:p>
          <w:p w14:paraId="298B32B7" w14:textId="421CD78D" w:rsidR="003A7C2F" w:rsidRPr="00AC1971" w:rsidRDefault="003A7C2F" w:rsidP="003A7C2F">
            <w:pPr>
              <w:spacing w:after="0" w:line="240" w:lineRule="auto"/>
              <w:rPr>
                <w:rFonts w:ascii="Arial" w:eastAsia="Times New Roman" w:hAnsi="Arial" w:cs="Arial"/>
                <w:b/>
                <w:bCs/>
                <w:color w:val="000000" w:themeColor="text1"/>
                <w:sz w:val="16"/>
                <w:szCs w:val="16"/>
                <w:lang w:val="en-GB"/>
              </w:rPr>
            </w:pPr>
            <w:r w:rsidRPr="00AC1971">
              <w:rPr>
                <w:rFonts w:ascii="Arial" w:eastAsia="Times New Roman" w:hAnsi="Arial" w:cs="Arial"/>
                <w:b/>
                <w:bCs/>
                <w:color w:val="000000" w:themeColor="text1"/>
                <w:sz w:val="16"/>
                <w:szCs w:val="16"/>
                <w:lang w:val="en-GB"/>
              </w:rPr>
              <w:t>2</w:t>
            </w:r>
          </w:p>
        </w:tc>
        <w:tc>
          <w:tcPr>
            <w:tcW w:w="1372" w:type="dxa"/>
            <w:tcBorders>
              <w:top w:val="nil"/>
              <w:left w:val="nil"/>
              <w:bottom w:val="single" w:sz="4" w:space="0" w:color="auto"/>
              <w:right w:val="single" w:sz="4" w:space="0" w:color="auto"/>
            </w:tcBorders>
            <w:shd w:val="clear" w:color="000000" w:fill="FFFFFF"/>
            <w:vAlign w:val="bottom"/>
          </w:tcPr>
          <w:p w14:paraId="5C256EBF" w14:textId="767F1C7B" w:rsidR="003A7C2F" w:rsidRPr="00AC1971" w:rsidRDefault="00556D1A" w:rsidP="003A7C2F">
            <w:pPr>
              <w:spacing w:after="0" w:line="240" w:lineRule="auto"/>
              <w:jc w:val="both"/>
              <w:rPr>
                <w:rFonts w:ascii="Arial" w:eastAsia="Times New Roman" w:hAnsi="Arial" w:cs="Arial"/>
                <w:b/>
                <w:bCs/>
                <w:color w:val="000000" w:themeColor="text1"/>
                <w:sz w:val="16"/>
                <w:szCs w:val="16"/>
                <w:lang w:val="en-US"/>
              </w:rPr>
            </w:pPr>
            <w:r w:rsidRPr="00AC1971">
              <w:rPr>
                <w:rFonts w:ascii="Arial" w:eastAsia="Times New Roman" w:hAnsi="Arial" w:cs="Arial"/>
                <w:b/>
                <w:bCs/>
                <w:color w:val="000000" w:themeColor="text1"/>
                <w:sz w:val="16"/>
                <w:szCs w:val="16"/>
                <w:lang w:val="en-US"/>
              </w:rPr>
              <w:t>Program</w:t>
            </w:r>
            <w:r w:rsidR="001731A7" w:rsidRPr="00AC1971">
              <w:rPr>
                <w:rFonts w:ascii="Arial" w:eastAsia="Times New Roman" w:hAnsi="Arial" w:cs="Arial"/>
                <w:b/>
                <w:bCs/>
                <w:color w:val="000000" w:themeColor="text1"/>
                <w:sz w:val="16"/>
                <w:szCs w:val="16"/>
                <w:lang w:val="en-US"/>
              </w:rPr>
              <w:t xml:space="preserve"> Supervision /Technical Missions/ Financial Management</w:t>
            </w:r>
          </w:p>
        </w:tc>
        <w:tc>
          <w:tcPr>
            <w:tcW w:w="1017" w:type="dxa"/>
            <w:tcBorders>
              <w:top w:val="nil"/>
              <w:left w:val="nil"/>
              <w:bottom w:val="single" w:sz="4" w:space="0" w:color="auto"/>
              <w:right w:val="single" w:sz="4" w:space="0" w:color="auto"/>
            </w:tcBorders>
            <w:shd w:val="clear" w:color="000000" w:fill="FFFFFF"/>
            <w:vAlign w:val="bottom"/>
          </w:tcPr>
          <w:p w14:paraId="6B669431"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20D41C3D" w14:textId="77777777" w:rsidR="004D489C" w:rsidRPr="00AC1971" w:rsidRDefault="004D489C" w:rsidP="009D6703">
            <w:pPr>
              <w:spacing w:after="0" w:line="240" w:lineRule="auto"/>
              <w:jc w:val="right"/>
              <w:rPr>
                <w:rFonts w:ascii="Arial" w:eastAsia="Times New Roman" w:hAnsi="Arial" w:cs="Arial"/>
                <w:color w:val="000000" w:themeColor="text1"/>
                <w:sz w:val="16"/>
                <w:szCs w:val="16"/>
                <w:lang w:val="en-GB"/>
              </w:rPr>
            </w:pPr>
          </w:p>
          <w:p w14:paraId="78309C77" w14:textId="77777777" w:rsidR="004D489C" w:rsidRPr="00AC1971" w:rsidRDefault="004D489C" w:rsidP="009D6703">
            <w:pPr>
              <w:spacing w:after="0" w:line="240" w:lineRule="auto"/>
              <w:jc w:val="right"/>
              <w:rPr>
                <w:rFonts w:ascii="Arial" w:eastAsia="Times New Roman" w:hAnsi="Arial" w:cs="Arial"/>
                <w:color w:val="000000" w:themeColor="text1"/>
                <w:sz w:val="16"/>
                <w:szCs w:val="16"/>
                <w:lang w:val="en-GB"/>
              </w:rPr>
            </w:pPr>
          </w:p>
          <w:p w14:paraId="23166E2E" w14:textId="0B72D1D7" w:rsidR="003A7C2F" w:rsidRPr="00AC1971" w:rsidRDefault="00F42D59"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68,173.55</w:t>
            </w:r>
          </w:p>
        </w:tc>
        <w:tc>
          <w:tcPr>
            <w:tcW w:w="1017" w:type="dxa"/>
            <w:tcBorders>
              <w:top w:val="nil"/>
              <w:left w:val="nil"/>
              <w:bottom w:val="single" w:sz="4" w:space="0" w:color="auto"/>
              <w:right w:val="single" w:sz="4" w:space="0" w:color="auto"/>
            </w:tcBorders>
            <w:shd w:val="clear" w:color="000000" w:fill="FFFFFF"/>
            <w:vAlign w:val="bottom"/>
          </w:tcPr>
          <w:p w14:paraId="3E912B6B" w14:textId="77777777" w:rsidR="003A7C2F" w:rsidRPr="00AC1971" w:rsidRDefault="003A7C2F" w:rsidP="009D6703">
            <w:pPr>
              <w:spacing w:after="0" w:line="240" w:lineRule="auto"/>
              <w:jc w:val="right"/>
              <w:rPr>
                <w:rFonts w:ascii="Arial" w:eastAsia="Times New Roman" w:hAnsi="Arial" w:cs="Arial"/>
                <w:color w:val="000000" w:themeColor="text1"/>
                <w:sz w:val="16"/>
                <w:szCs w:val="16"/>
                <w:lang w:val="en-US"/>
              </w:rPr>
            </w:pPr>
          </w:p>
          <w:p w14:paraId="1F33FD11" w14:textId="77777777" w:rsidR="00E135CF" w:rsidRPr="00AC1971" w:rsidRDefault="00E135CF" w:rsidP="009D6703">
            <w:pPr>
              <w:spacing w:after="0" w:line="240" w:lineRule="auto"/>
              <w:jc w:val="right"/>
              <w:rPr>
                <w:rFonts w:ascii="Arial" w:eastAsia="Times New Roman" w:hAnsi="Arial" w:cs="Arial"/>
                <w:color w:val="000000" w:themeColor="text1"/>
                <w:sz w:val="16"/>
                <w:szCs w:val="16"/>
                <w:lang w:val="en-US"/>
              </w:rPr>
            </w:pPr>
          </w:p>
          <w:p w14:paraId="5C9AE72D" w14:textId="77777777" w:rsidR="00E135CF" w:rsidRPr="00AC1971" w:rsidRDefault="00E135CF" w:rsidP="009D6703">
            <w:pPr>
              <w:spacing w:after="0" w:line="240" w:lineRule="auto"/>
              <w:jc w:val="right"/>
              <w:rPr>
                <w:rFonts w:ascii="Arial" w:eastAsia="Times New Roman" w:hAnsi="Arial" w:cs="Arial"/>
                <w:color w:val="000000" w:themeColor="text1"/>
                <w:sz w:val="16"/>
                <w:szCs w:val="16"/>
                <w:lang w:val="en-US"/>
              </w:rPr>
            </w:pPr>
          </w:p>
          <w:p w14:paraId="2E8D978E" w14:textId="7F518F5E" w:rsidR="00E135CF" w:rsidRPr="00AC1971" w:rsidRDefault="00E135CF" w:rsidP="009D6703">
            <w:pPr>
              <w:spacing w:after="0" w:line="240" w:lineRule="auto"/>
              <w:jc w:val="right"/>
              <w:rPr>
                <w:rFonts w:ascii="Arial" w:eastAsia="Times New Roman" w:hAnsi="Arial" w:cs="Arial"/>
                <w:color w:val="000000" w:themeColor="text1"/>
                <w:sz w:val="16"/>
                <w:szCs w:val="16"/>
                <w:lang w:val="en-US"/>
              </w:rPr>
            </w:pPr>
            <w:r w:rsidRPr="00AC1971">
              <w:rPr>
                <w:rFonts w:ascii="Arial" w:eastAsia="Times New Roman" w:hAnsi="Arial" w:cs="Arial"/>
                <w:color w:val="000000" w:themeColor="text1"/>
                <w:sz w:val="16"/>
                <w:szCs w:val="16"/>
                <w:lang w:val="en-US"/>
              </w:rPr>
              <w:t>48,209.81</w:t>
            </w:r>
          </w:p>
        </w:tc>
        <w:tc>
          <w:tcPr>
            <w:tcW w:w="928" w:type="dxa"/>
            <w:tcBorders>
              <w:top w:val="nil"/>
              <w:left w:val="nil"/>
              <w:bottom w:val="single" w:sz="4" w:space="0" w:color="auto"/>
              <w:right w:val="single" w:sz="4" w:space="0" w:color="auto"/>
            </w:tcBorders>
            <w:shd w:val="clear" w:color="000000" w:fill="FFFFFF"/>
            <w:vAlign w:val="bottom"/>
          </w:tcPr>
          <w:p w14:paraId="1E5DA5B6" w14:textId="77777777" w:rsidR="003A7C2F" w:rsidRPr="00AC1971" w:rsidRDefault="003A7C2F" w:rsidP="009D6703">
            <w:pPr>
              <w:spacing w:after="0" w:line="240" w:lineRule="auto"/>
              <w:jc w:val="right"/>
              <w:rPr>
                <w:rFonts w:ascii="Arial" w:eastAsia="Times New Roman" w:hAnsi="Arial" w:cs="Arial"/>
                <w:color w:val="000000" w:themeColor="text1"/>
                <w:sz w:val="16"/>
                <w:szCs w:val="16"/>
                <w:lang w:val="en-GB"/>
              </w:rPr>
            </w:pPr>
          </w:p>
          <w:p w14:paraId="008E8883" w14:textId="77777777" w:rsidR="0065050A" w:rsidRPr="00AC1971" w:rsidRDefault="0065050A" w:rsidP="009D6703">
            <w:pPr>
              <w:spacing w:after="0" w:line="240" w:lineRule="auto"/>
              <w:jc w:val="right"/>
              <w:rPr>
                <w:rFonts w:ascii="Arial" w:eastAsia="Times New Roman" w:hAnsi="Arial" w:cs="Arial"/>
                <w:color w:val="000000" w:themeColor="text1"/>
                <w:sz w:val="16"/>
                <w:szCs w:val="16"/>
                <w:lang w:val="en-GB"/>
              </w:rPr>
            </w:pPr>
          </w:p>
          <w:p w14:paraId="66E7CDE3" w14:textId="77777777" w:rsidR="0065050A" w:rsidRPr="00AC1971" w:rsidRDefault="0065050A" w:rsidP="009D6703">
            <w:pPr>
              <w:spacing w:after="0" w:line="240" w:lineRule="auto"/>
              <w:jc w:val="right"/>
              <w:rPr>
                <w:rFonts w:ascii="Arial" w:eastAsia="Times New Roman" w:hAnsi="Arial" w:cs="Arial"/>
                <w:color w:val="000000" w:themeColor="text1"/>
                <w:sz w:val="16"/>
                <w:szCs w:val="16"/>
                <w:lang w:val="en-GB"/>
              </w:rPr>
            </w:pPr>
          </w:p>
          <w:p w14:paraId="08FBE8F3" w14:textId="6993219A" w:rsidR="0065050A" w:rsidRPr="00AC1971" w:rsidRDefault="00386664"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 xml:space="preserve">  </w:t>
            </w:r>
            <w:r w:rsidR="0065050A" w:rsidRPr="00AC1971">
              <w:rPr>
                <w:rFonts w:ascii="Arial" w:eastAsia="Times New Roman" w:hAnsi="Arial" w:cs="Arial"/>
                <w:color w:val="000000" w:themeColor="text1"/>
                <w:sz w:val="16"/>
                <w:szCs w:val="16"/>
                <w:lang w:val="en-GB"/>
              </w:rPr>
              <w:t>1,007</w:t>
            </w:r>
            <w:r w:rsidRPr="00AC1971">
              <w:rPr>
                <w:rFonts w:ascii="Arial" w:eastAsia="Times New Roman" w:hAnsi="Arial" w:cs="Arial"/>
                <w:color w:val="000000" w:themeColor="text1"/>
                <w:sz w:val="16"/>
                <w:szCs w:val="16"/>
                <w:lang w:val="en-GB"/>
              </w:rPr>
              <w:t>.00</w:t>
            </w:r>
          </w:p>
        </w:tc>
        <w:tc>
          <w:tcPr>
            <w:tcW w:w="1017" w:type="dxa"/>
            <w:tcBorders>
              <w:top w:val="nil"/>
              <w:left w:val="nil"/>
              <w:bottom w:val="single" w:sz="4" w:space="0" w:color="auto"/>
              <w:right w:val="single" w:sz="4" w:space="0" w:color="auto"/>
            </w:tcBorders>
            <w:shd w:val="clear" w:color="000000" w:fill="FFFFFF"/>
            <w:vAlign w:val="bottom"/>
          </w:tcPr>
          <w:p w14:paraId="54FE8705"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547A59BE"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6F060BC8" w14:textId="77777777" w:rsidR="003A7C2F" w:rsidRPr="00AC1971" w:rsidRDefault="003A7C2F" w:rsidP="009D6703">
            <w:pPr>
              <w:spacing w:after="0" w:line="240" w:lineRule="auto"/>
              <w:jc w:val="right"/>
              <w:rPr>
                <w:rFonts w:ascii="Arial" w:eastAsia="Times New Roman" w:hAnsi="Arial" w:cs="Arial"/>
                <w:color w:val="000000" w:themeColor="text1"/>
                <w:sz w:val="16"/>
                <w:szCs w:val="16"/>
                <w:lang w:val="en-GB"/>
              </w:rPr>
            </w:pPr>
          </w:p>
          <w:p w14:paraId="432454E5" w14:textId="2D289729" w:rsidR="00CF351C" w:rsidRPr="00AC1971" w:rsidRDefault="00CF351C"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47,202.81</w:t>
            </w:r>
          </w:p>
        </w:tc>
        <w:tc>
          <w:tcPr>
            <w:tcW w:w="1017" w:type="dxa"/>
            <w:tcBorders>
              <w:top w:val="nil"/>
              <w:left w:val="nil"/>
              <w:bottom w:val="single" w:sz="4" w:space="0" w:color="auto"/>
              <w:right w:val="nil"/>
            </w:tcBorders>
            <w:shd w:val="clear" w:color="000000" w:fill="FFFFFF"/>
            <w:vAlign w:val="bottom"/>
          </w:tcPr>
          <w:p w14:paraId="0D1DD3DE"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0E9C2FA5"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1A8DFA0B" w14:textId="77777777" w:rsidR="003A7C2F" w:rsidRPr="00AC1971" w:rsidRDefault="003A7C2F" w:rsidP="009D6703">
            <w:pPr>
              <w:spacing w:after="0" w:line="240" w:lineRule="auto"/>
              <w:jc w:val="right"/>
              <w:rPr>
                <w:rFonts w:ascii="Arial" w:eastAsia="Times New Roman" w:hAnsi="Arial" w:cs="Arial"/>
                <w:color w:val="000000" w:themeColor="text1"/>
                <w:sz w:val="16"/>
                <w:szCs w:val="16"/>
                <w:lang w:val="en-GB"/>
              </w:rPr>
            </w:pPr>
          </w:p>
          <w:p w14:paraId="63D9ABE2" w14:textId="456289E7" w:rsidR="003D331E" w:rsidRPr="00AC1971" w:rsidRDefault="00E27896"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4</w:t>
            </w:r>
            <w:r w:rsidR="00923C00" w:rsidRPr="00AC1971">
              <w:rPr>
                <w:rFonts w:ascii="Arial" w:eastAsia="Times New Roman" w:hAnsi="Arial" w:cs="Arial"/>
                <w:color w:val="000000" w:themeColor="text1"/>
                <w:sz w:val="16"/>
                <w:szCs w:val="16"/>
                <w:lang w:val="en-GB"/>
              </w:rPr>
              <w:t>8</w:t>
            </w:r>
            <w:r w:rsidRPr="00AC1971">
              <w:rPr>
                <w:rFonts w:ascii="Arial" w:eastAsia="Times New Roman" w:hAnsi="Arial" w:cs="Arial"/>
                <w:color w:val="000000" w:themeColor="text1"/>
                <w:sz w:val="16"/>
                <w:szCs w:val="16"/>
                <w:lang w:val="en-GB"/>
              </w:rPr>
              <w:t>,20</w:t>
            </w:r>
            <w:r w:rsidR="00923C00" w:rsidRPr="00AC1971">
              <w:rPr>
                <w:rFonts w:ascii="Arial" w:eastAsia="Times New Roman" w:hAnsi="Arial" w:cs="Arial"/>
                <w:color w:val="000000" w:themeColor="text1"/>
                <w:sz w:val="16"/>
                <w:szCs w:val="16"/>
                <w:lang w:val="en-GB"/>
              </w:rPr>
              <w:t>9.</w:t>
            </w:r>
            <w:r w:rsidRPr="00AC1971">
              <w:rPr>
                <w:rFonts w:ascii="Arial" w:eastAsia="Times New Roman" w:hAnsi="Arial" w:cs="Arial"/>
                <w:color w:val="000000" w:themeColor="text1"/>
                <w:sz w:val="16"/>
                <w:szCs w:val="16"/>
                <w:lang w:val="en-GB"/>
              </w:rPr>
              <w:t>81</w:t>
            </w:r>
          </w:p>
        </w:tc>
        <w:tc>
          <w:tcPr>
            <w:tcW w:w="990" w:type="dxa"/>
            <w:tcBorders>
              <w:top w:val="nil"/>
              <w:left w:val="double" w:sz="6" w:space="0" w:color="auto"/>
              <w:bottom w:val="single" w:sz="4" w:space="0" w:color="auto"/>
              <w:right w:val="single" w:sz="4" w:space="0" w:color="auto"/>
            </w:tcBorders>
            <w:shd w:val="clear" w:color="000000" w:fill="FFFFFF"/>
            <w:vAlign w:val="bottom"/>
          </w:tcPr>
          <w:p w14:paraId="4E547C57"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329991BD"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114E3843" w14:textId="77777777" w:rsidR="003A7C2F" w:rsidRPr="00AC1971" w:rsidRDefault="003A7C2F" w:rsidP="009D6703">
            <w:pPr>
              <w:spacing w:after="0" w:line="240" w:lineRule="auto"/>
              <w:jc w:val="right"/>
              <w:rPr>
                <w:rFonts w:ascii="Arial" w:eastAsia="Times New Roman" w:hAnsi="Arial" w:cs="Arial"/>
                <w:color w:val="000000" w:themeColor="text1"/>
                <w:sz w:val="16"/>
                <w:szCs w:val="16"/>
                <w:lang w:val="en-GB"/>
              </w:rPr>
            </w:pPr>
          </w:p>
          <w:p w14:paraId="30A3DD03" w14:textId="7971DAAD" w:rsidR="008A0708" w:rsidRPr="00AC1971" w:rsidRDefault="005862A1"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 xml:space="preserve">      </w:t>
            </w:r>
            <w:r w:rsidR="004A6889" w:rsidRPr="00AC1971">
              <w:rPr>
                <w:rFonts w:ascii="Arial" w:eastAsia="Times New Roman" w:hAnsi="Arial" w:cs="Arial"/>
                <w:color w:val="000000" w:themeColor="text1"/>
                <w:sz w:val="16"/>
                <w:szCs w:val="16"/>
                <w:lang w:val="en-GB"/>
              </w:rPr>
              <w:t>2</w:t>
            </w:r>
          </w:p>
        </w:tc>
        <w:tc>
          <w:tcPr>
            <w:tcW w:w="990" w:type="dxa"/>
            <w:tcBorders>
              <w:top w:val="nil"/>
              <w:left w:val="nil"/>
              <w:bottom w:val="single" w:sz="4" w:space="0" w:color="auto"/>
              <w:right w:val="double" w:sz="6" w:space="0" w:color="auto"/>
            </w:tcBorders>
            <w:shd w:val="clear" w:color="000000" w:fill="FFFFFF"/>
            <w:vAlign w:val="bottom"/>
          </w:tcPr>
          <w:p w14:paraId="38B2D21B"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2875D376"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1241C094" w14:textId="77777777" w:rsidR="003A7C2F" w:rsidRPr="00AC1971" w:rsidRDefault="003A7C2F" w:rsidP="009D6703">
            <w:pPr>
              <w:spacing w:after="0" w:line="240" w:lineRule="auto"/>
              <w:jc w:val="right"/>
              <w:rPr>
                <w:rFonts w:ascii="Arial" w:eastAsia="Times New Roman" w:hAnsi="Arial" w:cs="Arial"/>
                <w:color w:val="000000" w:themeColor="text1"/>
                <w:sz w:val="16"/>
                <w:szCs w:val="16"/>
                <w:lang w:val="en-GB"/>
              </w:rPr>
            </w:pPr>
          </w:p>
          <w:p w14:paraId="196282C0" w14:textId="1FDF250C" w:rsidR="006E0920" w:rsidRPr="00AC1971" w:rsidRDefault="00315AD1"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100</w:t>
            </w:r>
          </w:p>
        </w:tc>
        <w:tc>
          <w:tcPr>
            <w:tcW w:w="954" w:type="dxa"/>
            <w:tcBorders>
              <w:top w:val="nil"/>
              <w:left w:val="nil"/>
              <w:bottom w:val="single" w:sz="4" w:space="0" w:color="auto"/>
              <w:right w:val="double" w:sz="6" w:space="0" w:color="auto"/>
            </w:tcBorders>
            <w:shd w:val="clear" w:color="000000" w:fill="FFFFFF"/>
            <w:vAlign w:val="bottom"/>
          </w:tcPr>
          <w:p w14:paraId="64F40C8A"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0191F549" w14:textId="77777777" w:rsidR="003A7C2F" w:rsidRPr="00AC1971" w:rsidRDefault="003A7C2F" w:rsidP="009D6703">
            <w:pPr>
              <w:spacing w:after="0" w:line="240" w:lineRule="auto"/>
              <w:jc w:val="right"/>
              <w:rPr>
                <w:rFonts w:ascii="Arial" w:eastAsia="Times New Roman" w:hAnsi="Arial" w:cs="Arial"/>
                <w:color w:val="000000" w:themeColor="text1"/>
                <w:sz w:val="16"/>
                <w:szCs w:val="16"/>
              </w:rPr>
            </w:pPr>
          </w:p>
          <w:p w14:paraId="5AF425AD" w14:textId="77777777" w:rsidR="00783CF6" w:rsidRPr="00AC1971" w:rsidRDefault="00783CF6" w:rsidP="009D6703">
            <w:pPr>
              <w:spacing w:after="0" w:line="240" w:lineRule="auto"/>
              <w:jc w:val="right"/>
              <w:rPr>
                <w:rFonts w:ascii="Arial" w:eastAsia="Times New Roman" w:hAnsi="Arial" w:cs="Arial"/>
                <w:color w:val="000000" w:themeColor="text1"/>
                <w:sz w:val="16"/>
                <w:szCs w:val="16"/>
              </w:rPr>
            </w:pPr>
          </w:p>
          <w:p w14:paraId="1CDAA2F0" w14:textId="7E2E8D6A" w:rsidR="003A7C2F" w:rsidRPr="00AC1971" w:rsidRDefault="0097018F" w:rsidP="009D6703">
            <w:pPr>
              <w:spacing w:after="0" w:line="240" w:lineRule="auto"/>
              <w:jc w:val="right"/>
              <w:rPr>
                <w:rFonts w:ascii="Arial" w:eastAsia="Times New Roman" w:hAnsi="Arial" w:cs="Arial"/>
                <w:color w:val="000000" w:themeColor="text1"/>
                <w:sz w:val="16"/>
                <w:szCs w:val="16"/>
              </w:rPr>
            </w:pPr>
            <w:r w:rsidRPr="00AC1971">
              <w:rPr>
                <w:rFonts w:ascii="Arial" w:eastAsia="Times New Roman" w:hAnsi="Arial" w:cs="Arial"/>
                <w:color w:val="000000" w:themeColor="text1"/>
                <w:sz w:val="16"/>
                <w:szCs w:val="16"/>
              </w:rPr>
              <w:t>-</w:t>
            </w:r>
          </w:p>
        </w:tc>
      </w:tr>
      <w:tr w:rsidR="00050575" w:rsidRPr="00AC1971" w14:paraId="41C94083" w14:textId="0AA9A449" w:rsidTr="009A5DDE">
        <w:trPr>
          <w:trHeight w:val="300"/>
        </w:trPr>
        <w:tc>
          <w:tcPr>
            <w:tcW w:w="544" w:type="dxa"/>
            <w:tcBorders>
              <w:top w:val="nil"/>
              <w:left w:val="double" w:sz="6" w:space="0" w:color="auto"/>
              <w:bottom w:val="single" w:sz="4" w:space="0" w:color="auto"/>
              <w:right w:val="single" w:sz="4" w:space="0" w:color="auto"/>
            </w:tcBorders>
            <w:shd w:val="clear" w:color="000000" w:fill="FFFFFF"/>
            <w:vAlign w:val="bottom"/>
          </w:tcPr>
          <w:p w14:paraId="1CCFE395" w14:textId="77777777" w:rsidR="003A7C2F" w:rsidRPr="00AC1971" w:rsidRDefault="003A7C2F" w:rsidP="003A7C2F">
            <w:pPr>
              <w:spacing w:after="0" w:line="240" w:lineRule="auto"/>
              <w:rPr>
                <w:rFonts w:ascii="Arial" w:eastAsia="Times New Roman" w:hAnsi="Arial" w:cs="Arial"/>
                <w:b/>
                <w:bCs/>
                <w:color w:val="000000" w:themeColor="text1"/>
                <w:sz w:val="16"/>
                <w:szCs w:val="16"/>
              </w:rPr>
            </w:pPr>
          </w:p>
          <w:p w14:paraId="6BA0DFBD" w14:textId="6E5A995A" w:rsidR="003A7C2F" w:rsidRPr="00AC1971" w:rsidRDefault="003A7C2F" w:rsidP="003A7C2F">
            <w:pPr>
              <w:spacing w:after="0" w:line="240" w:lineRule="auto"/>
              <w:rPr>
                <w:rFonts w:ascii="Arial" w:eastAsia="Times New Roman" w:hAnsi="Arial" w:cs="Arial"/>
                <w:b/>
                <w:bCs/>
                <w:color w:val="000000" w:themeColor="text1"/>
                <w:sz w:val="16"/>
                <w:szCs w:val="16"/>
                <w:lang w:val="en-GB"/>
              </w:rPr>
            </w:pPr>
            <w:r w:rsidRPr="00AC1971">
              <w:rPr>
                <w:rFonts w:ascii="Arial" w:eastAsia="Times New Roman" w:hAnsi="Arial" w:cs="Arial"/>
                <w:b/>
                <w:bCs/>
                <w:color w:val="000000" w:themeColor="text1"/>
                <w:sz w:val="16"/>
                <w:szCs w:val="16"/>
                <w:lang w:val="en-GB"/>
              </w:rPr>
              <w:t>3</w:t>
            </w:r>
          </w:p>
        </w:tc>
        <w:tc>
          <w:tcPr>
            <w:tcW w:w="1372" w:type="dxa"/>
            <w:tcBorders>
              <w:top w:val="nil"/>
              <w:left w:val="nil"/>
              <w:bottom w:val="single" w:sz="4" w:space="0" w:color="auto"/>
              <w:right w:val="single" w:sz="4" w:space="0" w:color="auto"/>
            </w:tcBorders>
            <w:shd w:val="clear" w:color="000000" w:fill="FFFFFF"/>
            <w:vAlign w:val="bottom"/>
          </w:tcPr>
          <w:p w14:paraId="15B44515" w14:textId="1E26E858" w:rsidR="003A7C2F" w:rsidRPr="00AC1971" w:rsidRDefault="0073375E" w:rsidP="003A7C2F">
            <w:pPr>
              <w:spacing w:after="0" w:line="240" w:lineRule="auto"/>
              <w:jc w:val="both"/>
              <w:rPr>
                <w:rFonts w:ascii="Arial" w:eastAsia="Times New Roman" w:hAnsi="Arial" w:cs="Arial"/>
                <w:b/>
                <w:bCs/>
                <w:color w:val="000000" w:themeColor="text1"/>
                <w:sz w:val="16"/>
                <w:szCs w:val="16"/>
                <w:lang w:val="en-US"/>
              </w:rPr>
            </w:pPr>
            <w:r w:rsidRPr="00AC1971">
              <w:rPr>
                <w:rFonts w:ascii="Arial" w:eastAsia="Times New Roman" w:hAnsi="Arial" w:cs="Arial"/>
                <w:b/>
                <w:bCs/>
                <w:color w:val="000000" w:themeColor="text1"/>
                <w:sz w:val="16"/>
                <w:szCs w:val="16"/>
                <w:lang w:val="en-US"/>
              </w:rPr>
              <w:t>Disbursements to MS</w:t>
            </w:r>
          </w:p>
        </w:tc>
        <w:tc>
          <w:tcPr>
            <w:tcW w:w="1017" w:type="dxa"/>
            <w:tcBorders>
              <w:top w:val="nil"/>
              <w:left w:val="nil"/>
              <w:bottom w:val="single" w:sz="4" w:space="0" w:color="auto"/>
              <w:right w:val="single" w:sz="4" w:space="0" w:color="auto"/>
            </w:tcBorders>
            <w:shd w:val="clear" w:color="000000" w:fill="FFFFFF"/>
            <w:vAlign w:val="bottom"/>
          </w:tcPr>
          <w:p w14:paraId="73AE13BD" w14:textId="77777777" w:rsidR="004D489C" w:rsidRPr="00AC1971" w:rsidRDefault="004D489C" w:rsidP="009D6703">
            <w:pPr>
              <w:spacing w:after="0" w:line="240" w:lineRule="auto"/>
              <w:jc w:val="right"/>
              <w:rPr>
                <w:rFonts w:ascii="Arial" w:eastAsia="Times New Roman" w:hAnsi="Arial" w:cs="Arial"/>
                <w:color w:val="000000" w:themeColor="text1"/>
                <w:sz w:val="16"/>
                <w:szCs w:val="16"/>
                <w:lang w:val="en-GB"/>
              </w:rPr>
            </w:pPr>
          </w:p>
          <w:p w14:paraId="3FCAEE00" w14:textId="7725795E" w:rsidR="003A7C2F" w:rsidRPr="00AC1971" w:rsidRDefault="008331E1"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510,198</w:t>
            </w:r>
            <w:r w:rsidR="004D489C" w:rsidRPr="00AC1971">
              <w:rPr>
                <w:rFonts w:ascii="Arial" w:eastAsia="Times New Roman" w:hAnsi="Arial" w:cs="Arial"/>
                <w:color w:val="000000" w:themeColor="text1"/>
                <w:sz w:val="16"/>
                <w:szCs w:val="16"/>
                <w:lang w:val="en-GB"/>
              </w:rPr>
              <w:t>.00</w:t>
            </w:r>
          </w:p>
        </w:tc>
        <w:tc>
          <w:tcPr>
            <w:tcW w:w="1017" w:type="dxa"/>
            <w:tcBorders>
              <w:top w:val="nil"/>
              <w:left w:val="nil"/>
              <w:bottom w:val="single" w:sz="4" w:space="0" w:color="auto"/>
              <w:right w:val="single" w:sz="4" w:space="0" w:color="auto"/>
            </w:tcBorders>
            <w:shd w:val="clear" w:color="000000" w:fill="FFFFFF"/>
            <w:vAlign w:val="bottom"/>
          </w:tcPr>
          <w:p w14:paraId="44B546EB" w14:textId="77777777" w:rsidR="001A70A8" w:rsidRPr="00AC1971" w:rsidRDefault="001A70A8" w:rsidP="009D6703">
            <w:pPr>
              <w:spacing w:after="0" w:line="240" w:lineRule="auto"/>
              <w:jc w:val="right"/>
              <w:rPr>
                <w:rFonts w:ascii="Arial" w:eastAsia="Times New Roman" w:hAnsi="Arial" w:cs="Arial"/>
                <w:color w:val="000000" w:themeColor="text1"/>
                <w:sz w:val="16"/>
                <w:szCs w:val="16"/>
                <w:lang w:val="en-GB"/>
              </w:rPr>
            </w:pPr>
          </w:p>
          <w:p w14:paraId="671958C1" w14:textId="32003B6B" w:rsidR="003A7C2F" w:rsidRPr="00AC1971" w:rsidRDefault="001A70A8"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 xml:space="preserve"> 51,775.00</w:t>
            </w:r>
          </w:p>
        </w:tc>
        <w:tc>
          <w:tcPr>
            <w:tcW w:w="928" w:type="dxa"/>
            <w:tcBorders>
              <w:top w:val="nil"/>
              <w:left w:val="nil"/>
              <w:bottom w:val="single" w:sz="4" w:space="0" w:color="auto"/>
              <w:right w:val="single" w:sz="4" w:space="0" w:color="auto"/>
            </w:tcBorders>
            <w:shd w:val="clear" w:color="000000" w:fill="FFFFFF"/>
            <w:vAlign w:val="bottom"/>
          </w:tcPr>
          <w:p w14:paraId="473B50E7" w14:textId="77777777" w:rsidR="00C72745" w:rsidRPr="00AC1971" w:rsidRDefault="00C72745" w:rsidP="009D6703">
            <w:pPr>
              <w:spacing w:after="0" w:line="240" w:lineRule="auto"/>
              <w:jc w:val="right"/>
              <w:rPr>
                <w:rFonts w:ascii="Arial" w:eastAsia="Times New Roman" w:hAnsi="Arial" w:cs="Arial"/>
                <w:color w:val="000000" w:themeColor="text1"/>
                <w:sz w:val="16"/>
                <w:szCs w:val="16"/>
                <w:lang w:val="en-US"/>
              </w:rPr>
            </w:pPr>
          </w:p>
          <w:p w14:paraId="526ECD63" w14:textId="499B7C84" w:rsidR="00386664" w:rsidRPr="00AC1971" w:rsidRDefault="00386664" w:rsidP="009D6703">
            <w:pPr>
              <w:spacing w:after="0" w:line="240" w:lineRule="auto"/>
              <w:jc w:val="right"/>
              <w:rPr>
                <w:rFonts w:ascii="Arial" w:eastAsia="Times New Roman" w:hAnsi="Arial" w:cs="Arial"/>
                <w:color w:val="000000" w:themeColor="text1"/>
                <w:sz w:val="16"/>
                <w:szCs w:val="16"/>
                <w:lang w:val="en-US"/>
              </w:rPr>
            </w:pPr>
            <w:r w:rsidRPr="00AC1971">
              <w:rPr>
                <w:rFonts w:ascii="Arial" w:eastAsia="Times New Roman" w:hAnsi="Arial" w:cs="Arial"/>
                <w:color w:val="000000" w:themeColor="text1"/>
                <w:sz w:val="16"/>
                <w:szCs w:val="16"/>
                <w:lang w:val="en-US"/>
              </w:rPr>
              <w:t>-</w:t>
            </w:r>
          </w:p>
        </w:tc>
        <w:tc>
          <w:tcPr>
            <w:tcW w:w="1017" w:type="dxa"/>
            <w:tcBorders>
              <w:top w:val="nil"/>
              <w:left w:val="nil"/>
              <w:bottom w:val="single" w:sz="4" w:space="0" w:color="auto"/>
              <w:right w:val="single" w:sz="4" w:space="0" w:color="auto"/>
            </w:tcBorders>
            <w:shd w:val="clear" w:color="000000" w:fill="FFFFFF"/>
            <w:vAlign w:val="bottom"/>
          </w:tcPr>
          <w:p w14:paraId="20FCAE10" w14:textId="77777777" w:rsidR="003A7C2F" w:rsidRPr="00AC1971" w:rsidRDefault="003A7C2F" w:rsidP="009D6703">
            <w:pPr>
              <w:spacing w:after="0" w:line="240" w:lineRule="auto"/>
              <w:jc w:val="right"/>
              <w:rPr>
                <w:rFonts w:ascii="Arial" w:eastAsia="Times New Roman" w:hAnsi="Arial" w:cs="Arial"/>
                <w:color w:val="000000" w:themeColor="text1"/>
                <w:sz w:val="16"/>
                <w:szCs w:val="16"/>
                <w:lang w:val="en-GB"/>
              </w:rPr>
            </w:pPr>
          </w:p>
          <w:p w14:paraId="7FCA30AB" w14:textId="4E9CFD1F" w:rsidR="00CF351C" w:rsidRPr="00AC1971" w:rsidRDefault="007755B9"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51,775.00</w:t>
            </w:r>
          </w:p>
        </w:tc>
        <w:tc>
          <w:tcPr>
            <w:tcW w:w="1017" w:type="dxa"/>
            <w:tcBorders>
              <w:top w:val="nil"/>
              <w:left w:val="nil"/>
              <w:bottom w:val="single" w:sz="4" w:space="0" w:color="auto"/>
              <w:right w:val="nil"/>
            </w:tcBorders>
            <w:shd w:val="clear" w:color="000000" w:fill="FFFFFF"/>
            <w:vAlign w:val="bottom"/>
          </w:tcPr>
          <w:p w14:paraId="38AFCD62" w14:textId="77777777" w:rsidR="005250AC" w:rsidRPr="00AC1971" w:rsidRDefault="005250AC" w:rsidP="009D6703">
            <w:pPr>
              <w:spacing w:after="0" w:line="240" w:lineRule="auto"/>
              <w:jc w:val="right"/>
              <w:rPr>
                <w:rFonts w:ascii="Arial" w:eastAsia="Times New Roman" w:hAnsi="Arial" w:cs="Arial"/>
                <w:color w:val="000000" w:themeColor="text1"/>
                <w:sz w:val="16"/>
                <w:szCs w:val="16"/>
                <w:lang w:val="en-GB"/>
              </w:rPr>
            </w:pPr>
          </w:p>
          <w:p w14:paraId="0ABA0AEF" w14:textId="5FBC48BA" w:rsidR="000F5927" w:rsidRPr="00AC1971" w:rsidRDefault="0071776A"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 xml:space="preserve">  </w:t>
            </w:r>
            <w:r w:rsidR="005250AC" w:rsidRPr="00AC1971">
              <w:rPr>
                <w:rFonts w:ascii="Arial" w:eastAsia="Times New Roman" w:hAnsi="Arial" w:cs="Arial"/>
                <w:color w:val="000000" w:themeColor="text1"/>
                <w:sz w:val="16"/>
                <w:szCs w:val="16"/>
                <w:lang w:val="en-GB"/>
              </w:rPr>
              <w:t>51,775.00</w:t>
            </w:r>
          </w:p>
        </w:tc>
        <w:tc>
          <w:tcPr>
            <w:tcW w:w="990" w:type="dxa"/>
            <w:tcBorders>
              <w:top w:val="nil"/>
              <w:left w:val="double" w:sz="6" w:space="0" w:color="auto"/>
              <w:bottom w:val="single" w:sz="4" w:space="0" w:color="auto"/>
              <w:right w:val="single" w:sz="4" w:space="0" w:color="auto"/>
            </w:tcBorders>
            <w:shd w:val="clear" w:color="000000" w:fill="FFFFFF"/>
            <w:vAlign w:val="bottom"/>
          </w:tcPr>
          <w:p w14:paraId="4E460992" w14:textId="77777777" w:rsidR="003A7C2F" w:rsidRPr="00AC1971" w:rsidRDefault="003A7C2F" w:rsidP="009D6703">
            <w:pPr>
              <w:spacing w:after="0" w:line="240" w:lineRule="auto"/>
              <w:jc w:val="right"/>
              <w:rPr>
                <w:rFonts w:ascii="Arial" w:eastAsia="Times New Roman" w:hAnsi="Arial" w:cs="Arial"/>
                <w:color w:val="000000" w:themeColor="text1"/>
                <w:sz w:val="16"/>
                <w:szCs w:val="16"/>
                <w:lang w:val="en-GB"/>
              </w:rPr>
            </w:pPr>
          </w:p>
          <w:p w14:paraId="1E421B37" w14:textId="77A77E34" w:rsidR="005862A1" w:rsidRPr="00AC1971" w:rsidRDefault="004A6889"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(100)</w:t>
            </w:r>
          </w:p>
        </w:tc>
        <w:tc>
          <w:tcPr>
            <w:tcW w:w="990" w:type="dxa"/>
            <w:tcBorders>
              <w:top w:val="nil"/>
              <w:left w:val="nil"/>
              <w:bottom w:val="single" w:sz="4" w:space="0" w:color="auto"/>
              <w:right w:val="double" w:sz="6" w:space="0" w:color="auto"/>
            </w:tcBorders>
            <w:shd w:val="clear" w:color="000000" w:fill="FFFFFF"/>
            <w:vAlign w:val="bottom"/>
          </w:tcPr>
          <w:p w14:paraId="776B78C2" w14:textId="77777777" w:rsidR="003A7C2F" w:rsidRPr="00AC1971" w:rsidRDefault="003A7C2F" w:rsidP="009D6703">
            <w:pPr>
              <w:spacing w:after="0" w:line="240" w:lineRule="auto"/>
              <w:jc w:val="right"/>
              <w:rPr>
                <w:rFonts w:ascii="Arial" w:eastAsia="Times New Roman" w:hAnsi="Arial" w:cs="Arial"/>
                <w:color w:val="000000" w:themeColor="text1"/>
                <w:sz w:val="16"/>
                <w:szCs w:val="16"/>
                <w:lang w:val="en-GB"/>
              </w:rPr>
            </w:pPr>
          </w:p>
          <w:p w14:paraId="691ABCC8" w14:textId="6FA178F7" w:rsidR="00CF482D" w:rsidRPr="00AC1971" w:rsidRDefault="00CF482D" w:rsidP="009D6703">
            <w:pPr>
              <w:spacing w:after="0" w:line="240" w:lineRule="auto"/>
              <w:jc w:val="right"/>
              <w:rPr>
                <w:rFonts w:ascii="Arial" w:eastAsia="Times New Roman" w:hAnsi="Arial" w:cs="Arial"/>
                <w:color w:val="000000" w:themeColor="text1"/>
                <w:sz w:val="16"/>
                <w:szCs w:val="16"/>
                <w:lang w:val="en-GB"/>
              </w:rPr>
            </w:pPr>
            <w:r w:rsidRPr="00AC1971">
              <w:rPr>
                <w:rFonts w:ascii="Arial" w:eastAsia="Times New Roman" w:hAnsi="Arial" w:cs="Arial"/>
                <w:color w:val="000000" w:themeColor="text1"/>
                <w:sz w:val="16"/>
                <w:szCs w:val="16"/>
                <w:lang w:val="en-GB"/>
              </w:rPr>
              <w:t xml:space="preserve">        100</w:t>
            </w:r>
          </w:p>
        </w:tc>
        <w:tc>
          <w:tcPr>
            <w:tcW w:w="954" w:type="dxa"/>
            <w:tcBorders>
              <w:top w:val="nil"/>
              <w:left w:val="nil"/>
              <w:bottom w:val="single" w:sz="4" w:space="0" w:color="auto"/>
              <w:right w:val="double" w:sz="6" w:space="0" w:color="auto"/>
            </w:tcBorders>
            <w:shd w:val="clear" w:color="000000" w:fill="FFFFFF"/>
            <w:vAlign w:val="bottom"/>
          </w:tcPr>
          <w:p w14:paraId="0601628E" w14:textId="77777777" w:rsidR="00783CF6" w:rsidRPr="00AC1971" w:rsidRDefault="00783CF6" w:rsidP="009D6703">
            <w:pPr>
              <w:spacing w:after="0" w:line="240" w:lineRule="auto"/>
              <w:jc w:val="right"/>
              <w:rPr>
                <w:rFonts w:ascii="Arial" w:eastAsia="Times New Roman" w:hAnsi="Arial" w:cs="Arial"/>
                <w:color w:val="000000" w:themeColor="text1"/>
                <w:sz w:val="16"/>
                <w:szCs w:val="16"/>
                <w:lang w:val="en-US"/>
              </w:rPr>
            </w:pPr>
          </w:p>
          <w:p w14:paraId="291048DB" w14:textId="72FD99C7" w:rsidR="003A7C2F" w:rsidRPr="00AC1971" w:rsidRDefault="00F81BDC" w:rsidP="009D6703">
            <w:pPr>
              <w:spacing w:after="0" w:line="240" w:lineRule="auto"/>
              <w:jc w:val="right"/>
              <w:rPr>
                <w:rFonts w:ascii="Arial" w:eastAsia="Times New Roman" w:hAnsi="Arial" w:cs="Arial"/>
                <w:color w:val="000000" w:themeColor="text1"/>
                <w:sz w:val="16"/>
                <w:szCs w:val="16"/>
                <w:lang w:val="en-US"/>
              </w:rPr>
            </w:pPr>
            <w:r w:rsidRPr="00AC1971">
              <w:rPr>
                <w:rFonts w:ascii="Arial" w:eastAsia="Times New Roman" w:hAnsi="Arial" w:cs="Arial"/>
                <w:color w:val="000000" w:themeColor="text1"/>
                <w:sz w:val="16"/>
                <w:szCs w:val="16"/>
                <w:lang w:val="en-US"/>
              </w:rPr>
              <w:t>-</w:t>
            </w:r>
          </w:p>
        </w:tc>
      </w:tr>
      <w:tr w:rsidR="00050575" w:rsidRPr="00AC1971" w14:paraId="630537FA" w14:textId="507D095A" w:rsidTr="009A5DDE">
        <w:trPr>
          <w:trHeight w:val="300"/>
        </w:trPr>
        <w:tc>
          <w:tcPr>
            <w:tcW w:w="544" w:type="dxa"/>
            <w:tcBorders>
              <w:top w:val="nil"/>
              <w:left w:val="double" w:sz="6" w:space="0" w:color="auto"/>
              <w:bottom w:val="single" w:sz="4" w:space="0" w:color="auto"/>
              <w:right w:val="single" w:sz="4" w:space="0" w:color="auto"/>
            </w:tcBorders>
            <w:shd w:val="clear" w:color="000000" w:fill="FFFFFF"/>
            <w:vAlign w:val="bottom"/>
            <w:hideMark/>
          </w:tcPr>
          <w:p w14:paraId="67E82C74" w14:textId="77777777" w:rsidR="00860A63" w:rsidRPr="00AC1971" w:rsidRDefault="00860A63" w:rsidP="00860A63">
            <w:pPr>
              <w:spacing w:after="0" w:line="240" w:lineRule="auto"/>
              <w:rPr>
                <w:rFonts w:ascii="Arial" w:eastAsia="Times New Roman" w:hAnsi="Arial" w:cs="Arial"/>
                <w:b/>
                <w:bCs/>
                <w:color w:val="000000" w:themeColor="text1"/>
                <w:sz w:val="16"/>
                <w:szCs w:val="16"/>
              </w:rPr>
            </w:pPr>
            <w:r w:rsidRPr="00AC1971">
              <w:rPr>
                <w:rFonts w:ascii="Arial" w:eastAsia="Times New Roman" w:hAnsi="Arial" w:cs="Arial"/>
                <w:b/>
                <w:bCs/>
                <w:color w:val="000000" w:themeColor="text1"/>
                <w:sz w:val="16"/>
                <w:szCs w:val="16"/>
              </w:rPr>
              <w:t> </w:t>
            </w:r>
          </w:p>
        </w:tc>
        <w:tc>
          <w:tcPr>
            <w:tcW w:w="1372" w:type="dxa"/>
            <w:tcBorders>
              <w:top w:val="nil"/>
              <w:left w:val="nil"/>
              <w:bottom w:val="single" w:sz="4" w:space="0" w:color="auto"/>
              <w:right w:val="single" w:sz="4" w:space="0" w:color="auto"/>
            </w:tcBorders>
            <w:shd w:val="clear" w:color="000000" w:fill="FFFFFF"/>
            <w:vAlign w:val="bottom"/>
            <w:hideMark/>
          </w:tcPr>
          <w:p w14:paraId="5BAFF2D8" w14:textId="77777777" w:rsidR="00860A63" w:rsidRPr="00AC1971" w:rsidRDefault="00860A63" w:rsidP="00860A63">
            <w:pPr>
              <w:spacing w:after="0" w:line="240" w:lineRule="auto"/>
              <w:jc w:val="both"/>
              <w:rPr>
                <w:rFonts w:ascii="Arial" w:eastAsia="Times New Roman" w:hAnsi="Arial" w:cs="Arial"/>
                <w:b/>
                <w:bCs/>
                <w:color w:val="000000" w:themeColor="text1"/>
                <w:sz w:val="16"/>
                <w:szCs w:val="16"/>
              </w:rPr>
            </w:pPr>
            <w:r w:rsidRPr="00AC1971">
              <w:rPr>
                <w:rFonts w:ascii="Arial" w:eastAsia="Times New Roman" w:hAnsi="Arial" w:cs="Arial"/>
                <w:b/>
                <w:bCs/>
                <w:color w:val="000000" w:themeColor="text1"/>
                <w:sz w:val="16"/>
                <w:szCs w:val="16"/>
              </w:rPr>
              <w:t> </w:t>
            </w:r>
          </w:p>
          <w:p w14:paraId="370882DF" w14:textId="46FFBAD9" w:rsidR="00860A63" w:rsidRPr="00AC1971" w:rsidRDefault="00860A63" w:rsidP="00860A63">
            <w:pPr>
              <w:spacing w:after="0" w:line="240" w:lineRule="auto"/>
              <w:jc w:val="both"/>
              <w:rPr>
                <w:rFonts w:ascii="Arial" w:eastAsia="Times New Roman" w:hAnsi="Arial" w:cs="Arial"/>
                <w:b/>
                <w:bCs/>
                <w:color w:val="000000" w:themeColor="text1"/>
                <w:sz w:val="16"/>
                <w:szCs w:val="16"/>
              </w:rPr>
            </w:pPr>
            <w:r w:rsidRPr="00AC1971">
              <w:rPr>
                <w:rFonts w:ascii="Arial" w:eastAsia="Times New Roman" w:hAnsi="Arial" w:cs="Arial"/>
                <w:b/>
                <w:bCs/>
                <w:color w:val="000000" w:themeColor="text1"/>
                <w:sz w:val="16"/>
                <w:szCs w:val="16"/>
              </w:rPr>
              <w:t>Total</w:t>
            </w:r>
          </w:p>
          <w:p w14:paraId="50FE3A74" w14:textId="7B318D59" w:rsidR="00860A63" w:rsidRPr="00AC1971" w:rsidRDefault="00860A63" w:rsidP="00860A63">
            <w:pPr>
              <w:jc w:val="both"/>
              <w:rPr>
                <w:rFonts w:ascii="Arial" w:eastAsia="Times New Roman" w:hAnsi="Arial" w:cs="Arial"/>
                <w:b/>
                <w:bCs/>
                <w:color w:val="000000" w:themeColor="text1"/>
                <w:sz w:val="16"/>
                <w:szCs w:val="16"/>
              </w:rPr>
            </w:pPr>
          </w:p>
        </w:tc>
        <w:tc>
          <w:tcPr>
            <w:tcW w:w="1017" w:type="dxa"/>
            <w:tcBorders>
              <w:top w:val="nil"/>
              <w:left w:val="nil"/>
              <w:bottom w:val="single" w:sz="4" w:space="0" w:color="auto"/>
              <w:right w:val="single" w:sz="4" w:space="0" w:color="auto"/>
            </w:tcBorders>
            <w:shd w:val="clear" w:color="000000" w:fill="FFFFFF"/>
            <w:vAlign w:val="bottom"/>
            <w:hideMark/>
          </w:tcPr>
          <w:p w14:paraId="0F061377" w14:textId="77777777" w:rsidR="004D489C" w:rsidRPr="00AC1971" w:rsidRDefault="004D489C" w:rsidP="009D6703">
            <w:pPr>
              <w:spacing w:after="0" w:line="240" w:lineRule="auto"/>
              <w:jc w:val="right"/>
              <w:rPr>
                <w:rFonts w:ascii="Arial" w:eastAsia="Times New Roman" w:hAnsi="Arial" w:cs="Arial"/>
                <w:b/>
                <w:bCs/>
                <w:color w:val="000000" w:themeColor="text1"/>
                <w:sz w:val="16"/>
                <w:szCs w:val="16"/>
                <w:lang w:val="en-GB"/>
              </w:rPr>
            </w:pPr>
          </w:p>
          <w:p w14:paraId="52D1189C" w14:textId="17F34F6C" w:rsidR="00860A63" w:rsidRPr="00AC1971" w:rsidRDefault="007C18CA" w:rsidP="009D6703">
            <w:pPr>
              <w:spacing w:after="0" w:line="240" w:lineRule="auto"/>
              <w:jc w:val="right"/>
              <w:rPr>
                <w:rFonts w:ascii="Arial" w:eastAsia="Times New Roman" w:hAnsi="Arial" w:cs="Arial"/>
                <w:b/>
                <w:bCs/>
                <w:color w:val="000000" w:themeColor="text1"/>
                <w:sz w:val="16"/>
                <w:szCs w:val="16"/>
                <w:lang w:val="en-GB"/>
              </w:rPr>
            </w:pPr>
            <w:r w:rsidRPr="00AC1971">
              <w:rPr>
                <w:rFonts w:ascii="Arial" w:eastAsia="Times New Roman" w:hAnsi="Arial" w:cs="Arial"/>
                <w:b/>
                <w:bCs/>
                <w:color w:val="000000" w:themeColor="text1"/>
                <w:sz w:val="16"/>
                <w:szCs w:val="16"/>
                <w:lang w:val="en-GB"/>
              </w:rPr>
              <w:t>805,2</w:t>
            </w:r>
            <w:r w:rsidR="004D489C" w:rsidRPr="00AC1971">
              <w:rPr>
                <w:rFonts w:ascii="Arial" w:eastAsia="Times New Roman" w:hAnsi="Arial" w:cs="Arial"/>
                <w:b/>
                <w:bCs/>
                <w:color w:val="000000" w:themeColor="text1"/>
                <w:sz w:val="16"/>
                <w:szCs w:val="16"/>
                <w:lang w:val="en-GB"/>
              </w:rPr>
              <w:t>76.0</w:t>
            </w:r>
            <w:r w:rsidR="00E43B38" w:rsidRPr="00AC1971">
              <w:rPr>
                <w:rFonts w:ascii="Arial" w:eastAsia="Times New Roman" w:hAnsi="Arial" w:cs="Arial"/>
                <w:b/>
                <w:bCs/>
                <w:color w:val="000000" w:themeColor="text1"/>
                <w:sz w:val="16"/>
                <w:szCs w:val="16"/>
                <w:lang w:val="en-GB"/>
              </w:rPr>
              <w:t>5</w:t>
            </w:r>
          </w:p>
          <w:p w14:paraId="44154596" w14:textId="5A0B4EF3" w:rsidR="00860A63" w:rsidRPr="00AC1971" w:rsidRDefault="00860A63" w:rsidP="009D6703">
            <w:pPr>
              <w:spacing w:after="0" w:line="240" w:lineRule="auto"/>
              <w:jc w:val="right"/>
              <w:rPr>
                <w:rFonts w:ascii="Arial" w:eastAsia="Times New Roman" w:hAnsi="Arial" w:cs="Arial"/>
                <w:b/>
                <w:bCs/>
                <w:color w:val="000000" w:themeColor="text1"/>
                <w:sz w:val="16"/>
                <w:szCs w:val="16"/>
              </w:rPr>
            </w:pPr>
          </w:p>
        </w:tc>
        <w:tc>
          <w:tcPr>
            <w:tcW w:w="1017" w:type="dxa"/>
            <w:tcBorders>
              <w:top w:val="nil"/>
              <w:left w:val="nil"/>
              <w:bottom w:val="single" w:sz="4" w:space="0" w:color="auto"/>
              <w:right w:val="single" w:sz="4" w:space="0" w:color="auto"/>
            </w:tcBorders>
            <w:shd w:val="clear" w:color="000000" w:fill="FFFFFF"/>
            <w:vAlign w:val="bottom"/>
            <w:hideMark/>
          </w:tcPr>
          <w:p w14:paraId="2C98EA3A" w14:textId="77777777" w:rsidR="00860A63" w:rsidRPr="00AC1971" w:rsidRDefault="00860A63" w:rsidP="009D6703">
            <w:pPr>
              <w:spacing w:after="0" w:line="240" w:lineRule="auto"/>
              <w:jc w:val="right"/>
              <w:rPr>
                <w:rFonts w:ascii="Arial" w:eastAsia="Times New Roman" w:hAnsi="Arial" w:cs="Arial"/>
                <w:b/>
                <w:bCs/>
                <w:color w:val="000000" w:themeColor="text1"/>
                <w:sz w:val="16"/>
                <w:szCs w:val="16"/>
                <w:lang w:val="en-GB"/>
              </w:rPr>
            </w:pPr>
          </w:p>
          <w:p w14:paraId="7F1B7656" w14:textId="37F684B5" w:rsidR="00860A63" w:rsidRPr="00AC1971" w:rsidRDefault="008544E7" w:rsidP="009D6703">
            <w:pPr>
              <w:spacing w:after="0" w:line="240" w:lineRule="auto"/>
              <w:jc w:val="right"/>
              <w:rPr>
                <w:rFonts w:ascii="Arial" w:eastAsia="Times New Roman" w:hAnsi="Arial" w:cs="Arial"/>
                <w:b/>
                <w:bCs/>
                <w:color w:val="000000" w:themeColor="text1"/>
                <w:sz w:val="16"/>
                <w:szCs w:val="16"/>
                <w:lang w:val="en-US"/>
              </w:rPr>
            </w:pPr>
            <w:r w:rsidRPr="00AC1971">
              <w:rPr>
                <w:rFonts w:ascii="Arial" w:eastAsia="Times New Roman" w:hAnsi="Arial" w:cs="Arial"/>
                <w:b/>
                <w:bCs/>
                <w:color w:val="000000" w:themeColor="text1"/>
                <w:sz w:val="16"/>
                <w:szCs w:val="16"/>
                <w:lang w:val="en-US"/>
              </w:rPr>
              <w:t>344,335.81</w:t>
            </w:r>
          </w:p>
        </w:tc>
        <w:tc>
          <w:tcPr>
            <w:tcW w:w="928" w:type="dxa"/>
            <w:tcBorders>
              <w:top w:val="nil"/>
              <w:left w:val="nil"/>
              <w:bottom w:val="single" w:sz="4" w:space="0" w:color="auto"/>
              <w:right w:val="single" w:sz="4" w:space="0" w:color="auto"/>
            </w:tcBorders>
            <w:shd w:val="clear" w:color="000000" w:fill="FFFFFF"/>
            <w:vAlign w:val="bottom"/>
          </w:tcPr>
          <w:p w14:paraId="4005CB20" w14:textId="77777777" w:rsidR="00860A63" w:rsidRPr="00AC1971" w:rsidRDefault="00860A63" w:rsidP="009D6703">
            <w:pPr>
              <w:spacing w:after="0" w:line="240" w:lineRule="auto"/>
              <w:jc w:val="right"/>
              <w:rPr>
                <w:rFonts w:ascii="Arial" w:eastAsia="Times New Roman" w:hAnsi="Arial" w:cs="Arial"/>
                <w:b/>
                <w:bCs/>
                <w:color w:val="000000" w:themeColor="text1"/>
                <w:sz w:val="16"/>
                <w:szCs w:val="16"/>
              </w:rPr>
            </w:pPr>
          </w:p>
          <w:p w14:paraId="5B97C231" w14:textId="4827DFDF" w:rsidR="00CF0B0C" w:rsidRPr="00AC1971" w:rsidRDefault="001F0E4B" w:rsidP="009D6703">
            <w:pPr>
              <w:spacing w:after="0" w:line="240" w:lineRule="auto"/>
              <w:jc w:val="right"/>
              <w:rPr>
                <w:rFonts w:ascii="Arial" w:eastAsia="Times New Roman" w:hAnsi="Arial" w:cs="Arial"/>
                <w:b/>
                <w:bCs/>
                <w:color w:val="000000" w:themeColor="text1"/>
                <w:sz w:val="16"/>
                <w:szCs w:val="16"/>
                <w:lang w:val="en-US"/>
              </w:rPr>
            </w:pPr>
            <w:r w:rsidRPr="00AC1971">
              <w:rPr>
                <w:rFonts w:ascii="Arial" w:eastAsia="Times New Roman" w:hAnsi="Arial" w:cs="Arial"/>
                <w:b/>
                <w:bCs/>
                <w:color w:val="000000" w:themeColor="text1"/>
                <w:sz w:val="16"/>
                <w:szCs w:val="16"/>
                <w:lang w:val="en-US"/>
              </w:rPr>
              <w:t>79,803</w:t>
            </w:r>
            <w:r w:rsidR="00E20514" w:rsidRPr="00AC1971">
              <w:rPr>
                <w:rFonts w:ascii="Arial" w:eastAsia="Times New Roman" w:hAnsi="Arial" w:cs="Arial"/>
                <w:b/>
                <w:bCs/>
                <w:color w:val="000000" w:themeColor="text1"/>
                <w:sz w:val="16"/>
                <w:szCs w:val="16"/>
                <w:lang w:val="en-US"/>
              </w:rPr>
              <w:t>.00</w:t>
            </w:r>
          </w:p>
        </w:tc>
        <w:tc>
          <w:tcPr>
            <w:tcW w:w="1017" w:type="dxa"/>
            <w:tcBorders>
              <w:top w:val="nil"/>
              <w:left w:val="nil"/>
              <w:bottom w:val="single" w:sz="4" w:space="0" w:color="auto"/>
              <w:right w:val="single" w:sz="4" w:space="0" w:color="auto"/>
            </w:tcBorders>
            <w:shd w:val="clear" w:color="000000" w:fill="FFFFFF"/>
            <w:vAlign w:val="bottom"/>
            <w:hideMark/>
          </w:tcPr>
          <w:p w14:paraId="245C14AF" w14:textId="77777777" w:rsidR="00860A63" w:rsidRPr="00AC1971" w:rsidRDefault="00860A63" w:rsidP="009D6703">
            <w:pPr>
              <w:spacing w:after="0" w:line="240" w:lineRule="auto"/>
              <w:jc w:val="right"/>
              <w:rPr>
                <w:rFonts w:ascii="Arial" w:eastAsia="Times New Roman" w:hAnsi="Arial" w:cs="Arial"/>
                <w:b/>
                <w:bCs/>
                <w:color w:val="000000" w:themeColor="text1"/>
                <w:sz w:val="16"/>
                <w:szCs w:val="16"/>
                <w:lang w:val="en-GB"/>
              </w:rPr>
            </w:pPr>
          </w:p>
          <w:p w14:paraId="6801C2DE" w14:textId="3CC4398A" w:rsidR="00860A63" w:rsidRPr="00AC1971" w:rsidRDefault="0029718E" w:rsidP="009D6703">
            <w:pPr>
              <w:spacing w:after="0" w:line="240" w:lineRule="auto"/>
              <w:jc w:val="right"/>
              <w:rPr>
                <w:rFonts w:ascii="Arial" w:eastAsia="Times New Roman" w:hAnsi="Arial" w:cs="Arial"/>
                <w:b/>
                <w:bCs/>
                <w:color w:val="000000" w:themeColor="text1"/>
                <w:sz w:val="16"/>
                <w:szCs w:val="16"/>
                <w:lang w:val="en-US"/>
              </w:rPr>
            </w:pPr>
            <w:r w:rsidRPr="00AC1971">
              <w:rPr>
                <w:rFonts w:ascii="Arial" w:eastAsia="Times New Roman" w:hAnsi="Arial" w:cs="Arial"/>
                <w:b/>
                <w:bCs/>
                <w:color w:val="000000" w:themeColor="text1"/>
                <w:sz w:val="16"/>
                <w:szCs w:val="16"/>
                <w:lang w:val="en-US"/>
              </w:rPr>
              <w:t>203,656.81</w:t>
            </w:r>
          </w:p>
        </w:tc>
        <w:tc>
          <w:tcPr>
            <w:tcW w:w="1017" w:type="dxa"/>
            <w:tcBorders>
              <w:top w:val="nil"/>
              <w:left w:val="nil"/>
              <w:bottom w:val="single" w:sz="4" w:space="0" w:color="auto"/>
              <w:right w:val="nil"/>
            </w:tcBorders>
            <w:shd w:val="clear" w:color="000000" w:fill="FFFFFF"/>
            <w:vAlign w:val="bottom"/>
            <w:hideMark/>
          </w:tcPr>
          <w:p w14:paraId="33D5015C" w14:textId="77777777" w:rsidR="00860A63" w:rsidRPr="00AC1971" w:rsidRDefault="00860A63" w:rsidP="009D6703">
            <w:pPr>
              <w:spacing w:after="0" w:line="240" w:lineRule="auto"/>
              <w:jc w:val="right"/>
              <w:rPr>
                <w:rFonts w:ascii="Arial" w:eastAsia="Times New Roman" w:hAnsi="Arial" w:cs="Arial"/>
                <w:b/>
                <w:bCs/>
                <w:color w:val="000000" w:themeColor="text1"/>
                <w:sz w:val="16"/>
                <w:szCs w:val="16"/>
                <w:lang w:val="en-GB"/>
              </w:rPr>
            </w:pPr>
          </w:p>
          <w:p w14:paraId="269D9C29" w14:textId="4EE04091" w:rsidR="00860A63" w:rsidRPr="00AC1971" w:rsidRDefault="00116A88" w:rsidP="009D6703">
            <w:pPr>
              <w:spacing w:after="0" w:line="240" w:lineRule="auto"/>
              <w:jc w:val="right"/>
              <w:rPr>
                <w:rFonts w:ascii="Arial" w:eastAsia="Times New Roman" w:hAnsi="Arial" w:cs="Arial"/>
                <w:b/>
                <w:bCs/>
                <w:color w:val="000000" w:themeColor="text1"/>
                <w:sz w:val="16"/>
                <w:szCs w:val="16"/>
                <w:lang w:val="en-US"/>
              </w:rPr>
            </w:pPr>
            <w:r w:rsidRPr="00AC1971">
              <w:rPr>
                <w:rFonts w:ascii="Arial" w:eastAsia="Times New Roman" w:hAnsi="Arial" w:cs="Arial"/>
                <w:b/>
                <w:bCs/>
                <w:color w:val="000000" w:themeColor="text1"/>
                <w:sz w:val="16"/>
                <w:szCs w:val="16"/>
                <w:lang w:val="en-US"/>
              </w:rPr>
              <w:t>283,459.81</w:t>
            </w:r>
          </w:p>
        </w:tc>
        <w:tc>
          <w:tcPr>
            <w:tcW w:w="990" w:type="dxa"/>
            <w:tcBorders>
              <w:top w:val="nil"/>
              <w:left w:val="double" w:sz="6" w:space="0" w:color="auto"/>
              <w:bottom w:val="single" w:sz="4" w:space="0" w:color="auto"/>
              <w:right w:val="single" w:sz="4" w:space="0" w:color="auto"/>
            </w:tcBorders>
            <w:shd w:val="clear" w:color="000000" w:fill="FFFFFF"/>
            <w:vAlign w:val="bottom"/>
            <w:hideMark/>
          </w:tcPr>
          <w:p w14:paraId="190DF1BE" w14:textId="77777777" w:rsidR="00860A63" w:rsidRPr="00AC1971" w:rsidRDefault="00860A63" w:rsidP="009D6703">
            <w:pPr>
              <w:spacing w:after="0" w:line="240" w:lineRule="auto"/>
              <w:jc w:val="right"/>
              <w:rPr>
                <w:rFonts w:ascii="Arial" w:eastAsia="Times New Roman" w:hAnsi="Arial" w:cs="Arial"/>
                <w:b/>
                <w:bCs/>
                <w:color w:val="000000" w:themeColor="text1"/>
                <w:sz w:val="16"/>
                <w:szCs w:val="16"/>
                <w:lang w:val="en-GB"/>
              </w:rPr>
            </w:pPr>
          </w:p>
          <w:p w14:paraId="077C9EC0" w14:textId="58E31C21" w:rsidR="00860A63" w:rsidRPr="00AC1971" w:rsidRDefault="00EB3BA2" w:rsidP="009D6703">
            <w:pPr>
              <w:spacing w:after="0" w:line="240" w:lineRule="auto"/>
              <w:jc w:val="right"/>
              <w:rPr>
                <w:rFonts w:ascii="Arial" w:eastAsia="Times New Roman" w:hAnsi="Arial" w:cs="Arial"/>
                <w:b/>
                <w:bCs/>
                <w:color w:val="000000" w:themeColor="text1"/>
                <w:sz w:val="16"/>
                <w:szCs w:val="16"/>
                <w:lang w:val="en-GB"/>
              </w:rPr>
            </w:pPr>
            <w:r w:rsidRPr="00AC1971">
              <w:rPr>
                <w:rFonts w:ascii="Arial" w:eastAsia="Times New Roman" w:hAnsi="Arial" w:cs="Arial"/>
                <w:b/>
                <w:bCs/>
                <w:color w:val="000000" w:themeColor="text1"/>
                <w:sz w:val="16"/>
                <w:szCs w:val="16"/>
                <w:lang w:val="en-GB"/>
              </w:rPr>
              <w:t>23</w:t>
            </w:r>
          </w:p>
        </w:tc>
        <w:tc>
          <w:tcPr>
            <w:tcW w:w="990" w:type="dxa"/>
            <w:tcBorders>
              <w:top w:val="nil"/>
              <w:left w:val="nil"/>
              <w:bottom w:val="single" w:sz="4" w:space="0" w:color="auto"/>
              <w:right w:val="double" w:sz="6" w:space="0" w:color="auto"/>
            </w:tcBorders>
            <w:shd w:val="clear" w:color="000000" w:fill="FFFFFF"/>
            <w:vAlign w:val="bottom"/>
            <w:hideMark/>
          </w:tcPr>
          <w:p w14:paraId="204B37CA" w14:textId="7B75E912" w:rsidR="00860A63" w:rsidRPr="00AC1971" w:rsidRDefault="00860A63" w:rsidP="009D6703">
            <w:pPr>
              <w:spacing w:after="0" w:line="240" w:lineRule="auto"/>
              <w:jc w:val="right"/>
              <w:rPr>
                <w:rFonts w:ascii="Arial" w:eastAsia="Times New Roman" w:hAnsi="Arial" w:cs="Arial"/>
                <w:b/>
                <w:bCs/>
                <w:color w:val="000000" w:themeColor="text1"/>
                <w:sz w:val="16"/>
                <w:szCs w:val="16"/>
              </w:rPr>
            </w:pPr>
          </w:p>
          <w:p w14:paraId="757B46E1" w14:textId="6FB6A6B1" w:rsidR="00516138" w:rsidRPr="00AC1971" w:rsidRDefault="00DC744B" w:rsidP="009D6703">
            <w:pPr>
              <w:spacing w:after="0" w:line="240" w:lineRule="auto"/>
              <w:jc w:val="right"/>
              <w:rPr>
                <w:rFonts w:ascii="Arial" w:eastAsia="Times New Roman" w:hAnsi="Arial" w:cs="Arial"/>
                <w:b/>
                <w:bCs/>
                <w:color w:val="000000" w:themeColor="text1"/>
                <w:sz w:val="16"/>
                <w:szCs w:val="16"/>
                <w:lang w:val="en-US"/>
              </w:rPr>
            </w:pPr>
            <w:r w:rsidRPr="00AC1971">
              <w:rPr>
                <w:rFonts w:ascii="Arial" w:eastAsia="Times New Roman" w:hAnsi="Arial" w:cs="Arial"/>
                <w:b/>
                <w:bCs/>
                <w:color w:val="000000" w:themeColor="text1"/>
                <w:sz w:val="16"/>
                <w:szCs w:val="16"/>
                <w:lang w:val="en-US"/>
              </w:rPr>
              <w:t>82</w:t>
            </w:r>
          </w:p>
          <w:p w14:paraId="52E2D4A9" w14:textId="2E85C649" w:rsidR="00860A63" w:rsidRPr="00AC1971" w:rsidRDefault="00860A63" w:rsidP="009D6703">
            <w:pPr>
              <w:spacing w:after="0" w:line="240" w:lineRule="auto"/>
              <w:jc w:val="right"/>
              <w:rPr>
                <w:rFonts w:ascii="Arial" w:eastAsia="Times New Roman" w:hAnsi="Arial" w:cs="Arial"/>
                <w:b/>
                <w:bCs/>
                <w:color w:val="000000" w:themeColor="text1"/>
                <w:sz w:val="16"/>
                <w:szCs w:val="16"/>
                <w:lang w:val="en-GB"/>
              </w:rPr>
            </w:pPr>
          </w:p>
        </w:tc>
        <w:tc>
          <w:tcPr>
            <w:tcW w:w="954" w:type="dxa"/>
            <w:tcBorders>
              <w:top w:val="nil"/>
              <w:left w:val="nil"/>
              <w:bottom w:val="single" w:sz="4" w:space="0" w:color="auto"/>
              <w:right w:val="double" w:sz="6" w:space="0" w:color="auto"/>
            </w:tcBorders>
            <w:shd w:val="clear" w:color="000000" w:fill="FFFFFF"/>
            <w:vAlign w:val="bottom"/>
          </w:tcPr>
          <w:p w14:paraId="37B8769E" w14:textId="77777777" w:rsidR="00860A63" w:rsidRPr="00AC1971" w:rsidRDefault="00860A63" w:rsidP="009D6703">
            <w:pPr>
              <w:spacing w:after="0" w:line="240" w:lineRule="auto"/>
              <w:jc w:val="right"/>
              <w:rPr>
                <w:rFonts w:ascii="Arial" w:eastAsia="Times New Roman" w:hAnsi="Arial" w:cs="Arial"/>
                <w:b/>
                <w:bCs/>
                <w:color w:val="000000" w:themeColor="text1"/>
                <w:sz w:val="16"/>
                <w:szCs w:val="16"/>
                <w:lang w:val="en-GB"/>
              </w:rPr>
            </w:pPr>
          </w:p>
          <w:p w14:paraId="67DCA8A5" w14:textId="2EEAD529" w:rsidR="00860A63" w:rsidRPr="00AC1971" w:rsidRDefault="0097018F" w:rsidP="009D6703">
            <w:pPr>
              <w:spacing w:after="0" w:line="240" w:lineRule="auto"/>
              <w:jc w:val="right"/>
              <w:rPr>
                <w:rFonts w:ascii="Arial" w:eastAsia="Times New Roman" w:hAnsi="Arial" w:cs="Arial"/>
                <w:b/>
                <w:bCs/>
                <w:color w:val="000000" w:themeColor="text1"/>
                <w:sz w:val="16"/>
                <w:szCs w:val="16"/>
              </w:rPr>
            </w:pPr>
            <w:r w:rsidRPr="00AC1971">
              <w:rPr>
                <w:rFonts w:ascii="Arial" w:eastAsia="Times New Roman" w:hAnsi="Arial" w:cs="Arial"/>
                <w:b/>
                <w:bCs/>
                <w:color w:val="000000" w:themeColor="text1"/>
                <w:sz w:val="16"/>
                <w:szCs w:val="16"/>
              </w:rPr>
              <w:t>-</w:t>
            </w:r>
          </w:p>
        </w:tc>
      </w:tr>
    </w:tbl>
    <w:p w14:paraId="7E8C6BC8" w14:textId="3AC8DE7E" w:rsidR="00440E12" w:rsidRPr="00AC1971" w:rsidRDefault="00440E12">
      <w:pPr>
        <w:rPr>
          <w:rFonts w:ascii="Arial" w:hAnsi="Arial" w:cs="Arial"/>
          <w:b/>
          <w:bCs/>
          <w:color w:val="000000" w:themeColor="text1"/>
          <w:sz w:val="16"/>
          <w:szCs w:val="16"/>
          <w:lang w:val="en-GB"/>
        </w:rPr>
      </w:pPr>
    </w:p>
    <w:p w14:paraId="65435A44" w14:textId="152629A8" w:rsidR="00145A9D" w:rsidRPr="00AC1971" w:rsidRDefault="00C15EE7" w:rsidP="00C15EE7">
      <w:pPr>
        <w:jc w:val="both"/>
        <w:rPr>
          <w:rFonts w:ascii="Arial" w:hAnsi="Arial" w:cs="Arial"/>
          <w:color w:val="000000" w:themeColor="text1"/>
          <w:lang w:val="en-GB"/>
        </w:rPr>
      </w:pPr>
      <w:r w:rsidRPr="00AC1971">
        <w:rPr>
          <w:rFonts w:ascii="Arial" w:hAnsi="Arial" w:cs="Arial"/>
          <w:color w:val="000000" w:themeColor="text1"/>
          <w:lang w:val="en-GB"/>
        </w:rPr>
        <w:t>As reflected in the above table, budget utilisation during</w:t>
      </w:r>
      <w:r w:rsidR="000E644B" w:rsidRPr="00AC1971">
        <w:rPr>
          <w:rFonts w:ascii="Arial" w:hAnsi="Arial" w:cs="Arial"/>
          <w:color w:val="000000" w:themeColor="text1"/>
          <w:lang w:val="en-GB"/>
        </w:rPr>
        <w:t xml:space="preserve"> the first half of the year was </w:t>
      </w:r>
      <w:r w:rsidRPr="00AC1971">
        <w:rPr>
          <w:rFonts w:ascii="Arial" w:hAnsi="Arial" w:cs="Arial"/>
          <w:color w:val="000000" w:themeColor="text1"/>
          <w:lang w:val="en-GB"/>
        </w:rPr>
        <w:t xml:space="preserve">USD </w:t>
      </w:r>
      <w:r w:rsidR="00F55674" w:rsidRPr="00AC1971">
        <w:rPr>
          <w:rFonts w:ascii="Arial" w:hAnsi="Arial" w:cs="Arial"/>
          <w:color w:val="000000" w:themeColor="text1"/>
          <w:lang w:val="en-GB"/>
        </w:rPr>
        <w:t>79,</w:t>
      </w:r>
      <w:r w:rsidR="005F25BE" w:rsidRPr="00AC1971">
        <w:rPr>
          <w:rFonts w:ascii="Arial" w:hAnsi="Arial" w:cs="Arial"/>
          <w:color w:val="000000" w:themeColor="text1"/>
          <w:lang w:val="en-GB"/>
        </w:rPr>
        <w:t>803</w:t>
      </w:r>
      <w:r w:rsidR="00E20514" w:rsidRPr="00AC1971">
        <w:rPr>
          <w:rFonts w:ascii="Arial" w:hAnsi="Arial" w:cs="Arial"/>
          <w:color w:val="000000" w:themeColor="text1"/>
          <w:lang w:val="en-GB"/>
        </w:rPr>
        <w:t>.00</w:t>
      </w:r>
      <w:r w:rsidRPr="00AC1971">
        <w:rPr>
          <w:rFonts w:ascii="Arial" w:hAnsi="Arial" w:cs="Arial"/>
          <w:color w:val="000000" w:themeColor="text1"/>
          <w:lang w:val="en-GB"/>
        </w:rPr>
        <w:t xml:space="preserve"> representing </w:t>
      </w:r>
      <w:r w:rsidR="00344190" w:rsidRPr="00AC1971">
        <w:rPr>
          <w:rFonts w:ascii="Arial" w:hAnsi="Arial" w:cs="Arial"/>
          <w:color w:val="000000" w:themeColor="text1"/>
          <w:lang w:val="en-GB"/>
        </w:rPr>
        <w:t>23</w:t>
      </w:r>
      <w:r w:rsidR="000E644B" w:rsidRPr="00AC1971">
        <w:rPr>
          <w:rFonts w:ascii="Arial" w:hAnsi="Arial" w:cs="Arial"/>
          <w:color w:val="000000" w:themeColor="text1"/>
          <w:lang w:val="en-GB"/>
        </w:rPr>
        <w:t>%</w:t>
      </w:r>
      <w:r w:rsidR="00145A9D" w:rsidRPr="00AC1971">
        <w:rPr>
          <w:rFonts w:ascii="Arial" w:hAnsi="Arial" w:cs="Arial"/>
          <w:color w:val="000000" w:themeColor="text1"/>
          <w:lang w:val="en-GB"/>
        </w:rPr>
        <w:t xml:space="preserve"> of the 2019 </w:t>
      </w:r>
      <w:r w:rsidR="000D212A" w:rsidRPr="00AC1971">
        <w:rPr>
          <w:rFonts w:ascii="Arial" w:hAnsi="Arial" w:cs="Arial"/>
          <w:color w:val="000000" w:themeColor="text1"/>
          <w:lang w:val="en-GB"/>
        </w:rPr>
        <w:t xml:space="preserve">budget. </w:t>
      </w:r>
      <w:r w:rsidR="004777B4" w:rsidRPr="00AC1971">
        <w:rPr>
          <w:rFonts w:ascii="Arial" w:hAnsi="Arial" w:cs="Arial"/>
          <w:color w:val="000000" w:themeColor="text1"/>
          <w:lang w:val="en-GB"/>
        </w:rPr>
        <w:t xml:space="preserve">In the </w:t>
      </w:r>
      <w:r w:rsidR="008E046E" w:rsidRPr="00AC1971">
        <w:rPr>
          <w:rFonts w:ascii="Arial" w:hAnsi="Arial" w:cs="Arial"/>
          <w:color w:val="000000" w:themeColor="text1"/>
          <w:lang w:val="en-GB"/>
        </w:rPr>
        <w:t xml:space="preserve">Second half </w:t>
      </w:r>
      <w:r w:rsidR="00F34282" w:rsidRPr="00AC1971">
        <w:rPr>
          <w:rFonts w:ascii="Arial" w:hAnsi="Arial" w:cs="Arial"/>
          <w:color w:val="000000" w:themeColor="text1"/>
          <w:lang w:val="en-GB"/>
        </w:rPr>
        <w:t xml:space="preserve">of the year </w:t>
      </w:r>
      <w:r w:rsidR="000D069E" w:rsidRPr="00AC1971">
        <w:rPr>
          <w:rFonts w:ascii="Arial" w:hAnsi="Arial" w:cs="Arial"/>
          <w:color w:val="000000" w:themeColor="text1"/>
          <w:lang w:val="en-GB"/>
        </w:rPr>
        <w:t xml:space="preserve">USD 51,775.00 </w:t>
      </w:r>
      <w:r w:rsidR="00293CC2" w:rsidRPr="00AC1971">
        <w:rPr>
          <w:rFonts w:ascii="Arial" w:hAnsi="Arial" w:cs="Arial"/>
          <w:color w:val="000000" w:themeColor="text1"/>
          <w:lang w:val="en-GB"/>
        </w:rPr>
        <w:t xml:space="preserve">will be </w:t>
      </w:r>
      <w:r w:rsidR="00623A25" w:rsidRPr="00AC1971">
        <w:rPr>
          <w:rFonts w:ascii="Arial" w:hAnsi="Arial" w:cs="Arial"/>
          <w:color w:val="000000" w:themeColor="text1"/>
          <w:lang w:val="en-GB"/>
        </w:rPr>
        <w:t xml:space="preserve">disbursed to </w:t>
      </w:r>
      <w:r w:rsidR="00A15B7A" w:rsidRPr="00AC1971">
        <w:rPr>
          <w:rFonts w:ascii="Arial" w:hAnsi="Arial" w:cs="Arial"/>
          <w:color w:val="000000" w:themeColor="text1"/>
          <w:lang w:val="en-GB"/>
        </w:rPr>
        <w:t>Egyp</w:t>
      </w:r>
      <w:r w:rsidR="00623A25" w:rsidRPr="00AC1971">
        <w:rPr>
          <w:rFonts w:ascii="Arial" w:hAnsi="Arial" w:cs="Arial"/>
          <w:color w:val="000000" w:themeColor="text1"/>
          <w:lang w:val="en-GB"/>
        </w:rPr>
        <w:t>t for ICP</w:t>
      </w:r>
      <w:r w:rsidR="00A11415" w:rsidRPr="00AC1971">
        <w:rPr>
          <w:rFonts w:ascii="Arial" w:hAnsi="Arial" w:cs="Arial"/>
          <w:color w:val="000000" w:themeColor="text1"/>
          <w:lang w:val="en-GB"/>
        </w:rPr>
        <w:t xml:space="preserve"> </w:t>
      </w:r>
      <w:r w:rsidR="00293CC2" w:rsidRPr="00AC1971">
        <w:rPr>
          <w:rFonts w:ascii="Arial" w:hAnsi="Arial" w:cs="Arial"/>
          <w:color w:val="000000" w:themeColor="text1"/>
          <w:lang w:val="en-GB"/>
        </w:rPr>
        <w:t>activities</w:t>
      </w:r>
      <w:r w:rsidR="002C271A" w:rsidRPr="00AC1971">
        <w:rPr>
          <w:rFonts w:ascii="Arial" w:hAnsi="Arial" w:cs="Arial"/>
          <w:color w:val="000000" w:themeColor="text1"/>
          <w:lang w:val="en-GB"/>
        </w:rPr>
        <w:t xml:space="preserve"> </w:t>
      </w:r>
      <w:r w:rsidR="00F34282" w:rsidRPr="00AC1971">
        <w:rPr>
          <w:rFonts w:ascii="Arial" w:hAnsi="Arial" w:cs="Arial"/>
          <w:color w:val="000000" w:themeColor="text1"/>
          <w:lang w:val="en-GB"/>
        </w:rPr>
        <w:t>and the</w:t>
      </w:r>
      <w:r w:rsidR="000D069E" w:rsidRPr="00AC1971">
        <w:rPr>
          <w:rFonts w:ascii="Arial" w:hAnsi="Arial" w:cs="Arial"/>
          <w:color w:val="000000" w:themeColor="text1"/>
          <w:lang w:val="en-GB"/>
        </w:rPr>
        <w:t xml:space="preserve"> balance outstanding </w:t>
      </w:r>
      <w:r w:rsidR="00312936" w:rsidRPr="00AC1971">
        <w:rPr>
          <w:rFonts w:ascii="Arial" w:hAnsi="Arial" w:cs="Arial"/>
          <w:color w:val="000000" w:themeColor="text1"/>
          <w:lang w:val="en-GB"/>
        </w:rPr>
        <w:t xml:space="preserve">is allocated to </w:t>
      </w:r>
      <w:r w:rsidR="002C271A" w:rsidRPr="00AC1971">
        <w:rPr>
          <w:rFonts w:ascii="Arial" w:hAnsi="Arial" w:cs="Arial"/>
          <w:color w:val="000000" w:themeColor="text1"/>
          <w:lang w:val="en-GB"/>
        </w:rPr>
        <w:t xml:space="preserve">program coordination and </w:t>
      </w:r>
      <w:r w:rsidR="00753BB1" w:rsidRPr="00AC1971">
        <w:rPr>
          <w:rFonts w:ascii="Arial" w:hAnsi="Arial" w:cs="Arial"/>
          <w:color w:val="000000" w:themeColor="text1"/>
          <w:lang w:val="en-GB"/>
        </w:rPr>
        <w:t>supervision missions.</w:t>
      </w:r>
      <w:r w:rsidR="00145A9D" w:rsidRPr="00AC1971">
        <w:rPr>
          <w:rFonts w:ascii="Arial" w:hAnsi="Arial" w:cs="Arial"/>
          <w:color w:val="000000" w:themeColor="text1"/>
          <w:lang w:val="en-GB"/>
        </w:rPr>
        <w:t xml:space="preserve"> </w:t>
      </w:r>
    </w:p>
    <w:p w14:paraId="099425FE" w14:textId="5D2EFC07" w:rsidR="005145D7" w:rsidRPr="00AC1971" w:rsidRDefault="009B20DC" w:rsidP="00AC1971">
      <w:pPr>
        <w:jc w:val="both"/>
        <w:rPr>
          <w:rFonts w:ascii="Arial" w:hAnsi="Arial" w:cs="Arial"/>
          <w:color w:val="000000" w:themeColor="text1"/>
          <w:lang w:val="en-GB"/>
        </w:rPr>
      </w:pPr>
      <w:r w:rsidRPr="00AC1971">
        <w:rPr>
          <w:rFonts w:ascii="Arial" w:hAnsi="Arial" w:cs="Arial"/>
          <w:color w:val="000000" w:themeColor="text1"/>
          <w:lang w:val="en-GB"/>
        </w:rPr>
        <w:t>B</w:t>
      </w:r>
      <w:r w:rsidR="00145A9D" w:rsidRPr="00AC1971">
        <w:rPr>
          <w:rFonts w:ascii="Arial" w:hAnsi="Arial" w:cs="Arial"/>
          <w:color w:val="000000" w:themeColor="text1"/>
          <w:lang w:val="en-GB"/>
        </w:rPr>
        <w:t xml:space="preserve">udget outturn </w:t>
      </w:r>
      <w:r w:rsidR="009541B6" w:rsidRPr="00AC1971">
        <w:rPr>
          <w:rFonts w:ascii="Arial" w:hAnsi="Arial" w:cs="Arial"/>
          <w:color w:val="000000" w:themeColor="text1"/>
          <w:lang w:val="en-GB"/>
        </w:rPr>
        <w:t xml:space="preserve">for the first quarter </w:t>
      </w:r>
      <w:r w:rsidR="009D2ED0" w:rsidRPr="00AC1971">
        <w:rPr>
          <w:rFonts w:ascii="Arial" w:hAnsi="Arial" w:cs="Arial"/>
          <w:color w:val="000000" w:themeColor="text1"/>
          <w:lang w:val="en-GB"/>
        </w:rPr>
        <w:t xml:space="preserve">was 23% and this </w:t>
      </w:r>
      <w:r w:rsidR="00A87286" w:rsidRPr="00AC1971">
        <w:rPr>
          <w:rFonts w:ascii="Arial" w:hAnsi="Arial" w:cs="Arial"/>
          <w:color w:val="000000" w:themeColor="text1"/>
          <w:lang w:val="en-GB"/>
        </w:rPr>
        <w:t xml:space="preserve">can partly be attributed to the </w:t>
      </w:r>
      <w:r w:rsidR="005D10CE" w:rsidRPr="00AC1971">
        <w:rPr>
          <w:rFonts w:ascii="Arial" w:hAnsi="Arial" w:cs="Arial"/>
          <w:color w:val="000000" w:themeColor="text1"/>
          <w:lang w:val="en-GB"/>
        </w:rPr>
        <w:t>pendin</w:t>
      </w:r>
      <w:r w:rsidR="00A77166" w:rsidRPr="00AC1971">
        <w:rPr>
          <w:rFonts w:ascii="Arial" w:hAnsi="Arial" w:cs="Arial"/>
          <w:color w:val="000000" w:themeColor="text1"/>
          <w:lang w:val="en-GB"/>
        </w:rPr>
        <w:t>g</w:t>
      </w:r>
      <w:r w:rsidR="005D10CE" w:rsidRPr="00AC1971">
        <w:rPr>
          <w:rFonts w:ascii="Arial" w:hAnsi="Arial" w:cs="Arial"/>
          <w:color w:val="000000" w:themeColor="text1"/>
          <w:lang w:val="en-GB"/>
        </w:rPr>
        <w:t xml:space="preserve"> disbursement</w:t>
      </w:r>
      <w:r w:rsidR="00B77F68" w:rsidRPr="00AC1971">
        <w:rPr>
          <w:rFonts w:ascii="Arial" w:hAnsi="Arial" w:cs="Arial"/>
          <w:color w:val="000000" w:themeColor="text1"/>
          <w:lang w:val="en-GB"/>
        </w:rPr>
        <w:t xml:space="preserve"> </w:t>
      </w:r>
      <w:r w:rsidR="00F5551C" w:rsidRPr="00AC1971">
        <w:rPr>
          <w:rFonts w:ascii="Arial" w:hAnsi="Arial" w:cs="Arial"/>
          <w:color w:val="000000" w:themeColor="text1"/>
          <w:lang w:val="en-GB"/>
        </w:rPr>
        <w:t>for</w:t>
      </w:r>
      <w:r w:rsidR="00B77F68" w:rsidRPr="00AC1971">
        <w:rPr>
          <w:rFonts w:ascii="Arial" w:hAnsi="Arial" w:cs="Arial"/>
          <w:color w:val="000000" w:themeColor="text1"/>
          <w:lang w:val="en-GB"/>
        </w:rPr>
        <w:t xml:space="preserve"> Egypt</w:t>
      </w:r>
      <w:r w:rsidR="005D10CE" w:rsidRPr="00AC1971">
        <w:rPr>
          <w:rFonts w:ascii="Arial" w:hAnsi="Arial" w:cs="Arial"/>
          <w:color w:val="000000" w:themeColor="text1"/>
          <w:lang w:val="en-GB"/>
        </w:rPr>
        <w:t xml:space="preserve"> </w:t>
      </w:r>
      <w:r w:rsidR="00E848C8" w:rsidRPr="00AC1971">
        <w:rPr>
          <w:rFonts w:ascii="Arial" w:hAnsi="Arial" w:cs="Arial"/>
          <w:color w:val="000000" w:themeColor="text1"/>
          <w:lang w:val="en-GB"/>
        </w:rPr>
        <w:t xml:space="preserve">and </w:t>
      </w:r>
      <w:r w:rsidR="001D629C" w:rsidRPr="00AC1971">
        <w:rPr>
          <w:rFonts w:ascii="Arial" w:hAnsi="Arial" w:cs="Arial"/>
          <w:color w:val="000000" w:themeColor="text1"/>
          <w:lang w:val="en-GB"/>
        </w:rPr>
        <w:t>partly because a portion of the budget is for staff salaries</w:t>
      </w:r>
      <w:r w:rsidR="00F36BDF" w:rsidRPr="00AC1971">
        <w:rPr>
          <w:rFonts w:ascii="Arial" w:hAnsi="Arial" w:cs="Arial"/>
          <w:color w:val="000000" w:themeColor="text1"/>
          <w:lang w:val="en-GB"/>
        </w:rPr>
        <w:t xml:space="preserve">. It is expected that the budget outturn will be </w:t>
      </w:r>
      <w:r w:rsidR="00B35AA1" w:rsidRPr="00AC1971">
        <w:rPr>
          <w:rFonts w:ascii="Arial" w:hAnsi="Arial" w:cs="Arial"/>
          <w:color w:val="000000" w:themeColor="text1"/>
          <w:lang w:val="en-GB"/>
        </w:rPr>
        <w:t>82% by the end of 2019.</w:t>
      </w:r>
      <w:r w:rsidR="000D212A" w:rsidRPr="00AC1971">
        <w:rPr>
          <w:rFonts w:ascii="Arial" w:hAnsi="Arial" w:cs="Arial"/>
          <w:color w:val="000000" w:themeColor="text1"/>
          <w:lang w:val="en-GB"/>
        </w:rPr>
        <w:t xml:space="preserve"> </w:t>
      </w:r>
    </w:p>
    <w:p w14:paraId="138229E3" w14:textId="74DDC4A1" w:rsidR="005145D7" w:rsidRDefault="005145D7" w:rsidP="005145D7">
      <w:pPr>
        <w:pStyle w:val="ListParagraph"/>
        <w:rPr>
          <w:rFonts w:ascii="Arial" w:hAnsi="Arial" w:cs="Arial"/>
          <w:b/>
          <w:bCs/>
          <w:lang w:val="en-GB"/>
        </w:rPr>
      </w:pPr>
    </w:p>
    <w:p w14:paraId="7ACD44F4" w14:textId="0DDDC647" w:rsidR="00913BC3" w:rsidRDefault="00913BC3" w:rsidP="005145D7">
      <w:pPr>
        <w:pStyle w:val="ListParagraph"/>
        <w:rPr>
          <w:rFonts w:ascii="Arial" w:hAnsi="Arial" w:cs="Arial"/>
          <w:b/>
          <w:bCs/>
          <w:lang w:val="en-GB"/>
        </w:rPr>
      </w:pPr>
    </w:p>
    <w:p w14:paraId="100C463F" w14:textId="41EF980F" w:rsidR="00CC4A99" w:rsidRDefault="00CC4A99" w:rsidP="005145D7">
      <w:pPr>
        <w:pStyle w:val="ListParagraph"/>
        <w:rPr>
          <w:rFonts w:ascii="Arial" w:hAnsi="Arial" w:cs="Arial"/>
          <w:b/>
          <w:bCs/>
          <w:lang w:val="en-GB"/>
        </w:rPr>
      </w:pPr>
    </w:p>
    <w:p w14:paraId="1FA941A1" w14:textId="3B479096" w:rsidR="00CC4A99" w:rsidRDefault="00CC4A99" w:rsidP="005145D7">
      <w:pPr>
        <w:pStyle w:val="ListParagraph"/>
        <w:rPr>
          <w:rFonts w:ascii="Arial" w:hAnsi="Arial" w:cs="Arial"/>
          <w:b/>
          <w:bCs/>
          <w:lang w:val="en-GB"/>
        </w:rPr>
      </w:pPr>
    </w:p>
    <w:p w14:paraId="43828ED4" w14:textId="02AE27AC" w:rsidR="00CC4A99" w:rsidRDefault="00CC4A99" w:rsidP="005145D7">
      <w:pPr>
        <w:pStyle w:val="ListParagraph"/>
        <w:rPr>
          <w:rFonts w:ascii="Arial" w:hAnsi="Arial" w:cs="Arial"/>
          <w:b/>
          <w:bCs/>
          <w:lang w:val="en-GB"/>
        </w:rPr>
      </w:pPr>
    </w:p>
    <w:p w14:paraId="6E349DFD" w14:textId="739DEF11" w:rsidR="00CC4A99" w:rsidRDefault="00CC4A99" w:rsidP="005145D7">
      <w:pPr>
        <w:pStyle w:val="ListParagraph"/>
        <w:rPr>
          <w:rFonts w:ascii="Arial" w:hAnsi="Arial" w:cs="Arial"/>
          <w:b/>
          <w:bCs/>
          <w:lang w:val="en-GB"/>
        </w:rPr>
      </w:pPr>
    </w:p>
    <w:p w14:paraId="0CE94F32" w14:textId="6D8FF9EB" w:rsidR="00CC4A99" w:rsidRDefault="00CC4A99" w:rsidP="005145D7">
      <w:pPr>
        <w:pStyle w:val="ListParagraph"/>
        <w:rPr>
          <w:rFonts w:ascii="Arial" w:hAnsi="Arial" w:cs="Arial"/>
          <w:b/>
          <w:bCs/>
          <w:lang w:val="en-GB"/>
        </w:rPr>
      </w:pPr>
    </w:p>
    <w:p w14:paraId="47739485" w14:textId="77777777" w:rsidR="00CC4A99" w:rsidRDefault="00CC4A99" w:rsidP="005145D7">
      <w:pPr>
        <w:pStyle w:val="ListParagraph"/>
        <w:rPr>
          <w:rFonts w:ascii="Arial" w:hAnsi="Arial" w:cs="Arial"/>
          <w:b/>
          <w:bCs/>
          <w:lang w:val="en-GB"/>
        </w:rPr>
      </w:pPr>
    </w:p>
    <w:p w14:paraId="07E1BBC2" w14:textId="79ECAA3C" w:rsidR="00913BC3" w:rsidRDefault="00913BC3" w:rsidP="005145D7">
      <w:pPr>
        <w:pStyle w:val="ListParagraph"/>
        <w:rPr>
          <w:rFonts w:ascii="Arial" w:hAnsi="Arial" w:cs="Arial"/>
          <w:b/>
          <w:bCs/>
          <w:lang w:val="en-GB"/>
        </w:rPr>
      </w:pPr>
    </w:p>
    <w:p w14:paraId="074BB8CF" w14:textId="77777777" w:rsidR="00913BC3" w:rsidRPr="00AC1971" w:rsidRDefault="00913BC3" w:rsidP="005145D7">
      <w:pPr>
        <w:pStyle w:val="ListParagraph"/>
        <w:rPr>
          <w:rFonts w:ascii="Arial" w:hAnsi="Arial" w:cs="Arial"/>
          <w:b/>
          <w:bCs/>
          <w:lang w:val="en-GB"/>
        </w:rPr>
      </w:pPr>
    </w:p>
    <w:p w14:paraId="038DAE2E" w14:textId="5ABF4BC2" w:rsidR="005145D7" w:rsidRPr="00AC1971" w:rsidRDefault="005145D7" w:rsidP="005145D7">
      <w:pPr>
        <w:pStyle w:val="ListParagraph"/>
        <w:numPr>
          <w:ilvl w:val="0"/>
          <w:numId w:val="3"/>
        </w:numPr>
        <w:ind w:hanging="720"/>
        <w:rPr>
          <w:rFonts w:ascii="Arial" w:hAnsi="Arial" w:cs="Arial"/>
          <w:b/>
          <w:bCs/>
          <w:lang w:val="en-GB"/>
        </w:rPr>
      </w:pPr>
      <w:r w:rsidRPr="00AC1971">
        <w:rPr>
          <w:rFonts w:ascii="Arial" w:hAnsi="Arial" w:cs="Arial"/>
          <w:b/>
          <w:bCs/>
          <w:lang w:val="en-GB"/>
        </w:rPr>
        <w:t>Risk Management</w:t>
      </w:r>
    </w:p>
    <w:p w14:paraId="72070501" w14:textId="77777777" w:rsidR="000112D1" w:rsidRPr="00AC1971" w:rsidRDefault="000112D1" w:rsidP="000112D1">
      <w:pPr>
        <w:pStyle w:val="ListParagraph"/>
        <w:rPr>
          <w:rFonts w:ascii="Arial" w:hAnsi="Arial" w:cs="Arial"/>
          <w:lang w:val="en-GB"/>
        </w:rPr>
      </w:pPr>
    </w:p>
    <w:p w14:paraId="6D5FBD7A" w14:textId="3206A859" w:rsidR="005145D7" w:rsidRPr="00AC1971" w:rsidRDefault="000112D1" w:rsidP="000112D1">
      <w:pPr>
        <w:pStyle w:val="ListParagraph"/>
        <w:rPr>
          <w:rFonts w:ascii="Arial" w:hAnsi="Arial" w:cs="Arial"/>
          <w:lang w:val="en-GB"/>
        </w:rPr>
      </w:pPr>
      <w:r w:rsidRPr="00AC1971">
        <w:rPr>
          <w:rFonts w:ascii="Arial" w:hAnsi="Arial" w:cs="Arial"/>
          <w:lang w:val="en-GB"/>
        </w:rPr>
        <w:t>Major risks faced by the programme include;</w:t>
      </w:r>
    </w:p>
    <w:p w14:paraId="44753D44" w14:textId="77777777" w:rsidR="000112D1" w:rsidRPr="00AC1971" w:rsidRDefault="000112D1" w:rsidP="000112D1">
      <w:pPr>
        <w:pStyle w:val="ListParagraph"/>
        <w:rPr>
          <w:rFonts w:ascii="Arial" w:hAnsi="Arial" w:cs="Arial"/>
          <w:lang w:val="en-GB"/>
        </w:rPr>
      </w:pPr>
    </w:p>
    <w:p w14:paraId="0CF4D5F4" w14:textId="77777777" w:rsidR="005145D7" w:rsidRPr="00AC1971" w:rsidRDefault="005145D7" w:rsidP="005145D7">
      <w:pPr>
        <w:pStyle w:val="ListParagraph"/>
        <w:numPr>
          <w:ilvl w:val="0"/>
          <w:numId w:val="14"/>
        </w:numPr>
        <w:jc w:val="both"/>
        <w:rPr>
          <w:rFonts w:ascii="Arial" w:hAnsi="Arial" w:cs="Arial"/>
          <w:lang w:val="en-GB"/>
        </w:rPr>
      </w:pPr>
      <w:r w:rsidRPr="00AC1971">
        <w:rPr>
          <w:rFonts w:ascii="Arial" w:hAnsi="Arial" w:cs="Arial"/>
          <w:lang w:val="en-GB"/>
        </w:rPr>
        <w:t>Some countries (particularly those with large geographical areas) had to scale down on coverage due to limited resources;</w:t>
      </w:r>
    </w:p>
    <w:p w14:paraId="27C0A305" w14:textId="77777777" w:rsidR="005145D7" w:rsidRPr="00AC1971" w:rsidRDefault="005145D7" w:rsidP="005145D7">
      <w:pPr>
        <w:pStyle w:val="ListParagraph"/>
        <w:numPr>
          <w:ilvl w:val="0"/>
          <w:numId w:val="14"/>
        </w:numPr>
        <w:jc w:val="both"/>
        <w:rPr>
          <w:rFonts w:ascii="Arial" w:hAnsi="Arial" w:cs="Arial"/>
          <w:lang w:val="en-GB"/>
        </w:rPr>
      </w:pPr>
      <w:r w:rsidRPr="00AC1971">
        <w:rPr>
          <w:rFonts w:ascii="Arial" w:hAnsi="Arial" w:cs="Arial"/>
          <w:lang w:val="en-GB"/>
        </w:rPr>
        <w:t>Delays in signing the Implementation Agreements consequently affected the commencement of surveys in some countries;</w:t>
      </w:r>
    </w:p>
    <w:p w14:paraId="243AC532" w14:textId="77777777" w:rsidR="005145D7" w:rsidRPr="00AC1971" w:rsidRDefault="005145D7" w:rsidP="005145D7">
      <w:pPr>
        <w:pStyle w:val="ListParagraph"/>
        <w:ind w:left="2160"/>
        <w:jc w:val="both"/>
        <w:rPr>
          <w:rFonts w:ascii="Arial" w:hAnsi="Arial" w:cs="Arial"/>
          <w:lang w:val="en-GB"/>
        </w:rPr>
      </w:pPr>
    </w:p>
    <w:p w14:paraId="7DABC27D" w14:textId="77777777" w:rsidR="005145D7" w:rsidRPr="00AC1971" w:rsidRDefault="005145D7" w:rsidP="005145D7">
      <w:pPr>
        <w:pStyle w:val="ListParagraph"/>
        <w:numPr>
          <w:ilvl w:val="0"/>
          <w:numId w:val="14"/>
        </w:numPr>
        <w:rPr>
          <w:rFonts w:ascii="Arial" w:hAnsi="Arial" w:cs="Arial"/>
          <w:lang w:val="en-GB"/>
        </w:rPr>
      </w:pPr>
      <w:r w:rsidRPr="00AC1971">
        <w:rPr>
          <w:rFonts w:ascii="Arial" w:hAnsi="Arial" w:cs="Arial"/>
          <w:lang w:val="en-GB"/>
        </w:rPr>
        <w:t>Delays in retiring disbursed funds had an impact on the implementation of activities in some countries</w:t>
      </w:r>
    </w:p>
    <w:p w14:paraId="41511F82" w14:textId="77777777" w:rsidR="005145D7" w:rsidRPr="00AC1971" w:rsidRDefault="005145D7" w:rsidP="005145D7">
      <w:pPr>
        <w:pStyle w:val="ListParagraph"/>
        <w:rPr>
          <w:rFonts w:ascii="Arial" w:hAnsi="Arial" w:cs="Arial"/>
          <w:lang w:val="en-GB"/>
        </w:rPr>
      </w:pPr>
    </w:p>
    <w:p w14:paraId="60329FDB" w14:textId="77777777" w:rsidR="005145D7" w:rsidRPr="00AC1971" w:rsidRDefault="005145D7" w:rsidP="005145D7">
      <w:pPr>
        <w:pStyle w:val="ListParagraph"/>
        <w:numPr>
          <w:ilvl w:val="0"/>
          <w:numId w:val="14"/>
        </w:numPr>
        <w:rPr>
          <w:rFonts w:ascii="Arial" w:hAnsi="Arial" w:cs="Arial"/>
          <w:lang w:val="en-GB"/>
        </w:rPr>
      </w:pPr>
      <w:r w:rsidRPr="00AC1971">
        <w:rPr>
          <w:rFonts w:ascii="Arial" w:hAnsi="Arial" w:cs="Arial"/>
          <w:lang w:val="en-GB"/>
        </w:rPr>
        <w:t>Disbursement of funds to some countries was a challenge due to some factors such as political sanctions and economic difficulties causing scarcity of foreign exchange resulting in hard cash being physically delivered to these countries;</w:t>
      </w:r>
    </w:p>
    <w:p w14:paraId="112B8867" w14:textId="77777777" w:rsidR="005145D7" w:rsidRPr="00AC1971" w:rsidRDefault="005145D7" w:rsidP="005145D7">
      <w:pPr>
        <w:pStyle w:val="ListParagraph"/>
        <w:rPr>
          <w:rFonts w:ascii="Arial" w:hAnsi="Arial" w:cs="Arial"/>
          <w:lang w:val="en-GB"/>
        </w:rPr>
      </w:pPr>
    </w:p>
    <w:p w14:paraId="4E1C83DA" w14:textId="77777777" w:rsidR="005145D7" w:rsidRPr="00AC1971" w:rsidRDefault="005145D7" w:rsidP="005145D7">
      <w:pPr>
        <w:pStyle w:val="ListParagraph"/>
        <w:numPr>
          <w:ilvl w:val="0"/>
          <w:numId w:val="14"/>
        </w:numPr>
        <w:rPr>
          <w:rFonts w:ascii="Arial" w:hAnsi="Arial" w:cs="Arial"/>
          <w:lang w:val="en-GB"/>
        </w:rPr>
      </w:pPr>
      <w:r w:rsidRPr="00AC1971">
        <w:rPr>
          <w:rFonts w:ascii="Arial" w:hAnsi="Arial" w:cs="Arial"/>
          <w:lang w:val="en-GB"/>
        </w:rPr>
        <w:t>A good number of countries did not factor in the National Accounts activities in their budgets, this paused a risk to the implementation of National Accounts surveys;</w:t>
      </w:r>
    </w:p>
    <w:p w14:paraId="36FB1105" w14:textId="77777777" w:rsidR="005145D7" w:rsidRPr="00AC1971" w:rsidRDefault="005145D7" w:rsidP="005145D7">
      <w:pPr>
        <w:pStyle w:val="ListParagraph"/>
        <w:rPr>
          <w:rFonts w:ascii="Arial" w:hAnsi="Arial" w:cs="Arial"/>
          <w:lang w:val="en-GB"/>
        </w:rPr>
      </w:pPr>
    </w:p>
    <w:p w14:paraId="58C8C9F3" w14:textId="77777777" w:rsidR="005145D7" w:rsidRPr="00AC1971" w:rsidRDefault="005145D7" w:rsidP="005145D7">
      <w:pPr>
        <w:pStyle w:val="ListParagraph"/>
        <w:numPr>
          <w:ilvl w:val="0"/>
          <w:numId w:val="14"/>
        </w:numPr>
        <w:rPr>
          <w:rFonts w:ascii="Arial" w:hAnsi="Arial" w:cs="Arial"/>
          <w:lang w:val="en-GB"/>
        </w:rPr>
      </w:pPr>
      <w:r w:rsidRPr="00AC1971">
        <w:rPr>
          <w:rFonts w:ascii="Arial" w:hAnsi="Arial" w:cs="Arial"/>
          <w:lang w:val="en-GB"/>
        </w:rPr>
        <w:t>Staff turnover in some countries caused delays in the implementation of activities.</w:t>
      </w:r>
    </w:p>
    <w:p w14:paraId="29F86704" w14:textId="77777777" w:rsidR="005145D7" w:rsidRPr="00AC1971" w:rsidRDefault="005145D7" w:rsidP="005145D7">
      <w:pPr>
        <w:pStyle w:val="ListParagraph"/>
        <w:rPr>
          <w:rFonts w:ascii="Arial" w:hAnsi="Arial" w:cs="Arial"/>
          <w:i/>
          <w:iCs/>
          <w:lang w:val="en-GB"/>
        </w:rPr>
      </w:pPr>
    </w:p>
    <w:p w14:paraId="3994C1F8" w14:textId="77777777" w:rsidR="005145D7" w:rsidRPr="00AC1971" w:rsidRDefault="005145D7" w:rsidP="005145D7">
      <w:pPr>
        <w:pStyle w:val="ListParagraph"/>
        <w:numPr>
          <w:ilvl w:val="0"/>
          <w:numId w:val="3"/>
        </w:numPr>
        <w:ind w:hanging="720"/>
        <w:rPr>
          <w:rFonts w:ascii="Arial" w:hAnsi="Arial" w:cs="Arial"/>
          <w:b/>
          <w:bCs/>
          <w:lang w:val="en-GB"/>
        </w:rPr>
      </w:pPr>
      <w:r w:rsidRPr="00AC1971">
        <w:rPr>
          <w:rFonts w:ascii="Arial" w:hAnsi="Arial" w:cs="Arial"/>
          <w:b/>
          <w:bCs/>
          <w:lang w:val="en-GB"/>
        </w:rPr>
        <w:t>Recommendation</w:t>
      </w:r>
    </w:p>
    <w:p w14:paraId="1AE225CE" w14:textId="77777777" w:rsidR="005145D7" w:rsidRPr="00AC1971" w:rsidRDefault="005145D7" w:rsidP="005145D7">
      <w:pPr>
        <w:rPr>
          <w:rFonts w:ascii="Arial" w:hAnsi="Arial" w:cs="Arial"/>
          <w:lang w:val="en-GB"/>
        </w:rPr>
      </w:pPr>
      <w:r w:rsidRPr="00AC1971">
        <w:rPr>
          <w:rFonts w:ascii="Arial" w:hAnsi="Arial" w:cs="Arial"/>
          <w:lang w:val="en-GB"/>
        </w:rPr>
        <w:t>Based on the budget outturn analysis and risk, management proposes the following;</w:t>
      </w:r>
    </w:p>
    <w:p w14:paraId="70D11A16" w14:textId="77777777" w:rsidR="005145D7" w:rsidRPr="00AC1971" w:rsidRDefault="005145D7" w:rsidP="005145D7">
      <w:pPr>
        <w:pStyle w:val="ListParagraph"/>
        <w:numPr>
          <w:ilvl w:val="0"/>
          <w:numId w:val="13"/>
        </w:numPr>
        <w:rPr>
          <w:rFonts w:ascii="Arial" w:hAnsi="Arial" w:cs="Arial"/>
          <w:lang w:val="en-GB"/>
        </w:rPr>
      </w:pPr>
      <w:r w:rsidRPr="00AC1971">
        <w:rPr>
          <w:rFonts w:ascii="Arial" w:hAnsi="Arial" w:cs="Arial"/>
          <w:lang w:val="en-GB"/>
        </w:rPr>
        <w:t>Timely and consistent bilateral engagement with participating Member states</w:t>
      </w:r>
    </w:p>
    <w:p w14:paraId="20E2BE6C" w14:textId="77777777" w:rsidR="005145D7" w:rsidRPr="00AC1971" w:rsidRDefault="005145D7" w:rsidP="005145D7">
      <w:pPr>
        <w:pStyle w:val="ListParagraph"/>
        <w:numPr>
          <w:ilvl w:val="0"/>
          <w:numId w:val="13"/>
        </w:numPr>
        <w:rPr>
          <w:rFonts w:ascii="Arial" w:hAnsi="Arial" w:cs="Arial"/>
          <w:lang w:val="en-GB"/>
        </w:rPr>
      </w:pPr>
      <w:r w:rsidRPr="00AC1971">
        <w:rPr>
          <w:rFonts w:ascii="Arial" w:hAnsi="Arial" w:cs="Arial"/>
          <w:lang w:val="en-GB"/>
        </w:rPr>
        <w:t>Training of staff from the Central statistics offices</w:t>
      </w:r>
    </w:p>
    <w:p w14:paraId="35AFF599" w14:textId="77777777" w:rsidR="005145D7" w:rsidRPr="00AC1971" w:rsidRDefault="005145D7" w:rsidP="005145D7">
      <w:pPr>
        <w:pStyle w:val="ListParagraph"/>
        <w:numPr>
          <w:ilvl w:val="0"/>
          <w:numId w:val="13"/>
        </w:numPr>
        <w:rPr>
          <w:rFonts w:ascii="Arial" w:hAnsi="Arial" w:cs="Arial"/>
          <w:lang w:val="en-GB"/>
        </w:rPr>
      </w:pPr>
      <w:r w:rsidRPr="00AC1971">
        <w:rPr>
          <w:rFonts w:ascii="Arial" w:hAnsi="Arial" w:cs="Arial"/>
          <w:lang w:val="en-GB"/>
        </w:rPr>
        <w:t xml:space="preserve">Timely engagement of relevant Ministry’s/Departments to mitigate challenges of Government bureaucracies.  </w:t>
      </w:r>
    </w:p>
    <w:p w14:paraId="3A6DC98C" w14:textId="77777777" w:rsidR="005145D7" w:rsidRPr="00AC1971" w:rsidRDefault="005145D7" w:rsidP="005145D7">
      <w:pPr>
        <w:pStyle w:val="ListParagraph"/>
        <w:ind w:left="1440"/>
        <w:rPr>
          <w:rFonts w:ascii="Arial" w:hAnsi="Arial" w:cs="Arial"/>
          <w:lang w:val="en-GB"/>
        </w:rPr>
      </w:pPr>
    </w:p>
    <w:p w14:paraId="20D9C6F8" w14:textId="77777777" w:rsidR="005145D7" w:rsidRPr="00AC1971" w:rsidRDefault="005145D7" w:rsidP="005145D7">
      <w:pPr>
        <w:pStyle w:val="ListParagraph"/>
        <w:rPr>
          <w:rFonts w:ascii="Arial" w:hAnsi="Arial" w:cs="Arial"/>
          <w:lang w:val="en-GB"/>
        </w:rPr>
      </w:pPr>
    </w:p>
    <w:p w14:paraId="14D361CD" w14:textId="77777777" w:rsidR="003A7C2F" w:rsidRPr="00AC1971" w:rsidRDefault="003A7C2F" w:rsidP="00EE5549">
      <w:pPr>
        <w:rPr>
          <w:rFonts w:ascii="Arial" w:hAnsi="Arial" w:cs="Arial"/>
          <w:b/>
          <w:bCs/>
          <w:color w:val="000000" w:themeColor="text1"/>
          <w:lang w:val="en-GB"/>
        </w:rPr>
      </w:pPr>
    </w:p>
    <w:sectPr w:rsidR="003A7C2F" w:rsidRPr="00AC19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A5AB5" w14:textId="77777777" w:rsidR="008D1AAF" w:rsidRDefault="008D1AAF" w:rsidP="00EA5707">
      <w:pPr>
        <w:spacing w:after="0" w:line="240" w:lineRule="auto"/>
      </w:pPr>
      <w:r>
        <w:separator/>
      </w:r>
    </w:p>
  </w:endnote>
  <w:endnote w:type="continuationSeparator" w:id="0">
    <w:p w14:paraId="158D5EA2" w14:textId="77777777" w:rsidR="008D1AAF" w:rsidRDefault="008D1AAF" w:rsidP="00EA5707">
      <w:pPr>
        <w:spacing w:after="0" w:line="240" w:lineRule="auto"/>
      </w:pPr>
      <w:r>
        <w:continuationSeparator/>
      </w:r>
    </w:p>
  </w:endnote>
  <w:endnote w:type="continuationNotice" w:id="1">
    <w:p w14:paraId="6558D686" w14:textId="77777777" w:rsidR="008D1AAF" w:rsidRDefault="008D1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A162" w14:textId="77777777" w:rsidR="00DE5AF5" w:rsidRDefault="00DE5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4061ED" w:rsidRDefault="00406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4061ED" w:rsidRDefault="00406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CFA4" w14:textId="77777777" w:rsidR="00DE5AF5" w:rsidRDefault="00DE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D4297" w14:textId="77777777" w:rsidR="008D1AAF" w:rsidRDefault="008D1AAF" w:rsidP="00EA5707">
      <w:pPr>
        <w:spacing w:after="0" w:line="240" w:lineRule="auto"/>
      </w:pPr>
      <w:r>
        <w:separator/>
      </w:r>
    </w:p>
  </w:footnote>
  <w:footnote w:type="continuationSeparator" w:id="0">
    <w:p w14:paraId="417395FA" w14:textId="77777777" w:rsidR="008D1AAF" w:rsidRDefault="008D1AAF" w:rsidP="00EA5707">
      <w:pPr>
        <w:spacing w:after="0" w:line="240" w:lineRule="auto"/>
      </w:pPr>
      <w:r>
        <w:continuationSeparator/>
      </w:r>
    </w:p>
  </w:footnote>
  <w:footnote w:type="continuationNotice" w:id="1">
    <w:p w14:paraId="58E008A0" w14:textId="77777777" w:rsidR="008D1AAF" w:rsidRDefault="008D1A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DAC5" w14:textId="77777777" w:rsidR="00DE5AF5" w:rsidRDefault="00DE5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2C384CAF" w:rsidR="00EA5707" w:rsidRPr="0088042E" w:rsidRDefault="00DE5AF5">
    <w:pPr>
      <w:pStyle w:val="Header"/>
      <w:rPr>
        <w:rFonts w:ascii="Arial" w:hAnsi="Arial" w:cs="Arial"/>
        <w:b/>
        <w:bCs/>
        <w:sz w:val="24"/>
        <w:szCs w:val="24"/>
        <w:lang w:val="en-GB"/>
      </w:rPr>
    </w:pPr>
    <w:r>
      <w:rPr>
        <w:rFonts w:ascii="Arial" w:hAnsi="Arial" w:cs="Arial"/>
        <w:b/>
        <w:bCs/>
        <w:sz w:val="24"/>
        <w:szCs w:val="24"/>
        <w:lang w:val="en-GB"/>
      </w:rPr>
      <w:t xml:space="preserve">NOTE </w:t>
    </w:r>
    <w:r w:rsidR="00E52DA8">
      <w:rPr>
        <w:rFonts w:ascii="Arial" w:hAnsi="Arial" w:cs="Arial"/>
        <w:b/>
        <w:bCs/>
        <w:sz w:val="24"/>
        <w:szCs w:val="24"/>
        <w:lang w:val="en-GB"/>
      </w:rPr>
      <w:t>13</w:t>
    </w:r>
    <w:bookmarkStart w:id="0" w:name="_GoBack"/>
    <w:bookmarkEnd w:id="0"/>
    <w:r w:rsidR="0088042E" w:rsidRPr="0088042E">
      <w:rPr>
        <w:rFonts w:ascii="Arial" w:hAnsi="Arial" w:cs="Arial"/>
        <w:b/>
        <w:bCs/>
        <w:sz w:val="24"/>
        <w:szCs w:val="24"/>
        <w:lang w:val="en-GB"/>
      </w:rPr>
      <w:t xml:space="preserve">: </w:t>
    </w:r>
    <w:r w:rsidR="00EA5920">
      <w:rPr>
        <w:rFonts w:ascii="Arial" w:hAnsi="Arial" w:cs="Arial"/>
        <w:b/>
        <w:bCs/>
        <w:sz w:val="24"/>
        <w:szCs w:val="24"/>
        <w:lang w:val="en-GB"/>
      </w:rPr>
      <w:t>INTERNATIONAL COMPARISON PROGRAMME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FE5C" w14:textId="77777777" w:rsidR="00DE5AF5" w:rsidRDefault="00DE5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113ACE"/>
    <w:multiLevelType w:val="hybridMultilevel"/>
    <w:tmpl w:val="6AA6C70C"/>
    <w:lvl w:ilvl="0" w:tplc="0D12DC6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D6C6117"/>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7"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10"/>
  </w:num>
  <w:num w:numId="3">
    <w:abstractNumId w:val="14"/>
  </w:num>
  <w:num w:numId="4">
    <w:abstractNumId w:val="12"/>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2"/>
  </w:num>
  <w:num w:numId="9">
    <w:abstractNumId w:val="0"/>
  </w:num>
  <w:num w:numId="10">
    <w:abstractNumId w:val="11"/>
  </w:num>
  <w:num w:numId="11">
    <w:abstractNumId w:val="4"/>
  </w:num>
  <w:num w:numId="12">
    <w:abstractNumId w:val="9"/>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1015B"/>
    <w:rsid w:val="000112D1"/>
    <w:rsid w:val="00050575"/>
    <w:rsid w:val="00060BE3"/>
    <w:rsid w:val="0007160E"/>
    <w:rsid w:val="000C423F"/>
    <w:rsid w:val="000D069E"/>
    <w:rsid w:val="000D212A"/>
    <w:rsid w:val="000D5D2D"/>
    <w:rsid w:val="000D6591"/>
    <w:rsid w:val="000E0A6E"/>
    <w:rsid w:val="000E644B"/>
    <w:rsid w:val="000F5927"/>
    <w:rsid w:val="00106A70"/>
    <w:rsid w:val="00116A88"/>
    <w:rsid w:val="00116C47"/>
    <w:rsid w:val="001247EB"/>
    <w:rsid w:val="00126E42"/>
    <w:rsid w:val="001354EB"/>
    <w:rsid w:val="00145A9D"/>
    <w:rsid w:val="00153D8C"/>
    <w:rsid w:val="0015514A"/>
    <w:rsid w:val="001731A7"/>
    <w:rsid w:val="0017640F"/>
    <w:rsid w:val="001844BF"/>
    <w:rsid w:val="00193C50"/>
    <w:rsid w:val="001A34C3"/>
    <w:rsid w:val="001A5BB3"/>
    <w:rsid w:val="001A70A8"/>
    <w:rsid w:val="001C2893"/>
    <w:rsid w:val="001C3504"/>
    <w:rsid w:val="001C3E31"/>
    <w:rsid w:val="001D5EF3"/>
    <w:rsid w:val="001D629C"/>
    <w:rsid w:val="001F0E4B"/>
    <w:rsid w:val="001F2996"/>
    <w:rsid w:val="00207BFE"/>
    <w:rsid w:val="0022698C"/>
    <w:rsid w:val="00232190"/>
    <w:rsid w:val="0026665E"/>
    <w:rsid w:val="00273402"/>
    <w:rsid w:val="00284C1F"/>
    <w:rsid w:val="00293CC2"/>
    <w:rsid w:val="00294B41"/>
    <w:rsid w:val="0029718E"/>
    <w:rsid w:val="002A7CCC"/>
    <w:rsid w:val="002B15A5"/>
    <w:rsid w:val="002B1921"/>
    <w:rsid w:val="002C271A"/>
    <w:rsid w:val="002D1FCB"/>
    <w:rsid w:val="002F7766"/>
    <w:rsid w:val="00312936"/>
    <w:rsid w:val="00315AD1"/>
    <w:rsid w:val="00333153"/>
    <w:rsid w:val="003362B7"/>
    <w:rsid w:val="00344190"/>
    <w:rsid w:val="00356598"/>
    <w:rsid w:val="00375F8E"/>
    <w:rsid w:val="00386664"/>
    <w:rsid w:val="0039384C"/>
    <w:rsid w:val="00393D40"/>
    <w:rsid w:val="003976D0"/>
    <w:rsid w:val="003A5A4C"/>
    <w:rsid w:val="003A7C2F"/>
    <w:rsid w:val="003B0EE7"/>
    <w:rsid w:val="003B2994"/>
    <w:rsid w:val="003C433D"/>
    <w:rsid w:val="003D331E"/>
    <w:rsid w:val="003E5A07"/>
    <w:rsid w:val="00401F99"/>
    <w:rsid w:val="004061ED"/>
    <w:rsid w:val="0044048F"/>
    <w:rsid w:val="00440E12"/>
    <w:rsid w:val="00443473"/>
    <w:rsid w:val="004517EC"/>
    <w:rsid w:val="00460DCF"/>
    <w:rsid w:val="00463007"/>
    <w:rsid w:val="00474CC7"/>
    <w:rsid w:val="004777B4"/>
    <w:rsid w:val="004848DD"/>
    <w:rsid w:val="004A6889"/>
    <w:rsid w:val="004C597F"/>
    <w:rsid w:val="004D489C"/>
    <w:rsid w:val="004D6920"/>
    <w:rsid w:val="004D705A"/>
    <w:rsid w:val="004E396E"/>
    <w:rsid w:val="00504BA2"/>
    <w:rsid w:val="005145D7"/>
    <w:rsid w:val="00516138"/>
    <w:rsid w:val="005250AC"/>
    <w:rsid w:val="00525A64"/>
    <w:rsid w:val="00527A6D"/>
    <w:rsid w:val="00535E44"/>
    <w:rsid w:val="00537FA2"/>
    <w:rsid w:val="00556219"/>
    <w:rsid w:val="00556D1A"/>
    <w:rsid w:val="00563699"/>
    <w:rsid w:val="00570FA5"/>
    <w:rsid w:val="005862A1"/>
    <w:rsid w:val="005D10CE"/>
    <w:rsid w:val="005E0BF0"/>
    <w:rsid w:val="005F25BE"/>
    <w:rsid w:val="0060402D"/>
    <w:rsid w:val="00605BD6"/>
    <w:rsid w:val="00623A25"/>
    <w:rsid w:val="00646BA6"/>
    <w:rsid w:val="0065050A"/>
    <w:rsid w:val="00665B58"/>
    <w:rsid w:val="00674D16"/>
    <w:rsid w:val="006C3886"/>
    <w:rsid w:val="006D2A5B"/>
    <w:rsid w:val="006E0920"/>
    <w:rsid w:val="006E507A"/>
    <w:rsid w:val="0071776A"/>
    <w:rsid w:val="007259EA"/>
    <w:rsid w:val="0073375E"/>
    <w:rsid w:val="00753BB1"/>
    <w:rsid w:val="00755BA7"/>
    <w:rsid w:val="007561FA"/>
    <w:rsid w:val="007755B9"/>
    <w:rsid w:val="00783CF6"/>
    <w:rsid w:val="007A18E8"/>
    <w:rsid w:val="007A1F41"/>
    <w:rsid w:val="007C18CA"/>
    <w:rsid w:val="007E6DA5"/>
    <w:rsid w:val="00801617"/>
    <w:rsid w:val="0081250B"/>
    <w:rsid w:val="008278A8"/>
    <w:rsid w:val="00830C43"/>
    <w:rsid w:val="00832E66"/>
    <w:rsid w:val="008331E1"/>
    <w:rsid w:val="008361C9"/>
    <w:rsid w:val="00852CDB"/>
    <w:rsid w:val="008544E7"/>
    <w:rsid w:val="00860A63"/>
    <w:rsid w:val="00871F77"/>
    <w:rsid w:val="0088042E"/>
    <w:rsid w:val="00895CBA"/>
    <w:rsid w:val="008A0708"/>
    <w:rsid w:val="008A6089"/>
    <w:rsid w:val="008B4003"/>
    <w:rsid w:val="008D0ABF"/>
    <w:rsid w:val="008D1AAF"/>
    <w:rsid w:val="008D6A1B"/>
    <w:rsid w:val="008E046E"/>
    <w:rsid w:val="00913BC3"/>
    <w:rsid w:val="00923C00"/>
    <w:rsid w:val="009323A5"/>
    <w:rsid w:val="009363AC"/>
    <w:rsid w:val="009472BD"/>
    <w:rsid w:val="009541B6"/>
    <w:rsid w:val="0097018F"/>
    <w:rsid w:val="00995AEF"/>
    <w:rsid w:val="009A5DDE"/>
    <w:rsid w:val="009B20DC"/>
    <w:rsid w:val="009C4F5D"/>
    <w:rsid w:val="009D2ED0"/>
    <w:rsid w:val="009D6703"/>
    <w:rsid w:val="00A11415"/>
    <w:rsid w:val="00A15B7A"/>
    <w:rsid w:val="00A1612C"/>
    <w:rsid w:val="00A77166"/>
    <w:rsid w:val="00A87286"/>
    <w:rsid w:val="00A954A0"/>
    <w:rsid w:val="00AC0F08"/>
    <w:rsid w:val="00AC1971"/>
    <w:rsid w:val="00AC2CF2"/>
    <w:rsid w:val="00AE64AF"/>
    <w:rsid w:val="00B1455C"/>
    <w:rsid w:val="00B1557A"/>
    <w:rsid w:val="00B15A90"/>
    <w:rsid w:val="00B35AA1"/>
    <w:rsid w:val="00B47863"/>
    <w:rsid w:val="00B62107"/>
    <w:rsid w:val="00B66E46"/>
    <w:rsid w:val="00B77F68"/>
    <w:rsid w:val="00BB4194"/>
    <w:rsid w:val="00BE2849"/>
    <w:rsid w:val="00BF2157"/>
    <w:rsid w:val="00C11B69"/>
    <w:rsid w:val="00C15EE7"/>
    <w:rsid w:val="00C44AE0"/>
    <w:rsid w:val="00C45CAA"/>
    <w:rsid w:val="00C72745"/>
    <w:rsid w:val="00C76D09"/>
    <w:rsid w:val="00C80BA2"/>
    <w:rsid w:val="00C85295"/>
    <w:rsid w:val="00C86722"/>
    <w:rsid w:val="00CA42D3"/>
    <w:rsid w:val="00CA7E1E"/>
    <w:rsid w:val="00CB1AEA"/>
    <w:rsid w:val="00CC4A99"/>
    <w:rsid w:val="00CE32C5"/>
    <w:rsid w:val="00CF0B0C"/>
    <w:rsid w:val="00CF351C"/>
    <w:rsid w:val="00CF482D"/>
    <w:rsid w:val="00D002DD"/>
    <w:rsid w:val="00D0466F"/>
    <w:rsid w:val="00D32F4B"/>
    <w:rsid w:val="00D44EC4"/>
    <w:rsid w:val="00D532EC"/>
    <w:rsid w:val="00D90330"/>
    <w:rsid w:val="00D90729"/>
    <w:rsid w:val="00DA6CFD"/>
    <w:rsid w:val="00DB4A3E"/>
    <w:rsid w:val="00DC0E9C"/>
    <w:rsid w:val="00DC744B"/>
    <w:rsid w:val="00DE5AF5"/>
    <w:rsid w:val="00DE7148"/>
    <w:rsid w:val="00E0687D"/>
    <w:rsid w:val="00E135CF"/>
    <w:rsid w:val="00E20514"/>
    <w:rsid w:val="00E20F23"/>
    <w:rsid w:val="00E27896"/>
    <w:rsid w:val="00E409F7"/>
    <w:rsid w:val="00E43B38"/>
    <w:rsid w:val="00E52DA8"/>
    <w:rsid w:val="00E56E60"/>
    <w:rsid w:val="00E73EDF"/>
    <w:rsid w:val="00E841C8"/>
    <w:rsid w:val="00E848C8"/>
    <w:rsid w:val="00EA5707"/>
    <w:rsid w:val="00EA5920"/>
    <w:rsid w:val="00EB057F"/>
    <w:rsid w:val="00EB3BA2"/>
    <w:rsid w:val="00EB49C3"/>
    <w:rsid w:val="00EC2EF3"/>
    <w:rsid w:val="00EE5549"/>
    <w:rsid w:val="00F13E84"/>
    <w:rsid w:val="00F15B9C"/>
    <w:rsid w:val="00F21211"/>
    <w:rsid w:val="00F2666F"/>
    <w:rsid w:val="00F3036C"/>
    <w:rsid w:val="00F34282"/>
    <w:rsid w:val="00F36BDF"/>
    <w:rsid w:val="00F42D59"/>
    <w:rsid w:val="00F4439E"/>
    <w:rsid w:val="00F5073B"/>
    <w:rsid w:val="00F5551C"/>
    <w:rsid w:val="00F55674"/>
    <w:rsid w:val="00F81BDC"/>
    <w:rsid w:val="00F9112C"/>
    <w:rsid w:val="00FA2FC1"/>
    <w:rsid w:val="00FA57E4"/>
    <w:rsid w:val="00FA6F3D"/>
    <w:rsid w:val="00FB1858"/>
    <w:rsid w:val="00FB2186"/>
    <w:rsid w:val="00FB2EF6"/>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B6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596064812">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1" ma:contentTypeDescription="Create a new document." ma:contentTypeScope="" ma:versionID="d69b2447a9a7d3d51c043264a4604b45">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068e9a233549feb0ad6838c88d251696"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C62FC-E179-48D0-BB07-E4A6FC0C3C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0C86FD-E765-4965-AF7D-869C0767B425}">
  <ds:schemaRefs>
    <ds:schemaRef ds:uri="http://schemas.microsoft.com/sharepoint/v3/contenttype/forms"/>
  </ds:schemaRefs>
</ds:datastoreItem>
</file>

<file path=customXml/itemProps3.xml><?xml version="1.0" encoding="utf-8"?>
<ds:datastoreItem xmlns:ds="http://schemas.openxmlformats.org/officeDocument/2006/customXml" ds:itemID="{06AF6545-9E76-4B64-819E-51DFACBF1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76</cp:revision>
  <cp:lastPrinted>2019-10-05T16:28:00Z</cp:lastPrinted>
  <dcterms:created xsi:type="dcterms:W3CDTF">2019-10-15T07:37:00Z</dcterms:created>
  <dcterms:modified xsi:type="dcterms:W3CDTF">2019-10-21T13:42:00Z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