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61ED" w:rsidRPr="00294B41" w14:paraId="74D02AAE" w14:textId="77777777" w:rsidTr="004061ED">
        <w:trPr>
          <w:trHeight w:val="515"/>
        </w:trPr>
        <w:tc>
          <w:tcPr>
            <w:tcW w:w="4536" w:type="dxa"/>
            <w:shd w:val="clear" w:color="auto" w:fill="44546A" w:themeFill="text2"/>
          </w:tcPr>
          <w:p w14:paraId="07DB73CF" w14:textId="305F0C24" w:rsidR="0088042E" w:rsidRPr="00294B41" w:rsidRDefault="0088042E" w:rsidP="00EA5707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Name of Donor</w:t>
            </w:r>
          </w:p>
        </w:tc>
        <w:tc>
          <w:tcPr>
            <w:tcW w:w="4536" w:type="dxa"/>
            <w:shd w:val="clear" w:color="auto" w:fill="44546A" w:themeFill="text2"/>
          </w:tcPr>
          <w:p w14:paraId="0B18D5A4" w14:textId="36CD950A" w:rsidR="0088042E" w:rsidRPr="00294B41" w:rsidRDefault="0088042E" w:rsidP="00EA5707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Name of Project</w:t>
            </w:r>
          </w:p>
        </w:tc>
      </w:tr>
      <w:tr w:rsidR="0088042E" w:rsidRPr="00294B41" w14:paraId="0EF239F4" w14:textId="77777777" w:rsidTr="0088042E">
        <w:trPr>
          <w:trHeight w:val="70"/>
        </w:trPr>
        <w:tc>
          <w:tcPr>
            <w:tcW w:w="4536" w:type="dxa"/>
          </w:tcPr>
          <w:p w14:paraId="715F3A9B" w14:textId="4649D69E" w:rsidR="0088042E" w:rsidRPr="00294B41" w:rsidRDefault="009D49D6" w:rsidP="00053E26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</w:t>
            </w:r>
            <w:r w:rsidR="005262F8">
              <w:rPr>
                <w:rFonts w:ascii="Arial" w:hAnsi="Arial" w:cs="Arial"/>
                <w:b/>
                <w:lang w:val="en-GB"/>
              </w:rPr>
              <w:t xml:space="preserve">orld Trade Organization (WTO) and United </w:t>
            </w:r>
            <w:r w:rsidR="009445AF">
              <w:rPr>
                <w:rFonts w:ascii="Arial" w:hAnsi="Arial" w:cs="Arial"/>
                <w:b/>
                <w:lang w:val="en-GB"/>
              </w:rPr>
              <w:t>Nations Office for Project Services (UNOP</w:t>
            </w:r>
            <w:r w:rsidR="00053E26">
              <w:rPr>
                <w:rFonts w:ascii="Arial" w:hAnsi="Arial" w:cs="Arial"/>
                <w:b/>
                <w:lang w:val="en-GB"/>
              </w:rPr>
              <w:t>s)</w:t>
            </w:r>
          </w:p>
        </w:tc>
        <w:tc>
          <w:tcPr>
            <w:tcW w:w="4536" w:type="dxa"/>
          </w:tcPr>
          <w:p w14:paraId="1BF3CA04" w14:textId="61C7FB5C" w:rsidR="0088042E" w:rsidRPr="00AB6CF7" w:rsidRDefault="00AB6CF7" w:rsidP="00EA5707">
            <w:pPr>
              <w:rPr>
                <w:rFonts w:ascii="Arial" w:hAnsi="Arial" w:cs="Arial"/>
                <w:lang w:val="en-GB"/>
              </w:rPr>
            </w:pPr>
            <w:r w:rsidRPr="00AB6CF7">
              <w:rPr>
                <w:rFonts w:ascii="Arial" w:hAnsi="Arial" w:cs="Arial"/>
                <w:lang w:val="en-GB"/>
              </w:rPr>
              <w:t>Mainstreaming SPS Capacity (STDF &amp; EIF)</w:t>
            </w:r>
          </w:p>
        </w:tc>
      </w:tr>
      <w:tr w:rsidR="0088042E" w:rsidRPr="00294B41" w14:paraId="367372E1" w14:textId="77777777" w:rsidTr="0088042E">
        <w:trPr>
          <w:trHeight w:val="70"/>
        </w:trPr>
        <w:tc>
          <w:tcPr>
            <w:tcW w:w="4536" w:type="dxa"/>
          </w:tcPr>
          <w:p w14:paraId="77A16C34" w14:textId="6F344DC1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lang w:val="en-GB"/>
              </w:rPr>
              <w:t>Grant start date</w:t>
            </w:r>
            <w:r w:rsidRPr="00294B41">
              <w:rPr>
                <w:rFonts w:ascii="Arial" w:hAnsi="Arial" w:cs="Arial"/>
                <w:lang w:val="en-GB"/>
              </w:rPr>
              <w:t xml:space="preserve">: </w:t>
            </w:r>
            <w:r w:rsidRPr="00294B41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4536" w:type="dxa"/>
          </w:tcPr>
          <w:p w14:paraId="06C10898" w14:textId="68084A41" w:rsidR="0088042E" w:rsidRPr="00294B41" w:rsidRDefault="00053E26" w:rsidP="00EA57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Pr="00053E26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July</w:t>
            </w:r>
            <w:r w:rsidR="0088042E" w:rsidRPr="00294B41">
              <w:rPr>
                <w:rFonts w:ascii="Arial" w:hAnsi="Arial" w:cs="Arial"/>
                <w:lang w:val="en-GB"/>
              </w:rPr>
              <w:t>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88042E" w:rsidRPr="00294B41">
              <w:rPr>
                <w:rFonts w:ascii="Arial" w:hAnsi="Arial" w:cs="Arial"/>
                <w:lang w:val="en-GB"/>
              </w:rPr>
              <w:t>201</w:t>
            </w:r>
            <w:r>
              <w:rPr>
                <w:rFonts w:ascii="Arial" w:hAnsi="Arial" w:cs="Arial"/>
                <w:lang w:val="en-GB"/>
              </w:rPr>
              <w:t>8</w:t>
            </w:r>
          </w:p>
        </w:tc>
      </w:tr>
      <w:tr w:rsidR="0088042E" w:rsidRPr="00294B41" w14:paraId="1D1BDB24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FED7F95" w14:textId="4BF53C8F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Grant End date:</w:t>
            </w:r>
          </w:p>
        </w:tc>
        <w:tc>
          <w:tcPr>
            <w:tcW w:w="4536" w:type="dxa"/>
            <w:vAlign w:val="center"/>
          </w:tcPr>
          <w:p w14:paraId="35446D24" w14:textId="138DC9C0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color w:val="000000"/>
                <w:lang w:val="en-GB"/>
              </w:rPr>
              <w:t>3</w:t>
            </w:r>
            <w:r w:rsidR="005F75C1" w:rsidRPr="005F75C1">
              <w:rPr>
                <w:rFonts w:ascii="Arial" w:hAnsi="Arial" w:cs="Arial"/>
                <w:color w:val="000000"/>
                <w:vertAlign w:val="superscript"/>
                <w:lang w:val="en-GB"/>
              </w:rPr>
              <w:t>rd</w:t>
            </w:r>
            <w:r w:rsidR="005F75C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60402D" w:rsidRPr="00294B41">
              <w:rPr>
                <w:rFonts w:ascii="Arial" w:hAnsi="Arial" w:cs="Arial"/>
                <w:color w:val="000000"/>
                <w:lang w:val="en-GB"/>
              </w:rPr>
              <w:t>Ju</w:t>
            </w:r>
            <w:r w:rsidR="005F75C1">
              <w:rPr>
                <w:rFonts w:ascii="Arial" w:hAnsi="Arial" w:cs="Arial"/>
                <w:color w:val="000000"/>
                <w:lang w:val="en-GB"/>
              </w:rPr>
              <w:t>ly</w:t>
            </w:r>
            <w:r w:rsidRPr="00294B41">
              <w:rPr>
                <w:rFonts w:ascii="Arial" w:hAnsi="Arial" w:cs="Arial"/>
                <w:color w:val="000000"/>
                <w:lang w:val="en-GB"/>
              </w:rPr>
              <w:t>,20</w:t>
            </w:r>
            <w:r w:rsidR="00D002DD" w:rsidRPr="00294B41">
              <w:rPr>
                <w:rFonts w:ascii="Arial" w:hAnsi="Arial" w:cs="Arial"/>
                <w:color w:val="000000"/>
                <w:lang w:val="en-GB"/>
              </w:rPr>
              <w:t>2</w:t>
            </w:r>
            <w:r w:rsidR="005F75C1">
              <w:rPr>
                <w:rFonts w:ascii="Arial" w:hAnsi="Arial" w:cs="Arial"/>
                <w:color w:val="000000"/>
                <w:lang w:val="en-GB"/>
              </w:rPr>
              <w:t>1</w:t>
            </w:r>
          </w:p>
        </w:tc>
      </w:tr>
      <w:tr w:rsidR="0088042E" w:rsidRPr="00294B41" w14:paraId="0C48C495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89D8A69" w14:textId="1A210627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Grant Amount:</w:t>
            </w:r>
          </w:p>
        </w:tc>
        <w:tc>
          <w:tcPr>
            <w:tcW w:w="4536" w:type="dxa"/>
            <w:vAlign w:val="center"/>
          </w:tcPr>
          <w:p w14:paraId="2ED3BEBA" w14:textId="3663CABC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color w:val="000000"/>
                <w:lang w:val="en-GB"/>
              </w:rPr>
              <w:t>USD</w:t>
            </w:r>
            <w:r w:rsidR="002F7766" w:rsidRPr="00294B4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EF53CD">
              <w:rPr>
                <w:rFonts w:ascii="Arial" w:hAnsi="Arial" w:cs="Arial"/>
                <w:color w:val="000000"/>
                <w:lang w:val="en-GB"/>
              </w:rPr>
              <w:t>428</w:t>
            </w:r>
            <w:r w:rsidR="00106A70" w:rsidRPr="00294B41">
              <w:rPr>
                <w:rFonts w:ascii="Arial" w:hAnsi="Arial" w:cs="Arial"/>
                <w:color w:val="000000"/>
                <w:lang w:val="en-GB"/>
              </w:rPr>
              <w:t>,4</w:t>
            </w:r>
            <w:r w:rsidR="00EF53CD">
              <w:rPr>
                <w:rFonts w:ascii="Arial" w:hAnsi="Arial" w:cs="Arial"/>
                <w:color w:val="000000"/>
                <w:lang w:val="en-GB"/>
              </w:rPr>
              <w:t>25</w:t>
            </w:r>
            <w:r w:rsidR="00106A70" w:rsidRPr="00294B41">
              <w:rPr>
                <w:rFonts w:ascii="Arial" w:hAnsi="Arial" w:cs="Arial"/>
                <w:color w:val="000000"/>
                <w:lang w:val="en-GB"/>
              </w:rPr>
              <w:t>.</w:t>
            </w:r>
            <w:r w:rsidR="00EF53CD">
              <w:rPr>
                <w:rFonts w:ascii="Arial" w:hAnsi="Arial" w:cs="Arial"/>
                <w:color w:val="000000"/>
                <w:lang w:val="en-GB"/>
              </w:rPr>
              <w:t>00</w:t>
            </w:r>
            <w:r w:rsidR="00F6377B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</w:tr>
      <w:tr w:rsidR="0088042E" w:rsidRPr="00294B41" w14:paraId="61C3A07E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0E3D1E96" w14:textId="7FF5D597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Disbursed before current year:</w:t>
            </w:r>
            <w:r w:rsidRPr="00294B41">
              <w:rPr>
                <w:rFonts w:ascii="Arial" w:hAnsi="Arial" w:cs="Arial"/>
                <w:color w:val="000000"/>
                <w:lang w:val="en-GB"/>
              </w:rPr>
              <w:t xml:space="preserve"> (2019)</w:t>
            </w:r>
          </w:p>
        </w:tc>
        <w:tc>
          <w:tcPr>
            <w:tcW w:w="4536" w:type="dxa"/>
            <w:vAlign w:val="center"/>
          </w:tcPr>
          <w:p w14:paraId="59CB27D3" w14:textId="5B2CC9E5" w:rsidR="0088042E" w:rsidRPr="00294B41" w:rsidRDefault="00106A70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color w:val="000000"/>
                <w:lang w:val="en-GB"/>
              </w:rPr>
              <w:t xml:space="preserve">USD </w:t>
            </w:r>
            <w:r w:rsidR="00D5403C">
              <w:rPr>
                <w:rFonts w:ascii="Arial" w:hAnsi="Arial" w:cs="Arial"/>
                <w:color w:val="000000"/>
                <w:lang w:val="en-GB"/>
              </w:rPr>
              <w:t>151</w:t>
            </w:r>
            <w:r w:rsidRPr="00294B41">
              <w:rPr>
                <w:rFonts w:ascii="Arial" w:hAnsi="Arial" w:cs="Arial"/>
                <w:color w:val="000000"/>
                <w:lang w:val="en-GB"/>
              </w:rPr>
              <w:t>,</w:t>
            </w:r>
            <w:r w:rsidR="00D5403C">
              <w:rPr>
                <w:rFonts w:ascii="Arial" w:hAnsi="Arial" w:cs="Arial"/>
                <w:color w:val="000000"/>
                <w:lang w:val="en-GB"/>
              </w:rPr>
              <w:t>585</w:t>
            </w:r>
            <w:r w:rsidRPr="00294B41">
              <w:rPr>
                <w:rFonts w:ascii="Arial" w:hAnsi="Arial" w:cs="Arial"/>
                <w:color w:val="000000"/>
                <w:lang w:val="en-GB"/>
              </w:rPr>
              <w:t>.</w:t>
            </w:r>
            <w:r w:rsidR="008D1714">
              <w:rPr>
                <w:rFonts w:ascii="Arial" w:hAnsi="Arial" w:cs="Arial"/>
                <w:color w:val="000000"/>
                <w:lang w:val="en-GB"/>
              </w:rPr>
              <w:t>00</w:t>
            </w:r>
          </w:p>
        </w:tc>
      </w:tr>
      <w:tr w:rsidR="0088042E" w:rsidRPr="00294B41" w14:paraId="70FD73D1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9346465" w14:textId="150FF061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Balance:</w:t>
            </w:r>
          </w:p>
        </w:tc>
        <w:tc>
          <w:tcPr>
            <w:tcW w:w="4536" w:type="dxa"/>
            <w:vAlign w:val="center"/>
          </w:tcPr>
          <w:p w14:paraId="49FC595F" w14:textId="7BA0795F" w:rsidR="0088042E" w:rsidRPr="00294B41" w:rsidRDefault="004C597F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lang w:val="en-GB"/>
              </w:rPr>
              <w:t>Nil</w:t>
            </w:r>
          </w:p>
        </w:tc>
      </w:tr>
      <w:tr w:rsidR="0088042E" w:rsidRPr="00294B41" w14:paraId="542C5901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C6A47F4" w14:textId="1F8569B8" w:rsidR="0088042E" w:rsidRPr="00294B41" w:rsidRDefault="0088042E" w:rsidP="00EA5707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Disbursed in 2019</w:t>
            </w:r>
            <w:r w:rsidRPr="00294B41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14:paraId="74574CDB" w14:textId="207BAC17" w:rsidR="0088042E" w:rsidRPr="00294B41" w:rsidRDefault="00E00795" w:rsidP="00EA57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USD   66,308.00</w:t>
            </w:r>
          </w:p>
        </w:tc>
      </w:tr>
      <w:tr w:rsidR="00850970" w:rsidRPr="00294B41" w14:paraId="522A9FE2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3F3E1030" w14:textId="5C357F53" w:rsidR="00850970" w:rsidRPr="00294B41" w:rsidRDefault="00850970" w:rsidP="00850970">
            <w:pPr>
              <w:rPr>
                <w:rFonts w:ascii="Arial" w:hAnsi="Arial" w:cs="Arial"/>
                <w:lang w:val="en-GB"/>
              </w:rPr>
            </w:pPr>
            <w:r w:rsidRPr="00294B41">
              <w:rPr>
                <w:rFonts w:ascii="Arial" w:hAnsi="Arial" w:cs="Arial"/>
                <w:b/>
                <w:bCs/>
                <w:color w:val="000000"/>
                <w:lang w:val="en-GB"/>
              </w:rPr>
              <w:t>Balance yet to be disbursed:</w:t>
            </w:r>
          </w:p>
        </w:tc>
        <w:tc>
          <w:tcPr>
            <w:tcW w:w="4536" w:type="dxa"/>
            <w:vAlign w:val="center"/>
          </w:tcPr>
          <w:p w14:paraId="4AFFCB64" w14:textId="50677D03" w:rsidR="00850970" w:rsidRPr="00294B41" w:rsidRDefault="00850970" w:rsidP="0085097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USD 210,532.00</w:t>
            </w:r>
          </w:p>
        </w:tc>
      </w:tr>
    </w:tbl>
    <w:p w14:paraId="53F367F0" w14:textId="27317155" w:rsidR="00E20F23" w:rsidRPr="00294B41" w:rsidRDefault="00E20F23">
      <w:pPr>
        <w:rPr>
          <w:rFonts w:ascii="Arial" w:hAnsi="Arial" w:cs="Arial"/>
          <w:color w:val="000000" w:themeColor="text1"/>
        </w:rPr>
      </w:pPr>
    </w:p>
    <w:p w14:paraId="7E58501E" w14:textId="6F8FD7D8" w:rsidR="00852CDB" w:rsidRPr="00294B41" w:rsidRDefault="0088042E" w:rsidP="00AC197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294B41">
        <w:rPr>
          <w:rFonts w:ascii="Arial" w:hAnsi="Arial" w:cs="Arial"/>
          <w:b/>
          <w:bCs/>
          <w:color w:val="000000" w:themeColor="text1"/>
          <w:lang w:val="en-GB"/>
        </w:rPr>
        <w:t>Brief about the programme</w:t>
      </w:r>
    </w:p>
    <w:p w14:paraId="5102B951" w14:textId="4C85758A" w:rsidR="004E396E" w:rsidRDefault="004E396E" w:rsidP="004E396E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94B41">
        <w:rPr>
          <w:rFonts w:ascii="Arial" w:hAnsi="Arial" w:cs="Arial"/>
          <w:b/>
          <w:color w:val="000000" w:themeColor="text1"/>
        </w:rPr>
        <w:t>Overview</w:t>
      </w:r>
    </w:p>
    <w:p w14:paraId="36FB121D" w14:textId="42492996" w:rsidR="002B30F3" w:rsidRDefault="002B30F3" w:rsidP="004E396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BCD494B" w14:textId="4B6488F8" w:rsidR="002C5C2F" w:rsidRDefault="00CE650D" w:rsidP="0064015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294B41">
        <w:rPr>
          <w:rFonts w:ascii="Arial" w:hAnsi="Arial" w:cs="Arial"/>
          <w:color w:val="000000" w:themeColor="text1"/>
        </w:rPr>
        <w:t>The Common Market for Eastern and Southern Africa (COMESA) Secretariat</w:t>
      </w:r>
      <w:r w:rsidRPr="002C5C2F">
        <w:rPr>
          <w:rFonts w:ascii="Arial" w:hAnsi="Arial" w:cs="Arial"/>
          <w:color w:val="000000" w:themeColor="text1"/>
          <w:lang w:val="en-US"/>
        </w:rPr>
        <w:t xml:space="preserve"> </w:t>
      </w:r>
      <w:r w:rsidR="00440F19">
        <w:rPr>
          <w:rFonts w:ascii="Arial" w:hAnsi="Arial" w:cs="Arial"/>
          <w:color w:val="000000" w:themeColor="text1"/>
          <w:lang w:val="en-US"/>
        </w:rPr>
        <w:t xml:space="preserve">signed a Grant Agreement with the World Trade </w:t>
      </w:r>
      <w:r w:rsidR="00716F07">
        <w:rPr>
          <w:rFonts w:ascii="Arial" w:hAnsi="Arial" w:cs="Arial"/>
          <w:color w:val="000000" w:themeColor="text1"/>
          <w:lang w:val="en-US"/>
        </w:rPr>
        <w:t>Organization (WTO) and United Nations Office for Project Services (UNOPS)</w:t>
      </w:r>
      <w:r w:rsidR="00DC35B4">
        <w:rPr>
          <w:rFonts w:ascii="Arial" w:hAnsi="Arial" w:cs="Arial"/>
          <w:color w:val="000000" w:themeColor="text1"/>
          <w:lang w:val="en-US"/>
        </w:rPr>
        <w:t xml:space="preserve"> titled “Mainstreaming SPS capacity building into the </w:t>
      </w:r>
      <w:r w:rsidR="001F1B80">
        <w:rPr>
          <w:rFonts w:ascii="Arial" w:hAnsi="Arial" w:cs="Arial"/>
          <w:color w:val="000000" w:themeColor="text1"/>
          <w:lang w:val="en-US"/>
        </w:rPr>
        <w:t xml:space="preserve">Comprehensive Africa Agriculture Development Programme (CAADP) and </w:t>
      </w:r>
      <w:r w:rsidR="006B0DF8">
        <w:rPr>
          <w:rFonts w:ascii="Arial" w:hAnsi="Arial" w:cs="Arial"/>
          <w:color w:val="000000" w:themeColor="text1"/>
          <w:lang w:val="en-US"/>
        </w:rPr>
        <w:t>other National policy frameworks”</w:t>
      </w:r>
    </w:p>
    <w:p w14:paraId="1B39E30E" w14:textId="16C83F5E" w:rsidR="006B0DF8" w:rsidRDefault="006B0DF8" w:rsidP="0064015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1B33C43B" w14:textId="4FF966C4" w:rsidR="006B0DF8" w:rsidRDefault="006B0DF8" w:rsidP="0064015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The purpose of the project is to ensure COMESA </w:t>
      </w:r>
      <w:r w:rsidR="00102671">
        <w:rPr>
          <w:rFonts w:ascii="Arial" w:hAnsi="Arial" w:cs="Arial"/>
          <w:color w:val="000000" w:themeColor="text1"/>
          <w:lang w:val="en-US"/>
        </w:rPr>
        <w:t>m</w:t>
      </w:r>
      <w:r>
        <w:rPr>
          <w:rFonts w:ascii="Arial" w:hAnsi="Arial" w:cs="Arial"/>
          <w:color w:val="000000" w:themeColor="text1"/>
          <w:lang w:val="en-US"/>
        </w:rPr>
        <w:t>ember States</w:t>
      </w:r>
      <w:r w:rsidR="00102671">
        <w:rPr>
          <w:rFonts w:ascii="Arial" w:hAnsi="Arial" w:cs="Arial"/>
          <w:color w:val="000000" w:themeColor="text1"/>
          <w:lang w:val="en-US"/>
        </w:rPr>
        <w:t xml:space="preserve"> are effectively using an </w:t>
      </w:r>
      <w:r w:rsidR="009F5860">
        <w:rPr>
          <w:rFonts w:ascii="Arial" w:hAnsi="Arial" w:cs="Arial"/>
          <w:color w:val="000000" w:themeColor="text1"/>
          <w:lang w:val="en-US"/>
        </w:rPr>
        <w:t>evidence-based</w:t>
      </w:r>
      <w:r w:rsidR="00102671">
        <w:rPr>
          <w:rFonts w:ascii="Arial" w:hAnsi="Arial" w:cs="Arial"/>
          <w:color w:val="000000" w:themeColor="text1"/>
          <w:lang w:val="en-US"/>
        </w:rPr>
        <w:t xml:space="preserve"> approach Prio</w:t>
      </w:r>
      <w:r w:rsidR="000A3644">
        <w:rPr>
          <w:rFonts w:ascii="Arial" w:hAnsi="Arial" w:cs="Arial"/>
          <w:color w:val="000000" w:themeColor="text1"/>
          <w:lang w:val="en-US"/>
        </w:rPr>
        <w:t xml:space="preserve">ritizing SPS Investment for Market Access (P-IMA) to </w:t>
      </w:r>
      <w:r w:rsidR="00A7223E">
        <w:rPr>
          <w:rFonts w:ascii="Arial" w:hAnsi="Arial" w:cs="Arial"/>
          <w:color w:val="000000" w:themeColor="text1"/>
          <w:lang w:val="en-US"/>
        </w:rPr>
        <w:t xml:space="preserve">prioritize SPS investment needs, mainstreaming SPS investment within </w:t>
      </w:r>
      <w:r w:rsidR="00640159">
        <w:rPr>
          <w:rFonts w:ascii="Arial" w:hAnsi="Arial" w:cs="Arial"/>
          <w:color w:val="000000" w:themeColor="text1"/>
          <w:lang w:val="en-US"/>
        </w:rPr>
        <w:t xml:space="preserve">national/regional agricultural, </w:t>
      </w:r>
      <w:r w:rsidR="00AF79E8">
        <w:rPr>
          <w:rFonts w:ascii="Arial" w:hAnsi="Arial" w:cs="Arial"/>
          <w:color w:val="000000" w:themeColor="text1"/>
          <w:lang w:val="en-US"/>
        </w:rPr>
        <w:t>environment and trade investment plans, and thereby mobilize resources for SPS capacity development</w:t>
      </w:r>
      <w:r w:rsidR="00135C3F">
        <w:rPr>
          <w:rFonts w:ascii="Arial" w:hAnsi="Arial" w:cs="Arial"/>
          <w:color w:val="000000" w:themeColor="text1"/>
          <w:lang w:val="en-US"/>
        </w:rPr>
        <w:t>.</w:t>
      </w:r>
    </w:p>
    <w:p w14:paraId="5939C07B" w14:textId="77777777" w:rsidR="00C667EB" w:rsidRPr="002C5C2F" w:rsidRDefault="00C667EB" w:rsidP="0064015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AD351DD" w14:textId="146B79DB" w:rsidR="002B30F3" w:rsidRDefault="002B30F3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2B30F3">
        <w:rPr>
          <w:rFonts w:ascii="Arial" w:hAnsi="Arial" w:cs="Arial"/>
          <w:color w:val="000000" w:themeColor="text1"/>
          <w:lang w:val="en-US"/>
        </w:rPr>
        <w:t>Several non-tariff barriers (NTBs) are attributed to restrictive technical standards and Sanitary and Phytosanitary (SPS) measures;</w:t>
      </w:r>
    </w:p>
    <w:p w14:paraId="7A2E929C" w14:textId="77777777" w:rsidR="002B30F3" w:rsidRPr="002B30F3" w:rsidRDefault="002B30F3" w:rsidP="000479EC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val="en-US"/>
        </w:rPr>
      </w:pPr>
    </w:p>
    <w:p w14:paraId="17F88231" w14:textId="67BB5285" w:rsidR="002B30F3" w:rsidRDefault="002B30F3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2B30F3">
        <w:rPr>
          <w:rFonts w:ascii="Arial" w:hAnsi="Arial" w:cs="Arial"/>
          <w:color w:val="000000" w:themeColor="text1"/>
          <w:lang w:val="en-US"/>
        </w:rPr>
        <w:t>While some of the standards and SPS related trade barriers may be due to protectionism, several are due to inadequate human, and institutional capacity in regulatory entities and export enterprises;</w:t>
      </w:r>
    </w:p>
    <w:p w14:paraId="1859AF3B" w14:textId="77777777" w:rsidR="002B30F3" w:rsidRPr="002B30F3" w:rsidRDefault="002B30F3" w:rsidP="000479E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33A7402F" w14:textId="07CB7179" w:rsidR="002B30F3" w:rsidRDefault="000479EC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2B30F3">
        <w:rPr>
          <w:rFonts w:ascii="Arial" w:hAnsi="Arial" w:cs="Arial"/>
          <w:color w:val="000000" w:themeColor="text1"/>
          <w:lang w:val="en-US"/>
        </w:rPr>
        <w:t>Thus,</w:t>
      </w:r>
      <w:r w:rsidR="002B30F3" w:rsidRPr="002B30F3">
        <w:rPr>
          <w:rFonts w:ascii="Arial" w:hAnsi="Arial" w:cs="Arial"/>
          <w:color w:val="000000" w:themeColor="text1"/>
          <w:lang w:val="en-US"/>
        </w:rPr>
        <w:t xml:space="preserve"> COMESA countries face many demands to improve their SPS capacity and to boost trade in food and agriculture products. </w:t>
      </w:r>
    </w:p>
    <w:p w14:paraId="69CB0BBC" w14:textId="77777777" w:rsidR="000479EC" w:rsidRPr="00C667EB" w:rsidRDefault="000479EC" w:rsidP="000479E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677E4ECA" w14:textId="28039A6A" w:rsidR="001E1052" w:rsidRDefault="001E1052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E1052">
        <w:rPr>
          <w:rFonts w:ascii="Arial" w:hAnsi="Arial" w:cs="Arial"/>
          <w:color w:val="000000" w:themeColor="text1"/>
          <w:lang w:val="en-US"/>
        </w:rPr>
        <w:t xml:space="preserve">In light of this, COMESA Secretariat in partnership with the Standards and Trade </w:t>
      </w:r>
      <w:r w:rsidR="000479EC" w:rsidRPr="001E1052">
        <w:rPr>
          <w:rFonts w:ascii="Arial" w:hAnsi="Arial" w:cs="Arial"/>
          <w:color w:val="000000" w:themeColor="text1"/>
          <w:lang w:val="en-US"/>
        </w:rPr>
        <w:t>Development Facility</w:t>
      </w:r>
      <w:r w:rsidRPr="001E1052">
        <w:rPr>
          <w:rFonts w:ascii="Arial" w:hAnsi="Arial" w:cs="Arial"/>
          <w:color w:val="000000" w:themeColor="text1"/>
          <w:lang w:val="en-US"/>
        </w:rPr>
        <w:t xml:space="preserve"> (STDF) introduced an evidence- based approach, known </w:t>
      </w:r>
      <w:proofErr w:type="gramStart"/>
      <w:r w:rsidRPr="001E1052">
        <w:rPr>
          <w:rFonts w:ascii="Arial" w:hAnsi="Arial" w:cs="Arial"/>
          <w:color w:val="000000" w:themeColor="text1"/>
          <w:lang w:val="en-US"/>
        </w:rPr>
        <w:t>as  “</w:t>
      </w:r>
      <w:proofErr w:type="gramEnd"/>
      <w:r w:rsidRPr="001E1052">
        <w:rPr>
          <w:rFonts w:ascii="Arial" w:hAnsi="Arial" w:cs="Arial"/>
          <w:color w:val="000000" w:themeColor="text1"/>
          <w:lang w:val="en-US"/>
        </w:rPr>
        <w:t>Prioritizing SPS Investments for Increased Market Access” (P-IMA);</w:t>
      </w:r>
    </w:p>
    <w:p w14:paraId="28AF1BA1" w14:textId="77777777" w:rsidR="001E1052" w:rsidRPr="001E1052" w:rsidRDefault="001E1052" w:rsidP="000479E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3A176F1" w14:textId="2D479386" w:rsidR="001E1052" w:rsidRDefault="001E1052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E1052">
        <w:rPr>
          <w:rFonts w:ascii="Arial" w:hAnsi="Arial" w:cs="Arial"/>
          <w:color w:val="000000" w:themeColor="text1"/>
          <w:lang w:val="en-US"/>
        </w:rPr>
        <w:t>P-IMA helps to inform decisions on where to target investments in SPS capacity building;</w:t>
      </w:r>
    </w:p>
    <w:p w14:paraId="2DF34C4E" w14:textId="77777777" w:rsidR="001E1052" w:rsidRPr="001E1052" w:rsidRDefault="001E1052" w:rsidP="000479E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145CFA68" w14:textId="473E28F8" w:rsidR="001E1052" w:rsidRDefault="001E1052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E1052">
        <w:rPr>
          <w:rFonts w:ascii="Arial" w:hAnsi="Arial" w:cs="Arial"/>
          <w:color w:val="000000" w:themeColor="text1"/>
          <w:lang w:val="en-US"/>
        </w:rPr>
        <w:t>P-IMA also offers a transparent, inclusive and participatory process to prioritize several SPS investment options, based on the engagement of relevant stakeholders using best available data and information.</w:t>
      </w:r>
    </w:p>
    <w:p w14:paraId="36B68796" w14:textId="77777777" w:rsidR="001E1052" w:rsidRPr="001E1052" w:rsidRDefault="001E1052" w:rsidP="000479E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233A5C7" w14:textId="1A98EA6B" w:rsidR="000854C0" w:rsidRDefault="000854C0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0854C0">
        <w:rPr>
          <w:rFonts w:ascii="Arial" w:hAnsi="Arial" w:cs="Arial"/>
          <w:color w:val="000000" w:themeColor="text1"/>
          <w:lang w:val="en-US"/>
        </w:rPr>
        <w:t>To boost agriculture exports in the targeted countries, through identifying the Sanitary and Phytosanitary (SPS) issues/challenges associated with the major export trade flows.</w:t>
      </w:r>
    </w:p>
    <w:p w14:paraId="19D059A1" w14:textId="77777777" w:rsidR="000479EC" w:rsidRDefault="000479EC" w:rsidP="000479EC">
      <w:pPr>
        <w:pStyle w:val="ListParagraph"/>
        <w:rPr>
          <w:rFonts w:ascii="Arial" w:hAnsi="Arial" w:cs="Arial"/>
          <w:color w:val="000000" w:themeColor="text1"/>
          <w:lang w:val="en-US"/>
        </w:rPr>
      </w:pPr>
    </w:p>
    <w:p w14:paraId="7765DCB1" w14:textId="77777777" w:rsidR="000854C0" w:rsidRPr="000854C0" w:rsidRDefault="000854C0" w:rsidP="007E157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326B8D06" w14:textId="63C8235F" w:rsidR="000854C0" w:rsidRPr="000854C0" w:rsidRDefault="000854C0" w:rsidP="00C667E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0854C0">
        <w:rPr>
          <w:rFonts w:ascii="Arial" w:hAnsi="Arial" w:cs="Arial"/>
          <w:color w:val="000000" w:themeColor="text1"/>
          <w:lang w:val="en-US"/>
        </w:rPr>
        <w:t xml:space="preserve">Specifically, the project will ensure that </w:t>
      </w:r>
      <w:r w:rsidR="00405DB4" w:rsidRPr="000854C0">
        <w:rPr>
          <w:rFonts w:ascii="Arial" w:hAnsi="Arial" w:cs="Arial"/>
          <w:color w:val="000000" w:themeColor="text1"/>
          <w:lang w:val="en-US"/>
        </w:rPr>
        <w:t>COMESA MS</w:t>
      </w:r>
      <w:r w:rsidRPr="000854C0">
        <w:rPr>
          <w:rFonts w:ascii="Arial" w:hAnsi="Arial" w:cs="Arial"/>
          <w:color w:val="000000" w:themeColor="text1"/>
          <w:lang w:val="en-US"/>
        </w:rPr>
        <w:t xml:space="preserve"> are effectively using an evidence-based approach (P-IMA) to prioritize SPS investment needs and mainstream within national agriculture investment </w:t>
      </w:r>
      <w:proofErr w:type="gramStart"/>
      <w:r w:rsidRPr="000854C0">
        <w:rPr>
          <w:rFonts w:ascii="Arial" w:hAnsi="Arial" w:cs="Arial"/>
          <w:color w:val="000000" w:themeColor="text1"/>
          <w:lang w:val="en-US"/>
        </w:rPr>
        <w:t>plans  and</w:t>
      </w:r>
      <w:proofErr w:type="gramEnd"/>
      <w:r w:rsidRPr="000854C0">
        <w:rPr>
          <w:rFonts w:ascii="Arial" w:hAnsi="Arial" w:cs="Arial"/>
          <w:color w:val="000000" w:themeColor="text1"/>
          <w:lang w:val="en-US"/>
        </w:rPr>
        <w:t xml:space="preserve"> thereby mobilize additional resources for SPS capacity development. </w:t>
      </w:r>
    </w:p>
    <w:p w14:paraId="53FB5423" w14:textId="77777777" w:rsidR="002B30F3" w:rsidRPr="002B30F3" w:rsidRDefault="002B30F3" w:rsidP="009F5860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val="en-US"/>
        </w:rPr>
      </w:pPr>
    </w:p>
    <w:p w14:paraId="3A607EA7" w14:textId="066970C5" w:rsidR="00852CDB" w:rsidRPr="001F2996" w:rsidRDefault="0088042E" w:rsidP="001C289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lang w:val="en-GB"/>
        </w:rPr>
      </w:pPr>
      <w:r w:rsidRPr="001F2996">
        <w:rPr>
          <w:rFonts w:ascii="Arial" w:hAnsi="Arial" w:cs="Arial"/>
          <w:b/>
          <w:bCs/>
          <w:color w:val="000000" w:themeColor="text1"/>
          <w:lang w:val="en-GB"/>
        </w:rPr>
        <w:t>Overview of 2019 programme and expenditure implementation</w:t>
      </w:r>
    </w:p>
    <w:p w14:paraId="6832710E" w14:textId="7D27A3C6" w:rsidR="00722A81" w:rsidRDefault="00B47863" w:rsidP="00537FA2">
      <w:pPr>
        <w:ind w:left="360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1F2996">
        <w:rPr>
          <w:rFonts w:ascii="Arial" w:hAnsi="Arial" w:cs="Arial"/>
          <w:bCs/>
          <w:color w:val="000000" w:themeColor="text1"/>
          <w:lang w:val="en-GB"/>
        </w:rPr>
        <w:t xml:space="preserve">Most of the </w:t>
      </w:r>
      <w:r w:rsidR="00083A54">
        <w:rPr>
          <w:rFonts w:ascii="Arial" w:hAnsi="Arial" w:cs="Arial"/>
          <w:bCs/>
          <w:color w:val="000000" w:themeColor="text1"/>
          <w:lang w:val="en-GB"/>
        </w:rPr>
        <w:t xml:space="preserve">project activities </w:t>
      </w:r>
      <w:r w:rsidRPr="001F2996">
        <w:rPr>
          <w:rFonts w:ascii="Arial" w:hAnsi="Arial" w:cs="Arial"/>
          <w:bCs/>
          <w:color w:val="000000" w:themeColor="text1"/>
          <w:lang w:val="en-GB"/>
        </w:rPr>
        <w:t>b</w:t>
      </w:r>
      <w:r w:rsidR="001C3504" w:rsidRPr="001F2996">
        <w:rPr>
          <w:rFonts w:ascii="Arial" w:hAnsi="Arial" w:cs="Arial"/>
          <w:bCs/>
          <w:color w:val="000000" w:themeColor="text1"/>
          <w:lang w:val="en-GB"/>
        </w:rPr>
        <w:t>etween January and June 201</w:t>
      </w:r>
      <w:r w:rsidRPr="001F2996">
        <w:rPr>
          <w:rFonts w:ascii="Arial" w:hAnsi="Arial" w:cs="Arial"/>
          <w:bCs/>
          <w:color w:val="000000" w:themeColor="text1"/>
          <w:lang w:val="en-GB"/>
        </w:rPr>
        <w:t xml:space="preserve">9 were focused on the </w:t>
      </w:r>
      <w:r w:rsidR="00722A81">
        <w:rPr>
          <w:rFonts w:ascii="Arial" w:hAnsi="Arial" w:cs="Arial"/>
          <w:bCs/>
          <w:color w:val="000000" w:themeColor="text1"/>
          <w:lang w:val="en-GB"/>
        </w:rPr>
        <w:t>outputs below;</w:t>
      </w:r>
    </w:p>
    <w:p w14:paraId="61319679" w14:textId="4E36B3F6" w:rsidR="00722A81" w:rsidRPr="00722A81" w:rsidRDefault="00F5548F" w:rsidP="00537FA2">
      <w:pPr>
        <w:ind w:left="360"/>
        <w:jc w:val="both"/>
        <w:rPr>
          <w:rFonts w:ascii="Arial" w:hAnsi="Arial" w:cs="Arial"/>
          <w:b/>
          <w:bCs/>
          <w:color w:val="000000" w:themeColor="text1"/>
          <w:lang w:val="en-GB"/>
        </w:rPr>
      </w:pPr>
      <w:r w:rsidRPr="00722A81">
        <w:rPr>
          <w:rFonts w:ascii="Arial" w:hAnsi="Arial" w:cs="Arial"/>
          <w:b/>
          <w:bCs/>
          <w:color w:val="000000" w:themeColor="text1"/>
          <w:lang w:val="en-GB"/>
        </w:rPr>
        <w:t xml:space="preserve">Output </w:t>
      </w:r>
      <w:r w:rsidR="00722A81" w:rsidRPr="00722A81">
        <w:rPr>
          <w:rFonts w:ascii="Arial" w:hAnsi="Arial" w:cs="Arial"/>
          <w:b/>
          <w:bCs/>
          <w:color w:val="000000" w:themeColor="text1"/>
          <w:lang w:val="en-GB"/>
        </w:rPr>
        <w:t>1</w:t>
      </w:r>
    </w:p>
    <w:p w14:paraId="547647A7" w14:textId="77777777" w:rsidR="00E64764" w:rsidRDefault="00F43470" w:rsidP="00537FA2">
      <w:pPr>
        <w:ind w:left="360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F43470">
        <w:rPr>
          <w:rFonts w:ascii="Arial" w:hAnsi="Arial" w:cs="Arial"/>
          <w:bCs/>
          <w:color w:val="000000" w:themeColor="text1"/>
          <w:lang w:val="en-GB"/>
        </w:rPr>
        <w:t xml:space="preserve">Regional expertise and skills to apply the P-IMA framework in five Member States </w:t>
      </w:r>
    </w:p>
    <w:p w14:paraId="65E3EF86" w14:textId="0348D4CE" w:rsidR="009363AC" w:rsidRPr="001F2996" w:rsidRDefault="009D2222" w:rsidP="00537FA2">
      <w:pPr>
        <w:ind w:left="360"/>
        <w:jc w:val="both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F</w:t>
      </w:r>
      <w:r w:rsidR="005F4C5A">
        <w:rPr>
          <w:rFonts w:ascii="Arial" w:hAnsi="Arial" w:cs="Arial"/>
          <w:bCs/>
          <w:color w:val="000000" w:themeColor="text1"/>
          <w:lang w:val="en-GB"/>
        </w:rPr>
        <w:t>ive (5) selec</w:t>
      </w:r>
      <w:r w:rsidR="00640A76">
        <w:rPr>
          <w:rFonts w:ascii="Arial" w:hAnsi="Arial" w:cs="Arial"/>
          <w:bCs/>
          <w:color w:val="000000" w:themeColor="text1"/>
          <w:lang w:val="en-GB"/>
        </w:rPr>
        <w:t xml:space="preserve">ted member States as follows; </w:t>
      </w:r>
      <w:r w:rsidR="0094067E">
        <w:rPr>
          <w:rFonts w:ascii="Arial" w:hAnsi="Arial" w:cs="Arial"/>
          <w:bCs/>
          <w:color w:val="000000" w:themeColor="text1"/>
          <w:lang w:val="en-GB"/>
        </w:rPr>
        <w:t>Uganda, Malawi, Kenya Rwanda and Ethiopia</w:t>
      </w:r>
      <w:r w:rsidR="005F4C5A">
        <w:rPr>
          <w:rFonts w:ascii="Arial" w:hAnsi="Arial" w:cs="Arial"/>
          <w:bCs/>
          <w:color w:val="000000" w:themeColor="text1"/>
          <w:lang w:val="en-GB"/>
        </w:rPr>
        <w:t xml:space="preserve">. </w:t>
      </w:r>
      <w:r w:rsidR="001E0A96">
        <w:rPr>
          <w:rFonts w:ascii="Arial" w:hAnsi="Arial" w:cs="Arial"/>
          <w:bCs/>
          <w:color w:val="000000" w:themeColor="text1"/>
          <w:lang w:val="en-GB"/>
        </w:rPr>
        <w:t xml:space="preserve">This involved </w:t>
      </w:r>
      <w:r w:rsidR="00C80720">
        <w:rPr>
          <w:rFonts w:ascii="Arial" w:hAnsi="Arial" w:cs="Arial"/>
          <w:bCs/>
          <w:color w:val="000000" w:themeColor="text1"/>
          <w:lang w:val="en-GB"/>
        </w:rPr>
        <w:t>preparation of training ma</w:t>
      </w:r>
      <w:r w:rsidR="006B593E">
        <w:rPr>
          <w:rFonts w:ascii="Arial" w:hAnsi="Arial" w:cs="Arial"/>
          <w:bCs/>
          <w:color w:val="000000" w:themeColor="text1"/>
          <w:lang w:val="en-GB"/>
        </w:rPr>
        <w:t>terials based on the STDF P-IMA user gui</w:t>
      </w:r>
      <w:r w:rsidR="00183A88">
        <w:rPr>
          <w:rFonts w:ascii="Arial" w:hAnsi="Arial" w:cs="Arial"/>
          <w:bCs/>
          <w:color w:val="000000" w:themeColor="text1"/>
          <w:lang w:val="en-GB"/>
        </w:rPr>
        <w:t>de of which three</w:t>
      </w:r>
      <w:r w:rsidR="00FA6AFA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183A88">
        <w:rPr>
          <w:rFonts w:ascii="Arial" w:hAnsi="Arial" w:cs="Arial"/>
          <w:bCs/>
          <w:color w:val="000000" w:themeColor="text1"/>
          <w:lang w:val="en-GB"/>
        </w:rPr>
        <w:t xml:space="preserve">(3) </w:t>
      </w:r>
      <w:r w:rsidR="00FC2301">
        <w:rPr>
          <w:rFonts w:ascii="Arial" w:hAnsi="Arial" w:cs="Arial"/>
          <w:bCs/>
          <w:color w:val="000000" w:themeColor="text1"/>
          <w:lang w:val="en-GB"/>
        </w:rPr>
        <w:t>countries have been trained.</w:t>
      </w:r>
    </w:p>
    <w:p w14:paraId="669D8B99" w14:textId="357D0625" w:rsidR="00B47863" w:rsidRDefault="00FA6AFA" w:rsidP="00537FA2">
      <w:pPr>
        <w:ind w:left="360"/>
        <w:jc w:val="both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Training of five (5</w:t>
      </w:r>
      <w:r w:rsidR="00E65EED">
        <w:rPr>
          <w:rFonts w:ascii="Arial" w:hAnsi="Arial" w:cs="Arial"/>
          <w:bCs/>
          <w:color w:val="000000" w:themeColor="text1"/>
          <w:lang w:val="en-GB"/>
        </w:rPr>
        <w:t>) national experts (P-IMA Facilitators) in each country on the use</w:t>
      </w:r>
      <w:r w:rsidR="00244CBD">
        <w:rPr>
          <w:rFonts w:ascii="Arial" w:hAnsi="Arial" w:cs="Arial"/>
          <w:bCs/>
          <w:color w:val="000000" w:themeColor="text1"/>
          <w:lang w:val="en-GB"/>
        </w:rPr>
        <w:t xml:space="preserve"> of P-IMA</w:t>
      </w:r>
    </w:p>
    <w:p w14:paraId="0D1E4002" w14:textId="77777777" w:rsidR="00522ADF" w:rsidRDefault="008B737C" w:rsidP="00522ADF">
      <w:pPr>
        <w:ind w:firstLine="360"/>
        <w:jc w:val="both"/>
        <w:rPr>
          <w:rFonts w:ascii="Arial" w:hAnsi="Arial" w:cs="Arial"/>
          <w:b/>
          <w:bCs/>
          <w:color w:val="000000" w:themeColor="text1"/>
          <w:lang w:val="en-GB"/>
        </w:rPr>
      </w:pPr>
      <w:r w:rsidRPr="008B737C">
        <w:rPr>
          <w:rFonts w:ascii="Arial" w:hAnsi="Arial" w:cs="Arial"/>
          <w:b/>
          <w:bCs/>
          <w:color w:val="000000" w:themeColor="text1"/>
          <w:lang w:val="en-GB"/>
        </w:rPr>
        <w:t xml:space="preserve">Output 2: </w:t>
      </w:r>
    </w:p>
    <w:p w14:paraId="70098DCD" w14:textId="54F66F72" w:rsidR="008B737C" w:rsidRPr="008B737C" w:rsidRDefault="008B737C" w:rsidP="00522ADF">
      <w:pPr>
        <w:ind w:left="360"/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8B737C">
        <w:rPr>
          <w:rFonts w:ascii="Arial" w:hAnsi="Arial" w:cs="Arial"/>
          <w:bCs/>
          <w:color w:val="000000" w:themeColor="text1"/>
          <w:lang w:val="en-GB"/>
        </w:rPr>
        <w:t>SPS investments for market access are prioritized and mainstreamed into key policy/investment frameworks by public and private sector stakeholders in the selected countries</w:t>
      </w:r>
      <w:r w:rsidRPr="008B737C">
        <w:rPr>
          <w:rFonts w:ascii="Arial" w:hAnsi="Arial" w:cs="Arial"/>
          <w:bCs/>
          <w:color w:val="000000" w:themeColor="text1"/>
          <w:lang w:val="en-US"/>
        </w:rPr>
        <w:t>:</w:t>
      </w:r>
    </w:p>
    <w:p w14:paraId="18617982" w14:textId="703C63DC" w:rsidR="008B737C" w:rsidRPr="005A6D9D" w:rsidRDefault="007D00F8" w:rsidP="005A6D9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5A6D9D">
        <w:rPr>
          <w:rFonts w:ascii="Arial" w:hAnsi="Arial" w:cs="Arial"/>
          <w:bCs/>
          <w:color w:val="000000" w:themeColor="text1"/>
        </w:rPr>
        <w:t xml:space="preserve"> </w:t>
      </w:r>
      <w:r w:rsidR="00BC6841" w:rsidRPr="005A6D9D">
        <w:rPr>
          <w:rFonts w:ascii="Arial" w:hAnsi="Arial" w:cs="Arial"/>
          <w:bCs/>
          <w:color w:val="000000" w:themeColor="text1"/>
        </w:rPr>
        <w:t>Meetings held with high-level policy and decision-makers to raise awareness about P-IMA</w:t>
      </w:r>
      <w:r w:rsidR="00841D5A" w:rsidRPr="005A6D9D">
        <w:rPr>
          <w:rFonts w:ascii="Arial" w:hAnsi="Arial" w:cs="Arial"/>
          <w:bCs/>
          <w:color w:val="000000" w:themeColor="text1"/>
          <w:lang w:val="en-US"/>
        </w:rPr>
        <w:t xml:space="preserve"> of which three (3) countries </w:t>
      </w:r>
      <w:r w:rsidR="00212BC2" w:rsidRPr="005A6D9D">
        <w:rPr>
          <w:rFonts w:ascii="Arial" w:hAnsi="Arial" w:cs="Arial"/>
          <w:bCs/>
          <w:color w:val="000000" w:themeColor="text1"/>
          <w:lang w:val="en-US"/>
        </w:rPr>
        <w:t>completed (Uganda, Kenya and Rwanda)</w:t>
      </w:r>
    </w:p>
    <w:p w14:paraId="4BA85195" w14:textId="0E59F79F" w:rsidR="005A6D9D" w:rsidRDefault="005A6D9D" w:rsidP="005A6D9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5A6D9D">
        <w:rPr>
          <w:rFonts w:ascii="Arial" w:hAnsi="Arial" w:cs="Arial"/>
          <w:bCs/>
          <w:color w:val="000000" w:themeColor="text1"/>
          <w:lang w:val="en-US"/>
        </w:rPr>
        <w:t xml:space="preserve">Collection, compilation and analysis of information and data needed to prioritize SPS investments </w:t>
      </w:r>
      <w:r w:rsidR="005A5173">
        <w:rPr>
          <w:rFonts w:ascii="Arial" w:hAnsi="Arial" w:cs="Arial"/>
          <w:bCs/>
          <w:color w:val="000000" w:themeColor="text1"/>
          <w:lang w:val="en-US"/>
        </w:rPr>
        <w:t>of which Uganda is completed</w:t>
      </w:r>
    </w:p>
    <w:p w14:paraId="3669176D" w14:textId="4840F06A" w:rsidR="00794A0E" w:rsidRPr="00794A0E" w:rsidRDefault="00794A0E" w:rsidP="00794A0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794A0E">
        <w:rPr>
          <w:rFonts w:ascii="Arial" w:hAnsi="Arial" w:cs="Arial"/>
          <w:bCs/>
          <w:color w:val="000000" w:themeColor="text1"/>
          <w:lang w:val="en-US"/>
        </w:rPr>
        <w:t>National workshops in the selected 5 COMESA Member States to discuss SPS investment options, decision criteria and weights</w:t>
      </w:r>
      <w:r w:rsidR="00F3411C">
        <w:rPr>
          <w:rFonts w:ascii="Arial" w:hAnsi="Arial" w:cs="Arial"/>
          <w:bCs/>
          <w:color w:val="000000" w:themeColor="text1"/>
          <w:lang w:val="en-US"/>
        </w:rPr>
        <w:t xml:space="preserve"> of which Uganda is complete.</w:t>
      </w:r>
    </w:p>
    <w:p w14:paraId="79C2385D" w14:textId="0EFEB8BD" w:rsidR="009C251E" w:rsidRPr="00DF61C6" w:rsidRDefault="00FE3F94" w:rsidP="00DF61C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FE3F94">
        <w:rPr>
          <w:rFonts w:ascii="Arial" w:hAnsi="Arial" w:cs="Arial"/>
          <w:bCs/>
          <w:color w:val="000000" w:themeColor="text1"/>
        </w:rPr>
        <w:t>Additional data collection, consultations and analysis to prepare draft report</w:t>
      </w:r>
      <w:r w:rsidR="00B641E3">
        <w:rPr>
          <w:rFonts w:ascii="Arial" w:hAnsi="Arial" w:cs="Arial"/>
          <w:bCs/>
          <w:color w:val="000000" w:themeColor="text1"/>
          <w:lang w:val="en-US"/>
        </w:rPr>
        <w:t xml:space="preserve"> Uganda in progress</w:t>
      </w:r>
    </w:p>
    <w:p w14:paraId="2AF94870" w14:textId="77777777" w:rsidR="009C251E" w:rsidRPr="009C251E" w:rsidRDefault="009C251E" w:rsidP="009C251E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lang w:val="en-US"/>
        </w:rPr>
      </w:pPr>
      <w:r w:rsidRPr="009C251E">
        <w:rPr>
          <w:rFonts w:ascii="Arial" w:hAnsi="Arial" w:cs="Arial"/>
          <w:bCs/>
          <w:color w:val="000000" w:themeColor="text1"/>
          <w:lang w:val="en-US"/>
        </w:rPr>
        <w:t>Four synthesis trade flow report produced- Uganda, Kenya, Malawi, Rwanda</w:t>
      </w:r>
    </w:p>
    <w:p w14:paraId="385CC5E2" w14:textId="3EFE5C2D" w:rsidR="009C251E" w:rsidRDefault="009C251E" w:rsidP="009C251E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 w:themeColor="text1"/>
          <w:lang w:val="en-US"/>
        </w:rPr>
      </w:pPr>
      <w:r w:rsidRPr="009C251E">
        <w:rPr>
          <w:rFonts w:ascii="Arial" w:hAnsi="Arial" w:cs="Arial"/>
          <w:bCs/>
          <w:color w:val="000000" w:themeColor="text1"/>
          <w:lang w:val="en-US"/>
        </w:rPr>
        <w:t xml:space="preserve">Purchase of the P-IMA Framework Analysis Computer software: D-Sight </w:t>
      </w:r>
    </w:p>
    <w:p w14:paraId="3F22ED8F" w14:textId="35B1CFAB" w:rsidR="009C251E" w:rsidRDefault="009C251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0178A88B" w14:textId="0CE692AC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0495907A" w14:textId="78D45BF1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05D816EA" w14:textId="4DF3CF85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1D6D0A38" w14:textId="7B2DC535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25F36B4E" w14:textId="06685C4B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6CA94B43" w14:textId="35B93503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1D338EAE" w14:textId="5DF573D7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2C69D5A6" w14:textId="73361346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7C8E59B0" w14:textId="7C13BF7A" w:rsid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1CA5A5FB" w14:textId="77777777" w:rsidR="009A5DEE" w:rsidRPr="009A5DEE" w:rsidRDefault="009A5DEE" w:rsidP="009A5DEE">
      <w:pPr>
        <w:rPr>
          <w:rFonts w:ascii="Arial" w:hAnsi="Arial" w:cs="Arial"/>
          <w:bCs/>
          <w:color w:val="000000" w:themeColor="text1"/>
          <w:lang w:val="en-US"/>
        </w:rPr>
      </w:pPr>
    </w:p>
    <w:p w14:paraId="59A81B5E" w14:textId="77777777" w:rsidR="003E58A4" w:rsidRDefault="00C15EE7" w:rsidP="0073375E">
      <w:pPr>
        <w:rPr>
          <w:rFonts w:ascii="Arial" w:hAnsi="Arial" w:cs="Arial"/>
          <w:color w:val="000000" w:themeColor="text1"/>
          <w:lang w:val="en-GB"/>
        </w:rPr>
      </w:pPr>
      <w:r w:rsidRPr="001F2996">
        <w:rPr>
          <w:rFonts w:ascii="Arial" w:hAnsi="Arial" w:cs="Arial"/>
          <w:color w:val="000000" w:themeColor="text1"/>
          <w:lang w:val="en-GB"/>
        </w:rPr>
        <w:t>Table 1, below presents expenditure incurred in the period in implementing the above activities</w:t>
      </w:r>
    </w:p>
    <w:tbl>
      <w:tblPr>
        <w:tblpPr w:leftFromText="180" w:rightFromText="180" w:vertAnchor="text" w:horzAnchor="page" w:tblpX="1975" w:tblpY="412"/>
        <w:tblW w:w="86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0"/>
        <w:gridCol w:w="1701"/>
        <w:gridCol w:w="2340"/>
        <w:gridCol w:w="1989"/>
      </w:tblGrid>
      <w:tr w:rsidR="009A5DEE" w:rsidRPr="003E58A4" w14:paraId="5CE0FBBE" w14:textId="77777777" w:rsidTr="009A5DEE">
        <w:trPr>
          <w:trHeight w:val="358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4508D" w14:textId="77777777" w:rsidR="009A5DEE" w:rsidRPr="003E58A4" w:rsidRDefault="009A5DEE" w:rsidP="007E2CA2">
            <w:pPr>
              <w:spacing w:after="0" w:line="240" w:lineRule="auto"/>
              <w:ind w:left="-24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33073" w14:textId="77777777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/>
              </w:rPr>
              <w:t>STDF (USD)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69619" w14:textId="77777777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/>
              </w:rPr>
              <w:t>EIF (USD)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933B2" w14:textId="77777777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n-US"/>
              </w:rPr>
              <w:t>TOTAL (USD)</w:t>
            </w:r>
          </w:p>
        </w:tc>
      </w:tr>
      <w:tr w:rsidR="009A5DEE" w:rsidRPr="003E58A4" w14:paraId="07A2409C" w14:textId="77777777" w:rsidTr="009A5DEE">
        <w:trPr>
          <w:trHeight w:val="608"/>
        </w:trPr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69E30" w14:textId="308564C7" w:rsidR="009A5DEE" w:rsidRPr="003E58A4" w:rsidRDefault="009A5DEE" w:rsidP="00130E0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 xml:space="preserve">Total Project budget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F5C12" w14:textId="77777777" w:rsidR="009A5DEE" w:rsidRPr="003E58A4" w:rsidRDefault="009A5DEE" w:rsidP="007E2CA2">
            <w:pPr>
              <w:spacing w:after="0" w:line="240" w:lineRule="auto"/>
              <w:ind w:left="119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221,025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C0711" w14:textId="77777777" w:rsidR="009A5DEE" w:rsidRPr="003E58A4" w:rsidRDefault="009A5DEE" w:rsidP="007E2CA2">
            <w:pPr>
              <w:spacing w:after="0" w:line="240" w:lineRule="auto"/>
              <w:ind w:left="119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207,000</w:t>
            </w:r>
          </w:p>
        </w:tc>
        <w:tc>
          <w:tcPr>
            <w:tcW w:w="19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7D98F" w14:textId="77777777" w:rsidR="009A5DEE" w:rsidRPr="003E58A4" w:rsidRDefault="009A5DEE" w:rsidP="007E2CA2">
            <w:pPr>
              <w:spacing w:after="0" w:line="240" w:lineRule="auto"/>
              <w:ind w:left="119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428,425</w:t>
            </w:r>
          </w:p>
        </w:tc>
      </w:tr>
      <w:tr w:rsidR="009A5DEE" w:rsidRPr="003E58A4" w14:paraId="74184B54" w14:textId="77777777" w:rsidTr="009A5DEE">
        <w:trPr>
          <w:trHeight w:val="378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5453C" w14:textId="72FE0635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Receipts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E0136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77,339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15C8A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107,400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817DC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184,739</w:t>
            </w:r>
          </w:p>
        </w:tc>
      </w:tr>
      <w:tr w:rsidR="009A5DEE" w:rsidRPr="003E58A4" w14:paraId="71B9DBC3" w14:textId="77777777" w:rsidTr="007E2CA2">
        <w:trPr>
          <w:trHeight w:val="846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ED1BF" w14:textId="45CB8E8C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Expenditures as at 31</w:t>
            </w:r>
            <w:proofErr w:type="spellStart"/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position w:val="11"/>
                <w:vertAlign w:val="superscript"/>
                <w:lang w:val="en-US"/>
              </w:rPr>
              <w:t>st</w:t>
            </w:r>
            <w:proofErr w:type="spellEnd"/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 xml:space="preserve"> August,2019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16C85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(86,066)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05E1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(50,214)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7613A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color w:val="000000" w:themeColor="dark1"/>
                <w:kern w:val="24"/>
                <w:lang w:val="en-US"/>
              </w:rPr>
              <w:t>(136,280)</w:t>
            </w:r>
          </w:p>
        </w:tc>
      </w:tr>
      <w:tr w:rsidR="009A5DEE" w:rsidRPr="003E58A4" w14:paraId="17212E6C" w14:textId="77777777" w:rsidTr="007E2CA2">
        <w:trPr>
          <w:trHeight w:val="846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0C50D" w14:textId="77777777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Unitilsed</w:t>
            </w:r>
            <w:proofErr w:type="spellEnd"/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funds as at 31</w:t>
            </w:r>
            <w:proofErr w:type="spellStart"/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position w:val="11"/>
                <w:vertAlign w:val="superscript"/>
                <w:lang w:val="en-US"/>
              </w:rPr>
              <w:t>st</w:t>
            </w:r>
            <w:proofErr w:type="spellEnd"/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 xml:space="preserve"> August,2019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424EB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(8,727)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910C2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57,186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4B499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48,459</w:t>
            </w:r>
          </w:p>
        </w:tc>
      </w:tr>
      <w:tr w:rsidR="009A5DEE" w:rsidRPr="003E58A4" w14:paraId="509D5623" w14:textId="77777777" w:rsidTr="007E2CA2">
        <w:trPr>
          <w:trHeight w:val="846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E9ABB" w14:textId="77777777" w:rsidR="009A5DEE" w:rsidRPr="003E58A4" w:rsidRDefault="009A5DEE" w:rsidP="007E2CA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Funds absorbed (%) (rounded)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2EC4C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111.28%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FFCE6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47%</w:t>
            </w:r>
          </w:p>
        </w:tc>
        <w:tc>
          <w:tcPr>
            <w:tcW w:w="1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5BC81" w14:textId="77777777" w:rsidR="009A5DEE" w:rsidRPr="003E58A4" w:rsidRDefault="009A5DEE" w:rsidP="007E2C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E58A4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lang w:val="en-US"/>
              </w:rPr>
              <w:t>74%</w:t>
            </w:r>
          </w:p>
        </w:tc>
      </w:tr>
    </w:tbl>
    <w:p w14:paraId="568AA8CC" w14:textId="5833E369" w:rsidR="000C423F" w:rsidRDefault="000C423F" w:rsidP="0073375E">
      <w:pPr>
        <w:rPr>
          <w:rFonts w:ascii="Arial" w:hAnsi="Arial" w:cs="Arial"/>
          <w:color w:val="000000" w:themeColor="text1"/>
          <w:lang w:val="en-GB"/>
        </w:rPr>
      </w:pPr>
    </w:p>
    <w:p w14:paraId="134D6B16" w14:textId="77777777" w:rsidR="00E23369" w:rsidRPr="001F2996" w:rsidRDefault="00E23369" w:rsidP="0073375E">
      <w:pPr>
        <w:rPr>
          <w:rFonts w:ascii="Arial" w:hAnsi="Arial" w:cs="Arial"/>
          <w:color w:val="000000" w:themeColor="text1"/>
          <w:lang w:val="en-GB"/>
        </w:rPr>
      </w:pPr>
    </w:p>
    <w:p w14:paraId="7E8C6BC8" w14:textId="3AC8DE7E" w:rsidR="00440E12" w:rsidRPr="00AC1971" w:rsidRDefault="00440E12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GB"/>
        </w:rPr>
      </w:pPr>
    </w:p>
    <w:p w14:paraId="099425FE" w14:textId="51ABE6AC" w:rsidR="005145D7" w:rsidRPr="00AC1971" w:rsidRDefault="00C15EE7" w:rsidP="0039590C">
      <w:pPr>
        <w:jc w:val="both"/>
        <w:rPr>
          <w:rFonts w:ascii="Arial" w:hAnsi="Arial" w:cs="Arial"/>
          <w:color w:val="000000" w:themeColor="text1"/>
          <w:lang w:val="en-GB"/>
        </w:rPr>
      </w:pPr>
      <w:r w:rsidRPr="00AC1971">
        <w:rPr>
          <w:rFonts w:ascii="Arial" w:hAnsi="Arial" w:cs="Arial"/>
          <w:color w:val="000000" w:themeColor="text1"/>
          <w:lang w:val="en-GB"/>
        </w:rPr>
        <w:t xml:space="preserve">As reflected in the above table, budget utilisation </w:t>
      </w:r>
      <w:r w:rsidR="00907597">
        <w:rPr>
          <w:rFonts w:ascii="Arial" w:hAnsi="Arial" w:cs="Arial"/>
          <w:color w:val="000000" w:themeColor="text1"/>
          <w:lang w:val="en-GB"/>
        </w:rPr>
        <w:t xml:space="preserve">since inception </w:t>
      </w:r>
      <w:r w:rsidR="000E644B" w:rsidRPr="00AC1971">
        <w:rPr>
          <w:rFonts w:ascii="Arial" w:hAnsi="Arial" w:cs="Arial"/>
          <w:color w:val="000000" w:themeColor="text1"/>
          <w:lang w:val="en-GB"/>
        </w:rPr>
        <w:t xml:space="preserve">of the </w:t>
      </w:r>
      <w:r w:rsidR="00907597">
        <w:rPr>
          <w:rFonts w:ascii="Arial" w:hAnsi="Arial" w:cs="Arial"/>
          <w:color w:val="000000" w:themeColor="text1"/>
          <w:lang w:val="en-GB"/>
        </w:rPr>
        <w:t>project</w:t>
      </w:r>
      <w:r w:rsidR="000E644B" w:rsidRPr="00AC1971">
        <w:rPr>
          <w:rFonts w:ascii="Arial" w:hAnsi="Arial" w:cs="Arial"/>
          <w:color w:val="000000" w:themeColor="text1"/>
          <w:lang w:val="en-GB"/>
        </w:rPr>
        <w:t xml:space="preserve"> was </w:t>
      </w:r>
      <w:r w:rsidRPr="00AC1971">
        <w:rPr>
          <w:rFonts w:ascii="Arial" w:hAnsi="Arial" w:cs="Arial"/>
          <w:color w:val="000000" w:themeColor="text1"/>
          <w:lang w:val="en-GB"/>
        </w:rPr>
        <w:t xml:space="preserve">USD </w:t>
      </w:r>
      <w:r w:rsidR="00664BF8">
        <w:rPr>
          <w:rFonts w:ascii="Arial" w:hAnsi="Arial" w:cs="Arial"/>
          <w:color w:val="000000" w:themeColor="text1"/>
          <w:lang w:val="en-GB"/>
        </w:rPr>
        <w:t>184,</w:t>
      </w:r>
      <w:r w:rsidR="00F55674" w:rsidRPr="00AC1971">
        <w:rPr>
          <w:rFonts w:ascii="Arial" w:hAnsi="Arial" w:cs="Arial"/>
          <w:color w:val="000000" w:themeColor="text1"/>
          <w:lang w:val="en-GB"/>
        </w:rPr>
        <w:t>7</w:t>
      </w:r>
      <w:r w:rsidR="00664BF8">
        <w:rPr>
          <w:rFonts w:ascii="Arial" w:hAnsi="Arial" w:cs="Arial"/>
          <w:color w:val="000000" w:themeColor="text1"/>
          <w:lang w:val="en-GB"/>
        </w:rPr>
        <w:t>3</w:t>
      </w:r>
      <w:r w:rsidR="00F55674" w:rsidRPr="00AC1971">
        <w:rPr>
          <w:rFonts w:ascii="Arial" w:hAnsi="Arial" w:cs="Arial"/>
          <w:color w:val="000000" w:themeColor="text1"/>
          <w:lang w:val="en-GB"/>
        </w:rPr>
        <w:t>9</w:t>
      </w:r>
      <w:r w:rsidR="00E20514" w:rsidRPr="00AC1971">
        <w:rPr>
          <w:rFonts w:ascii="Arial" w:hAnsi="Arial" w:cs="Arial"/>
          <w:color w:val="000000" w:themeColor="text1"/>
          <w:lang w:val="en-GB"/>
        </w:rPr>
        <w:t>.00</w:t>
      </w:r>
      <w:r w:rsidRPr="00AC1971">
        <w:rPr>
          <w:rFonts w:ascii="Arial" w:hAnsi="Arial" w:cs="Arial"/>
          <w:color w:val="000000" w:themeColor="text1"/>
          <w:lang w:val="en-GB"/>
        </w:rPr>
        <w:t xml:space="preserve"> representing </w:t>
      </w:r>
      <w:r w:rsidR="00664BF8">
        <w:rPr>
          <w:rFonts w:ascii="Arial" w:hAnsi="Arial" w:cs="Arial"/>
          <w:color w:val="000000" w:themeColor="text1"/>
          <w:lang w:val="en-GB"/>
        </w:rPr>
        <w:t>74</w:t>
      </w:r>
      <w:r w:rsidR="000E644B" w:rsidRPr="00AC1971">
        <w:rPr>
          <w:rFonts w:ascii="Arial" w:hAnsi="Arial" w:cs="Arial"/>
          <w:color w:val="000000" w:themeColor="text1"/>
          <w:lang w:val="en-GB"/>
        </w:rPr>
        <w:t>%</w:t>
      </w:r>
      <w:r w:rsidR="00145A9D" w:rsidRPr="00AC1971">
        <w:rPr>
          <w:rFonts w:ascii="Arial" w:hAnsi="Arial" w:cs="Arial"/>
          <w:color w:val="000000" w:themeColor="text1"/>
          <w:lang w:val="en-GB"/>
        </w:rPr>
        <w:t xml:space="preserve"> of the 2019 </w:t>
      </w:r>
      <w:r w:rsidR="009449BB">
        <w:rPr>
          <w:rFonts w:ascii="Arial" w:hAnsi="Arial" w:cs="Arial"/>
          <w:color w:val="000000" w:themeColor="text1"/>
          <w:lang w:val="en-GB"/>
        </w:rPr>
        <w:t>of funds advanced</w:t>
      </w:r>
      <w:r w:rsidR="000D212A" w:rsidRPr="00AC1971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138229E3" w14:textId="74DDC4A1" w:rsidR="005145D7" w:rsidRDefault="005145D7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7ACD44F4" w14:textId="0DDDC647" w:rsidR="00913BC3" w:rsidRDefault="00913BC3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100C463F" w14:textId="41EF980F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1FA941A1" w14:textId="3B479096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43828ED4" w14:textId="02AE27AC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6E349DFD" w14:textId="739DEF11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0CE94F32" w14:textId="6D8FF9EB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p w14:paraId="47739485" w14:textId="77777777" w:rsidR="00CC4A99" w:rsidRDefault="00CC4A99" w:rsidP="005145D7">
      <w:pPr>
        <w:pStyle w:val="ListParagraph"/>
        <w:rPr>
          <w:rFonts w:ascii="Arial" w:hAnsi="Arial" w:cs="Arial"/>
          <w:b/>
          <w:bCs/>
          <w:lang w:val="en-GB"/>
        </w:rPr>
      </w:pPr>
    </w:p>
    <w:sectPr w:rsidR="00CC4A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7CE6" w14:textId="77777777" w:rsidR="00226D04" w:rsidRDefault="00226D04" w:rsidP="00EA5707">
      <w:pPr>
        <w:spacing w:after="0" w:line="240" w:lineRule="auto"/>
      </w:pPr>
      <w:r>
        <w:separator/>
      </w:r>
    </w:p>
  </w:endnote>
  <w:endnote w:type="continuationSeparator" w:id="0">
    <w:p w14:paraId="2C4D5A01" w14:textId="77777777" w:rsidR="00226D04" w:rsidRDefault="00226D04" w:rsidP="00EA5707">
      <w:pPr>
        <w:spacing w:after="0" w:line="240" w:lineRule="auto"/>
      </w:pPr>
      <w:r>
        <w:continuationSeparator/>
      </w:r>
    </w:p>
  </w:endnote>
  <w:endnote w:type="continuationNotice" w:id="1">
    <w:p w14:paraId="65773805" w14:textId="77777777" w:rsidR="00226D04" w:rsidRDefault="00226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A4C7" w14:textId="77777777" w:rsidR="00A12335" w:rsidRDefault="00A12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298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4F233" w14:textId="2456E16D" w:rsidR="004061ED" w:rsidRDefault="00406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BCDE4" w14:textId="77777777" w:rsidR="004061ED" w:rsidRDefault="00406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FE9C" w14:textId="77777777" w:rsidR="00A12335" w:rsidRDefault="00A1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4331" w14:textId="77777777" w:rsidR="00226D04" w:rsidRDefault="00226D04" w:rsidP="00EA5707">
      <w:pPr>
        <w:spacing w:after="0" w:line="240" w:lineRule="auto"/>
      </w:pPr>
      <w:r>
        <w:separator/>
      </w:r>
    </w:p>
  </w:footnote>
  <w:footnote w:type="continuationSeparator" w:id="0">
    <w:p w14:paraId="519E740C" w14:textId="77777777" w:rsidR="00226D04" w:rsidRDefault="00226D04" w:rsidP="00EA5707">
      <w:pPr>
        <w:spacing w:after="0" w:line="240" w:lineRule="auto"/>
      </w:pPr>
      <w:r>
        <w:continuationSeparator/>
      </w:r>
    </w:p>
  </w:footnote>
  <w:footnote w:type="continuationNotice" w:id="1">
    <w:p w14:paraId="3A5409F9" w14:textId="77777777" w:rsidR="00226D04" w:rsidRDefault="00226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F6D6" w14:textId="77777777" w:rsidR="00A12335" w:rsidRDefault="00A12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660F" w14:textId="08F63453" w:rsidR="00EA5707" w:rsidRPr="0088042E" w:rsidRDefault="00A12335">
    <w:pPr>
      <w:pStyle w:val="Header"/>
      <w:rPr>
        <w:rFonts w:ascii="Arial" w:hAnsi="Arial" w:cs="Arial"/>
        <w:b/>
        <w:bCs/>
        <w:sz w:val="24"/>
        <w:szCs w:val="24"/>
        <w:lang w:val="en-GB"/>
      </w:rPr>
    </w:pPr>
    <w:r>
      <w:rPr>
        <w:rFonts w:ascii="Arial" w:hAnsi="Arial" w:cs="Arial"/>
        <w:b/>
        <w:bCs/>
        <w:sz w:val="24"/>
        <w:szCs w:val="24"/>
        <w:lang w:val="en-GB"/>
      </w:rPr>
      <w:t>Note 19</w:t>
    </w:r>
    <w:r w:rsidR="0088042E" w:rsidRPr="0088042E">
      <w:rPr>
        <w:rFonts w:ascii="Arial" w:hAnsi="Arial" w:cs="Arial"/>
        <w:b/>
        <w:bCs/>
        <w:sz w:val="24"/>
        <w:szCs w:val="24"/>
        <w:lang w:val="en-GB"/>
      </w:rPr>
      <w:t xml:space="preserve">: </w:t>
    </w:r>
    <w:r>
      <w:rPr>
        <w:rFonts w:ascii="Arial" w:hAnsi="Arial" w:cs="Arial"/>
        <w:b/>
        <w:bCs/>
        <w:sz w:val="24"/>
        <w:szCs w:val="24"/>
        <w:lang w:val="en-GB"/>
      </w:rPr>
      <w:t xml:space="preserve">Mainstreaming </w:t>
    </w:r>
    <w:r w:rsidR="001E167E">
      <w:rPr>
        <w:rFonts w:ascii="Arial" w:hAnsi="Arial" w:cs="Arial"/>
        <w:b/>
        <w:bCs/>
        <w:sz w:val="24"/>
        <w:szCs w:val="24"/>
        <w:lang w:val="en-GB"/>
      </w:rPr>
      <w:t xml:space="preserve">SPS </w:t>
    </w:r>
    <w:r w:rsidR="001E167E">
      <w:rPr>
        <w:rFonts w:ascii="Arial" w:hAnsi="Arial" w:cs="Arial"/>
        <w:b/>
        <w:bCs/>
        <w:sz w:val="24"/>
        <w:szCs w:val="24"/>
        <w:lang w:val="en-GB"/>
      </w:rPr>
      <w:t>Capacity</w:t>
    </w:r>
    <w:bookmarkStart w:id="0" w:name="_GoBack"/>
    <w:bookmarkEnd w:id="0"/>
    <w:r>
      <w:rPr>
        <w:rFonts w:ascii="Arial" w:hAnsi="Arial" w:cs="Arial"/>
        <w:b/>
        <w:bCs/>
        <w:sz w:val="24"/>
        <w:szCs w:val="24"/>
        <w:lang w:val="en-GB"/>
      </w:rPr>
      <w:t xml:space="preserve"> </w:t>
    </w:r>
    <w:r w:rsidR="007E1579">
      <w:rPr>
        <w:rFonts w:ascii="Arial" w:hAnsi="Arial" w:cs="Arial"/>
        <w:b/>
        <w:bCs/>
        <w:sz w:val="24"/>
        <w:szCs w:val="24"/>
        <w:lang w:val="en-GB"/>
      </w:rPr>
      <w:t>STDF/EIF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4B4D" w14:textId="77777777" w:rsidR="00A12335" w:rsidRDefault="00A1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4D8"/>
    <w:multiLevelType w:val="hybridMultilevel"/>
    <w:tmpl w:val="1C4288C4"/>
    <w:lvl w:ilvl="0" w:tplc="53E4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4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8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A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A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236942"/>
    <w:multiLevelType w:val="hybridMultilevel"/>
    <w:tmpl w:val="C31C9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E023E4"/>
    <w:multiLevelType w:val="hybridMultilevel"/>
    <w:tmpl w:val="9F0E4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A39"/>
    <w:multiLevelType w:val="hybridMultilevel"/>
    <w:tmpl w:val="E9F28B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ACE"/>
    <w:multiLevelType w:val="hybridMultilevel"/>
    <w:tmpl w:val="6AA6C70C"/>
    <w:lvl w:ilvl="0" w:tplc="0D12DC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418C"/>
    <w:multiLevelType w:val="hybridMultilevel"/>
    <w:tmpl w:val="C1EE39B6"/>
    <w:lvl w:ilvl="0" w:tplc="597E9E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0CD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6FC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DD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3F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8D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05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03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C6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551"/>
    <w:multiLevelType w:val="hybridMultilevel"/>
    <w:tmpl w:val="8D3E256E"/>
    <w:lvl w:ilvl="0" w:tplc="AFDE57FC">
      <w:start w:val="981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C20DF"/>
    <w:multiLevelType w:val="hybridMultilevel"/>
    <w:tmpl w:val="8C86838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6C6117"/>
    <w:multiLevelType w:val="hybridMultilevel"/>
    <w:tmpl w:val="4120DCC4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C900C6"/>
    <w:multiLevelType w:val="hybridMultilevel"/>
    <w:tmpl w:val="C2EE971A"/>
    <w:lvl w:ilvl="0" w:tplc="AFDE57FC">
      <w:start w:val="98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11EA"/>
    <w:multiLevelType w:val="hybridMultilevel"/>
    <w:tmpl w:val="E4CE4972"/>
    <w:lvl w:ilvl="0" w:tplc="F1D2A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60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20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4B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4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A4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C53E8E"/>
    <w:multiLevelType w:val="hybridMultilevel"/>
    <w:tmpl w:val="16B0CF70"/>
    <w:lvl w:ilvl="0" w:tplc="CB168A78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102F"/>
    <w:multiLevelType w:val="hybridMultilevel"/>
    <w:tmpl w:val="39A25AE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1BA7"/>
    <w:multiLevelType w:val="hybridMultilevel"/>
    <w:tmpl w:val="FC46CE68"/>
    <w:lvl w:ilvl="0" w:tplc="E376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88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A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8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C6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2C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6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7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3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DB20B4"/>
    <w:multiLevelType w:val="hybridMultilevel"/>
    <w:tmpl w:val="A6440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02F20"/>
    <w:multiLevelType w:val="hybridMultilevel"/>
    <w:tmpl w:val="3F4CB1AC"/>
    <w:lvl w:ilvl="0" w:tplc="97E8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E0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89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2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C2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0E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8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77200B"/>
    <w:multiLevelType w:val="hybridMultilevel"/>
    <w:tmpl w:val="CDD84B78"/>
    <w:lvl w:ilvl="0" w:tplc="AFDE57FC">
      <w:start w:val="98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C58FB"/>
    <w:multiLevelType w:val="hybridMultilevel"/>
    <w:tmpl w:val="BBCC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215B8"/>
    <w:multiLevelType w:val="hybridMultilevel"/>
    <w:tmpl w:val="07267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620FD6"/>
    <w:multiLevelType w:val="hybridMultilevel"/>
    <w:tmpl w:val="4D2C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18397F"/>
    <w:multiLevelType w:val="hybridMultilevel"/>
    <w:tmpl w:val="BCC67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7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  <w:num w:numId="17">
    <w:abstractNumId w:val="10"/>
  </w:num>
  <w:num w:numId="18">
    <w:abstractNumId w:val="13"/>
  </w:num>
  <w:num w:numId="19">
    <w:abstractNumId w:val="15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7D"/>
    <w:rsid w:val="0001015B"/>
    <w:rsid w:val="000112D1"/>
    <w:rsid w:val="000209F9"/>
    <w:rsid w:val="000240D9"/>
    <w:rsid w:val="000479EC"/>
    <w:rsid w:val="00050575"/>
    <w:rsid w:val="00053E26"/>
    <w:rsid w:val="00060BE3"/>
    <w:rsid w:val="0007160E"/>
    <w:rsid w:val="00083A54"/>
    <w:rsid w:val="000854C0"/>
    <w:rsid w:val="000A3644"/>
    <w:rsid w:val="000C423F"/>
    <w:rsid w:val="000D069E"/>
    <w:rsid w:val="000D212A"/>
    <w:rsid w:val="000D5D2D"/>
    <w:rsid w:val="000D6591"/>
    <w:rsid w:val="000E0A6E"/>
    <w:rsid w:val="000E644B"/>
    <w:rsid w:val="000F5927"/>
    <w:rsid w:val="00102671"/>
    <w:rsid w:val="00106A70"/>
    <w:rsid w:val="00116A88"/>
    <w:rsid w:val="00116C47"/>
    <w:rsid w:val="001247EB"/>
    <w:rsid w:val="00126E42"/>
    <w:rsid w:val="00130E00"/>
    <w:rsid w:val="001354EB"/>
    <w:rsid w:val="00135C3F"/>
    <w:rsid w:val="00145A9D"/>
    <w:rsid w:val="00153D8C"/>
    <w:rsid w:val="0015514A"/>
    <w:rsid w:val="001731A7"/>
    <w:rsid w:val="0017640F"/>
    <w:rsid w:val="00183A88"/>
    <w:rsid w:val="001844BF"/>
    <w:rsid w:val="00193C50"/>
    <w:rsid w:val="001A34C3"/>
    <w:rsid w:val="001A5BB3"/>
    <w:rsid w:val="001A70A8"/>
    <w:rsid w:val="001C2893"/>
    <w:rsid w:val="001C3504"/>
    <w:rsid w:val="001C3E31"/>
    <w:rsid w:val="001D5EF3"/>
    <w:rsid w:val="001D629C"/>
    <w:rsid w:val="001E0A96"/>
    <w:rsid w:val="001E1052"/>
    <w:rsid w:val="001E167E"/>
    <w:rsid w:val="001F0E4B"/>
    <w:rsid w:val="001F1B80"/>
    <w:rsid w:val="001F2996"/>
    <w:rsid w:val="00207BFE"/>
    <w:rsid w:val="00212BC2"/>
    <w:rsid w:val="00224137"/>
    <w:rsid w:val="0022698C"/>
    <w:rsid w:val="00226D04"/>
    <w:rsid w:val="00232190"/>
    <w:rsid w:val="00244CBD"/>
    <w:rsid w:val="00253C7F"/>
    <w:rsid w:val="0026665E"/>
    <w:rsid w:val="00273402"/>
    <w:rsid w:val="00284C1F"/>
    <w:rsid w:val="00293CC2"/>
    <w:rsid w:val="00294B41"/>
    <w:rsid w:val="0029718E"/>
    <w:rsid w:val="002A7CCC"/>
    <w:rsid w:val="002B15A5"/>
    <w:rsid w:val="002B1921"/>
    <w:rsid w:val="002B30F3"/>
    <w:rsid w:val="002C271A"/>
    <w:rsid w:val="002C5C2F"/>
    <w:rsid w:val="002D1FCB"/>
    <w:rsid w:val="002F7766"/>
    <w:rsid w:val="00312936"/>
    <w:rsid w:val="00314AB1"/>
    <w:rsid w:val="00315AD1"/>
    <w:rsid w:val="00333153"/>
    <w:rsid w:val="003362B7"/>
    <w:rsid w:val="00344190"/>
    <w:rsid w:val="00356598"/>
    <w:rsid w:val="00360489"/>
    <w:rsid w:val="00375F8E"/>
    <w:rsid w:val="00386664"/>
    <w:rsid w:val="0039384C"/>
    <w:rsid w:val="00393D40"/>
    <w:rsid w:val="0039590C"/>
    <w:rsid w:val="003976D0"/>
    <w:rsid w:val="003A5A4C"/>
    <w:rsid w:val="003A7C2F"/>
    <w:rsid w:val="003B0EE7"/>
    <w:rsid w:val="003B2994"/>
    <w:rsid w:val="003C433D"/>
    <w:rsid w:val="003D331E"/>
    <w:rsid w:val="003E58A4"/>
    <w:rsid w:val="003E5A07"/>
    <w:rsid w:val="00401F99"/>
    <w:rsid w:val="00405DB4"/>
    <w:rsid w:val="004061ED"/>
    <w:rsid w:val="0044048F"/>
    <w:rsid w:val="00440E12"/>
    <w:rsid w:val="00440F19"/>
    <w:rsid w:val="00443473"/>
    <w:rsid w:val="004517EC"/>
    <w:rsid w:val="00460DCF"/>
    <w:rsid w:val="00463007"/>
    <w:rsid w:val="00474CC7"/>
    <w:rsid w:val="004777B4"/>
    <w:rsid w:val="004848DD"/>
    <w:rsid w:val="004A6889"/>
    <w:rsid w:val="004C597F"/>
    <w:rsid w:val="004D489C"/>
    <w:rsid w:val="004D6920"/>
    <w:rsid w:val="004D705A"/>
    <w:rsid w:val="004E396E"/>
    <w:rsid w:val="00504BA2"/>
    <w:rsid w:val="005145D7"/>
    <w:rsid w:val="00516138"/>
    <w:rsid w:val="00522ADF"/>
    <w:rsid w:val="005250AC"/>
    <w:rsid w:val="00525A64"/>
    <w:rsid w:val="005262F8"/>
    <w:rsid w:val="00527A6D"/>
    <w:rsid w:val="00535E44"/>
    <w:rsid w:val="00537FA2"/>
    <w:rsid w:val="00556219"/>
    <w:rsid w:val="00556D1A"/>
    <w:rsid w:val="00563699"/>
    <w:rsid w:val="00570FA5"/>
    <w:rsid w:val="005862A1"/>
    <w:rsid w:val="005A5173"/>
    <w:rsid w:val="005A6D9D"/>
    <w:rsid w:val="005D10CE"/>
    <w:rsid w:val="005E0BF0"/>
    <w:rsid w:val="005F25BE"/>
    <w:rsid w:val="005F4C5A"/>
    <w:rsid w:val="005F75C1"/>
    <w:rsid w:val="0060402D"/>
    <w:rsid w:val="00605BD6"/>
    <w:rsid w:val="00623A25"/>
    <w:rsid w:val="00640159"/>
    <w:rsid w:val="00640A76"/>
    <w:rsid w:val="00646BA6"/>
    <w:rsid w:val="0065050A"/>
    <w:rsid w:val="00664BF8"/>
    <w:rsid w:val="00665B58"/>
    <w:rsid w:val="00674D16"/>
    <w:rsid w:val="006B0DF8"/>
    <w:rsid w:val="006B593E"/>
    <w:rsid w:val="006C3886"/>
    <w:rsid w:val="006D2A5B"/>
    <w:rsid w:val="006E0920"/>
    <w:rsid w:val="006E507A"/>
    <w:rsid w:val="00716F07"/>
    <w:rsid w:val="0071776A"/>
    <w:rsid w:val="00722A81"/>
    <w:rsid w:val="007259EA"/>
    <w:rsid w:val="0073375E"/>
    <w:rsid w:val="00747011"/>
    <w:rsid w:val="00753BB1"/>
    <w:rsid w:val="00755BA7"/>
    <w:rsid w:val="007561FA"/>
    <w:rsid w:val="007755B9"/>
    <w:rsid w:val="00783CF6"/>
    <w:rsid w:val="0079284A"/>
    <w:rsid w:val="00794A0E"/>
    <w:rsid w:val="007A18E8"/>
    <w:rsid w:val="007A1F41"/>
    <w:rsid w:val="007C18CA"/>
    <w:rsid w:val="007D00F8"/>
    <w:rsid w:val="007E1579"/>
    <w:rsid w:val="007E6DA5"/>
    <w:rsid w:val="00801617"/>
    <w:rsid w:val="0081250B"/>
    <w:rsid w:val="008278A8"/>
    <w:rsid w:val="00830C43"/>
    <w:rsid w:val="00832E66"/>
    <w:rsid w:val="008331E1"/>
    <w:rsid w:val="008361C9"/>
    <w:rsid w:val="00840D51"/>
    <w:rsid w:val="00841D5A"/>
    <w:rsid w:val="00846F6B"/>
    <w:rsid w:val="00850970"/>
    <w:rsid w:val="00852CDB"/>
    <w:rsid w:val="008544E7"/>
    <w:rsid w:val="00860A63"/>
    <w:rsid w:val="00871F77"/>
    <w:rsid w:val="0088042E"/>
    <w:rsid w:val="00895CBA"/>
    <w:rsid w:val="008A0708"/>
    <w:rsid w:val="008A6089"/>
    <w:rsid w:val="008B4003"/>
    <w:rsid w:val="008B737C"/>
    <w:rsid w:val="008D0ABF"/>
    <w:rsid w:val="008D1714"/>
    <w:rsid w:val="008D1AAF"/>
    <w:rsid w:val="008D6A1B"/>
    <w:rsid w:val="008E046E"/>
    <w:rsid w:val="00907597"/>
    <w:rsid w:val="00913BC3"/>
    <w:rsid w:val="00923C00"/>
    <w:rsid w:val="009323A5"/>
    <w:rsid w:val="009363AC"/>
    <w:rsid w:val="0094067E"/>
    <w:rsid w:val="009445AF"/>
    <w:rsid w:val="009449BB"/>
    <w:rsid w:val="009472BD"/>
    <w:rsid w:val="009541B6"/>
    <w:rsid w:val="0097018F"/>
    <w:rsid w:val="00995AEF"/>
    <w:rsid w:val="009A5DDE"/>
    <w:rsid w:val="009A5DEE"/>
    <w:rsid w:val="009B20DC"/>
    <w:rsid w:val="009C251E"/>
    <w:rsid w:val="009C4F5D"/>
    <w:rsid w:val="009D2222"/>
    <w:rsid w:val="009D2ED0"/>
    <w:rsid w:val="009D49D6"/>
    <w:rsid w:val="009D6703"/>
    <w:rsid w:val="009F5860"/>
    <w:rsid w:val="00A0270C"/>
    <w:rsid w:val="00A11415"/>
    <w:rsid w:val="00A12335"/>
    <w:rsid w:val="00A15B7A"/>
    <w:rsid w:val="00A1612C"/>
    <w:rsid w:val="00A7223E"/>
    <w:rsid w:val="00A77166"/>
    <w:rsid w:val="00A87286"/>
    <w:rsid w:val="00A954A0"/>
    <w:rsid w:val="00AB6CF7"/>
    <w:rsid w:val="00AC0F08"/>
    <w:rsid w:val="00AC1971"/>
    <w:rsid w:val="00AC2CF2"/>
    <w:rsid w:val="00AE64AF"/>
    <w:rsid w:val="00AF79E8"/>
    <w:rsid w:val="00B1455C"/>
    <w:rsid w:val="00B1557A"/>
    <w:rsid w:val="00B15A90"/>
    <w:rsid w:val="00B35AA1"/>
    <w:rsid w:val="00B47863"/>
    <w:rsid w:val="00B62107"/>
    <w:rsid w:val="00B641E3"/>
    <w:rsid w:val="00B66E46"/>
    <w:rsid w:val="00B67712"/>
    <w:rsid w:val="00B77F68"/>
    <w:rsid w:val="00BB4194"/>
    <w:rsid w:val="00BC6841"/>
    <w:rsid w:val="00BE2849"/>
    <w:rsid w:val="00BF2157"/>
    <w:rsid w:val="00C11B69"/>
    <w:rsid w:val="00C15EE7"/>
    <w:rsid w:val="00C44AE0"/>
    <w:rsid w:val="00C45CAA"/>
    <w:rsid w:val="00C667EB"/>
    <w:rsid w:val="00C72745"/>
    <w:rsid w:val="00C76D09"/>
    <w:rsid w:val="00C80720"/>
    <w:rsid w:val="00C80BA2"/>
    <w:rsid w:val="00C85295"/>
    <w:rsid w:val="00C86722"/>
    <w:rsid w:val="00CA42D3"/>
    <w:rsid w:val="00CA7E1E"/>
    <w:rsid w:val="00CB1AEA"/>
    <w:rsid w:val="00CC1546"/>
    <w:rsid w:val="00CC4A99"/>
    <w:rsid w:val="00CE32C5"/>
    <w:rsid w:val="00CE650D"/>
    <w:rsid w:val="00CF0B0C"/>
    <w:rsid w:val="00CF351C"/>
    <w:rsid w:val="00CF482D"/>
    <w:rsid w:val="00D002DD"/>
    <w:rsid w:val="00D0466F"/>
    <w:rsid w:val="00D32F4B"/>
    <w:rsid w:val="00D44EC4"/>
    <w:rsid w:val="00D532EC"/>
    <w:rsid w:val="00D5403C"/>
    <w:rsid w:val="00D90330"/>
    <w:rsid w:val="00D90729"/>
    <w:rsid w:val="00DA6CFD"/>
    <w:rsid w:val="00DB4A3E"/>
    <w:rsid w:val="00DC0E9C"/>
    <w:rsid w:val="00DC1297"/>
    <w:rsid w:val="00DC35B4"/>
    <w:rsid w:val="00DC744B"/>
    <w:rsid w:val="00DE7148"/>
    <w:rsid w:val="00DF61C6"/>
    <w:rsid w:val="00E00795"/>
    <w:rsid w:val="00E00D4B"/>
    <w:rsid w:val="00E0687D"/>
    <w:rsid w:val="00E135CF"/>
    <w:rsid w:val="00E20514"/>
    <w:rsid w:val="00E20F23"/>
    <w:rsid w:val="00E23369"/>
    <w:rsid w:val="00E27896"/>
    <w:rsid w:val="00E409F7"/>
    <w:rsid w:val="00E43B38"/>
    <w:rsid w:val="00E56E60"/>
    <w:rsid w:val="00E64764"/>
    <w:rsid w:val="00E65EED"/>
    <w:rsid w:val="00E73EDF"/>
    <w:rsid w:val="00E841C8"/>
    <w:rsid w:val="00E848C8"/>
    <w:rsid w:val="00EA5707"/>
    <w:rsid w:val="00EA5920"/>
    <w:rsid w:val="00EB057F"/>
    <w:rsid w:val="00EB3BA2"/>
    <w:rsid w:val="00EB49C3"/>
    <w:rsid w:val="00EC2EF3"/>
    <w:rsid w:val="00EE5549"/>
    <w:rsid w:val="00EF53CD"/>
    <w:rsid w:val="00F13E84"/>
    <w:rsid w:val="00F15B9C"/>
    <w:rsid w:val="00F21211"/>
    <w:rsid w:val="00F2666F"/>
    <w:rsid w:val="00F3036C"/>
    <w:rsid w:val="00F3411C"/>
    <w:rsid w:val="00F34282"/>
    <w:rsid w:val="00F36BDF"/>
    <w:rsid w:val="00F42D59"/>
    <w:rsid w:val="00F43470"/>
    <w:rsid w:val="00F4439E"/>
    <w:rsid w:val="00F5073B"/>
    <w:rsid w:val="00F5548F"/>
    <w:rsid w:val="00F5551C"/>
    <w:rsid w:val="00F55674"/>
    <w:rsid w:val="00F6377B"/>
    <w:rsid w:val="00F81BDC"/>
    <w:rsid w:val="00F9112C"/>
    <w:rsid w:val="00FA2FC1"/>
    <w:rsid w:val="00FA57E4"/>
    <w:rsid w:val="00FA6AFA"/>
    <w:rsid w:val="00FA6F3D"/>
    <w:rsid w:val="00FB1858"/>
    <w:rsid w:val="00FB2186"/>
    <w:rsid w:val="00FB2EF6"/>
    <w:rsid w:val="00FC2301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2ABC"/>
  <w15:chartTrackingRefBased/>
  <w15:docId w15:val="{F0DF54F3-0271-42C9-BAF0-471C41C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116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07"/>
  </w:style>
  <w:style w:type="paragraph" w:styleId="Footer">
    <w:name w:val="footer"/>
    <w:basedOn w:val="Normal"/>
    <w:link w:val="FooterChar"/>
    <w:uiPriority w:val="99"/>
    <w:unhideWhenUsed/>
    <w:rsid w:val="00EA5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07"/>
  </w:style>
  <w:style w:type="character" w:customStyle="1" w:styleId="mainactivitymainactivityname">
    <w:name w:val="main_activity_main_activity_name"/>
    <w:rsid w:val="00C15EE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DB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link w:val="DefaultTextChar"/>
    <w:rsid w:val="00852CDB"/>
    <w:pPr>
      <w:tabs>
        <w:tab w:val="left" w:pos="-70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DefaultTextChar">
    <w:name w:val="Default Text Char"/>
    <w:link w:val="DefaultText"/>
    <w:locked/>
    <w:rsid w:val="00852CD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locked/>
    <w:rsid w:val="00B62107"/>
  </w:style>
  <w:style w:type="paragraph" w:styleId="NormalWeb">
    <w:name w:val="Normal (Web)"/>
    <w:basedOn w:val="Normal"/>
    <w:uiPriority w:val="99"/>
    <w:semiHidden/>
    <w:unhideWhenUsed/>
    <w:rsid w:val="003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FF6ECA69CB44DAAE7F8FB121EBD86" ma:contentTypeVersion="8" ma:contentTypeDescription="Create a new document." ma:contentTypeScope="" ma:versionID="df1d6c6d285cd96b3336cc94b7ef54e2">
  <xsd:schema xmlns:xsd="http://www.w3.org/2001/XMLSchema" xmlns:xs="http://www.w3.org/2001/XMLSchema" xmlns:p="http://schemas.microsoft.com/office/2006/metadata/properties" xmlns:ns3="6e49b178-b109-40ec-ba3a-08c7a1a9acc4" targetNamespace="http://schemas.microsoft.com/office/2006/metadata/properties" ma:root="true" ma:fieldsID="e796d9bcf9fe1d40124af98917b6be32" ns3:_="">
    <xsd:import namespace="6e49b178-b109-40ec-ba3a-08c7a1a9a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b178-b109-40ec-ba3a-08c7a1a9a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C86FD-E765-4965-AF7D-869C0767B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C62FC-E179-48D0-BB07-E4A6FC0C3C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49b178-b109-40ec-ba3a-08c7a1a9ac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6E554-1802-42E6-AAFD-4A78D3BD1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9b178-b109-40ec-ba3a-08c7a1a9a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S. Kapesha</dc:creator>
  <cp:keywords/>
  <dc:description/>
  <cp:lastModifiedBy>Munshya Zoya M. Masocha</cp:lastModifiedBy>
  <cp:revision>4</cp:revision>
  <cp:lastPrinted>2019-10-05T16:28:00Z</cp:lastPrinted>
  <dcterms:created xsi:type="dcterms:W3CDTF">2019-10-21T16:28:00Z</dcterms:created>
  <dcterms:modified xsi:type="dcterms:W3CDTF">2019-10-21T16:29:00Z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0x010100FE8FF6ECA69CB44DAAE7F8FB121EBD86</vt:lpwstr>
  </property>
</Properties>
</file>