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4A6" w:rsidRDefault="001F74A6" w:rsidP="007018BC">
      <w:pPr>
        <w:pStyle w:val="NumberedHeading2"/>
        <w:spacing w:after="120" w:line="240" w:lineRule="auto"/>
        <w:jc w:val="both"/>
      </w:pPr>
      <w:bookmarkStart w:id="0" w:name="_GoBack"/>
      <w:r>
        <w:t>Project: Assistance to draft the COMESA Framework for sustaining and enhancing COMESA’s compliance with 7 pillar standards</w:t>
      </w:r>
      <w:r w:rsidR="007018BC">
        <w:t>, specifically focusing on assurance requirements</w:t>
      </w:r>
    </w:p>
    <w:p w:rsidR="001F74A6" w:rsidRPr="00567D22" w:rsidRDefault="001F74A6" w:rsidP="001F74A6">
      <w:pPr>
        <w:pStyle w:val="NumberedHeading2"/>
      </w:pPr>
      <w:r>
        <w:t>Introduction</w:t>
      </w:r>
    </w:p>
    <w:p w:rsidR="007018BC" w:rsidRDefault="001F74A6" w:rsidP="007018BC">
      <w:pPr>
        <w:tabs>
          <w:tab w:val="left" w:pos="720"/>
        </w:tabs>
        <w:jc w:val="both"/>
        <w:rPr>
          <w:szCs w:val="20"/>
          <w:lang w:val="en-GB"/>
        </w:rPr>
      </w:pPr>
      <w:r w:rsidRPr="001F74A6">
        <w:rPr>
          <w:szCs w:val="20"/>
          <w:lang w:val="en-GB"/>
        </w:rPr>
        <w:t xml:space="preserve">Following the report of the Select Committee and the Council’s meeting on 5 April 2019, the Council decided that a </w:t>
      </w:r>
      <w:r>
        <w:rPr>
          <w:szCs w:val="20"/>
          <w:lang w:val="en-GB"/>
        </w:rPr>
        <w:t>“</w:t>
      </w:r>
      <w:r w:rsidRPr="001F74A6">
        <w:rPr>
          <w:szCs w:val="20"/>
          <w:lang w:val="en-GB"/>
        </w:rPr>
        <w:t xml:space="preserve">Framework for oversight and governance over external audits that will assist in the organization </w:t>
      </w:r>
      <w:r w:rsidR="007018BC">
        <w:rPr>
          <w:szCs w:val="20"/>
          <w:lang w:val="en-GB"/>
        </w:rPr>
        <w:t>and help to preserve that standards in respect of external assurance processes are met by all relevant stakeholders.</w:t>
      </w:r>
      <w:r>
        <w:rPr>
          <w:szCs w:val="20"/>
          <w:lang w:val="en-GB"/>
        </w:rPr>
        <w:t>”</w:t>
      </w:r>
      <w:r w:rsidR="007018BC">
        <w:rPr>
          <w:szCs w:val="20"/>
          <w:lang w:val="en-GB"/>
        </w:rPr>
        <w:t xml:space="preserve"> </w:t>
      </w:r>
    </w:p>
    <w:p w:rsidR="007018BC" w:rsidRDefault="007018BC" w:rsidP="007018BC">
      <w:pPr>
        <w:tabs>
          <w:tab w:val="left" w:pos="720"/>
        </w:tabs>
        <w:jc w:val="both"/>
        <w:rPr>
          <w:szCs w:val="20"/>
          <w:lang w:val="en-GB"/>
        </w:rPr>
      </w:pPr>
    </w:p>
    <w:p w:rsidR="001F74A6" w:rsidRPr="001F74A6" w:rsidRDefault="001F74A6" w:rsidP="007018BC">
      <w:pPr>
        <w:tabs>
          <w:tab w:val="left" w:pos="720"/>
        </w:tabs>
        <w:jc w:val="both"/>
        <w:rPr>
          <w:szCs w:val="20"/>
          <w:lang w:val="en-GB"/>
        </w:rPr>
      </w:pPr>
      <w:r>
        <w:rPr>
          <w:szCs w:val="20"/>
          <w:lang w:val="en-GB"/>
        </w:rPr>
        <w:t>In this context, EY has been selected to assist COMESA Secretariat to develop such framework.</w:t>
      </w:r>
    </w:p>
    <w:p w:rsidR="001F74A6" w:rsidRPr="00567D22" w:rsidRDefault="001F74A6" w:rsidP="007018BC">
      <w:pPr>
        <w:pStyle w:val="NumberedHeading2"/>
        <w:jc w:val="both"/>
      </w:pPr>
      <w:r w:rsidRPr="00567D22">
        <w:t xml:space="preserve">Objective </w:t>
      </w:r>
    </w:p>
    <w:p w:rsidR="001F74A6" w:rsidRPr="00C13B33" w:rsidRDefault="001F74A6" w:rsidP="007018BC">
      <w:pPr>
        <w:pStyle w:val="ListParagraph"/>
        <w:ind w:left="0"/>
        <w:jc w:val="both"/>
        <w:rPr>
          <w:sz w:val="20"/>
          <w:szCs w:val="20"/>
          <w:lang w:val="en-GB"/>
        </w:rPr>
      </w:pPr>
      <w:r w:rsidRPr="00C13B33">
        <w:rPr>
          <w:sz w:val="20"/>
          <w:szCs w:val="20"/>
          <w:lang w:val="en-GB"/>
        </w:rPr>
        <w:t>The Framework will guide on the following:</w:t>
      </w:r>
    </w:p>
    <w:p w:rsidR="001F74A6" w:rsidRDefault="001F74A6" w:rsidP="007018BC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sz w:val="20"/>
          <w:szCs w:val="20"/>
          <w:lang w:val="en-GB"/>
        </w:rPr>
      </w:pPr>
      <w:r w:rsidRPr="00C13B33">
        <w:rPr>
          <w:sz w:val="20"/>
          <w:szCs w:val="20"/>
          <w:lang w:val="en-GB"/>
        </w:rPr>
        <w:t xml:space="preserve">The relationship between </w:t>
      </w:r>
      <w:r w:rsidR="007018BC">
        <w:rPr>
          <w:sz w:val="20"/>
          <w:szCs w:val="20"/>
          <w:lang w:val="en-GB"/>
        </w:rPr>
        <w:t xml:space="preserve">the </w:t>
      </w:r>
      <w:r w:rsidRPr="00C13B33">
        <w:rPr>
          <w:sz w:val="20"/>
          <w:szCs w:val="20"/>
          <w:lang w:val="en-GB"/>
        </w:rPr>
        <w:t xml:space="preserve">auditee and </w:t>
      </w:r>
      <w:r w:rsidR="007018BC">
        <w:rPr>
          <w:sz w:val="20"/>
          <w:szCs w:val="20"/>
          <w:lang w:val="en-GB"/>
        </w:rPr>
        <w:t xml:space="preserve">all </w:t>
      </w:r>
      <w:r w:rsidRPr="00C13B33">
        <w:rPr>
          <w:sz w:val="20"/>
          <w:szCs w:val="20"/>
          <w:lang w:val="en-GB"/>
        </w:rPr>
        <w:t>the auditor</w:t>
      </w:r>
      <w:r w:rsidR="007018BC">
        <w:rPr>
          <w:sz w:val="20"/>
          <w:szCs w:val="20"/>
          <w:lang w:val="en-GB"/>
        </w:rPr>
        <w:t>s, specifically the following: -</w:t>
      </w:r>
    </w:p>
    <w:p w:rsidR="007018BC" w:rsidRDefault="007018BC" w:rsidP="007018BC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Auditors engaged by the Council under Article 169 (2); and</w:t>
      </w:r>
    </w:p>
    <w:p w:rsidR="007018BC" w:rsidRPr="00C13B33" w:rsidRDefault="007018BC" w:rsidP="007018BC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Auditors engaged by Cooperating Partners under individual grant contracts.</w:t>
      </w:r>
    </w:p>
    <w:p w:rsidR="001F74A6" w:rsidRDefault="001F74A6" w:rsidP="007018BC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sz w:val="20"/>
          <w:szCs w:val="20"/>
          <w:lang w:val="en-GB"/>
        </w:rPr>
      </w:pPr>
      <w:r w:rsidRPr="00C13B33">
        <w:rPr>
          <w:sz w:val="20"/>
          <w:szCs w:val="20"/>
          <w:lang w:val="en-GB"/>
        </w:rPr>
        <w:t>The to be played by the Sub Committee on Audit and Budgetary Matters</w:t>
      </w:r>
      <w:r w:rsidR="007018BC">
        <w:rPr>
          <w:sz w:val="20"/>
          <w:szCs w:val="20"/>
          <w:lang w:val="en-GB"/>
        </w:rPr>
        <w:t>, specifically as required by: -</w:t>
      </w:r>
    </w:p>
    <w:p w:rsidR="007018BC" w:rsidRDefault="007018BC" w:rsidP="007018BC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Article 169 (4) of the COMESA Treaty; </w:t>
      </w:r>
    </w:p>
    <w:p w:rsidR="007018BC" w:rsidRDefault="007018BC" w:rsidP="007018BC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Best practice and international standards in the framework of advising and enabling “those charged with governance, be it at policy and or technical levels” to effectively fulfil their mandate; and</w:t>
      </w:r>
    </w:p>
    <w:p w:rsidR="007018BC" w:rsidRDefault="007018BC" w:rsidP="007018BC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Adequacy of both financial reporting and external auditing processes.</w:t>
      </w:r>
    </w:p>
    <w:p w:rsidR="001F74A6" w:rsidRPr="00C13B33" w:rsidRDefault="007018BC" w:rsidP="007018BC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Interaction of the Sub Committee on Audit and Budgetary matters, with external auditors to ensure compliance with requirements of IESBA, as well </w:t>
      </w:r>
      <w:r w:rsidR="001F74A6" w:rsidRPr="00C13B33">
        <w:rPr>
          <w:sz w:val="20"/>
          <w:szCs w:val="20"/>
          <w:lang w:val="en-GB"/>
        </w:rPr>
        <w:t>as</w:t>
      </w:r>
      <w:r>
        <w:rPr>
          <w:sz w:val="20"/>
          <w:szCs w:val="20"/>
          <w:lang w:val="en-GB"/>
        </w:rPr>
        <w:t xml:space="preserve">, provision </w:t>
      </w:r>
      <w:r w:rsidR="001F74A6" w:rsidRPr="00C13B33">
        <w:rPr>
          <w:sz w:val="20"/>
          <w:szCs w:val="20"/>
          <w:lang w:val="en-GB"/>
        </w:rPr>
        <w:t>laid down in the COMESA Treaty.</w:t>
      </w:r>
    </w:p>
    <w:p w:rsidR="001F74A6" w:rsidRPr="001F74A6" w:rsidRDefault="001F74A6" w:rsidP="007018BC">
      <w:pPr>
        <w:pStyle w:val="NumberedHeading2"/>
        <w:jc w:val="both"/>
      </w:pPr>
      <w:r w:rsidRPr="001F74A6">
        <w:t xml:space="preserve">Approach </w:t>
      </w:r>
    </w:p>
    <w:p w:rsidR="001F74A6" w:rsidRPr="002107E7" w:rsidRDefault="001F74A6" w:rsidP="007018BC">
      <w:pPr>
        <w:spacing w:before="240" w:after="240" w:line="260" w:lineRule="atLeast"/>
        <w:jc w:val="both"/>
      </w:pPr>
      <w:r>
        <w:t>A</w:t>
      </w:r>
      <w:r w:rsidRPr="002107E7">
        <w:t xml:space="preserve"> 3 phases approach </w:t>
      </w:r>
      <w:r>
        <w:t>will be adopted as follows</w:t>
      </w:r>
      <w:r w:rsidRPr="002107E7">
        <w:t>:</w:t>
      </w:r>
    </w:p>
    <w:p w:rsidR="001F74A6" w:rsidRDefault="001F74A6" w:rsidP="007018BC">
      <w:pPr>
        <w:spacing w:before="240" w:after="240" w:line="260" w:lineRule="atLeast"/>
        <w:jc w:val="both"/>
        <w:rPr>
          <w:i/>
        </w:rPr>
      </w:pPr>
      <w:r w:rsidRPr="002A4B07">
        <w:rPr>
          <w:noProof/>
        </w:rPr>
        <w:drawing>
          <wp:inline distT="0" distB="0" distL="0" distR="0" wp14:anchorId="2B551750" wp14:editId="7A6C2982">
            <wp:extent cx="5723255" cy="26752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4A6" w:rsidRPr="002A4B07" w:rsidRDefault="001F74A6" w:rsidP="007018BC">
      <w:pPr>
        <w:spacing w:after="160" w:line="259" w:lineRule="auto"/>
        <w:jc w:val="both"/>
        <w:rPr>
          <w:i/>
        </w:rPr>
      </w:pPr>
      <w:r w:rsidRPr="001F74A6">
        <w:t xml:space="preserve">During our work, we will </w:t>
      </w:r>
      <w:r w:rsidR="00B054E9">
        <w:t>review the existing documents which we have received.  We will</w:t>
      </w:r>
      <w:r w:rsidRPr="001F74A6">
        <w:t xml:space="preserve"> consider </w:t>
      </w:r>
      <w:r>
        <w:t xml:space="preserve">international standards </w:t>
      </w:r>
      <w:r w:rsidR="00B054E9">
        <w:t>such as: (1) I</w:t>
      </w:r>
      <w:r w:rsidRPr="002107E7">
        <w:rPr>
          <w:szCs w:val="20"/>
        </w:rPr>
        <w:t>nternational Ethics Standards Board for Accountants (IESBA)</w:t>
      </w:r>
      <w:r w:rsidR="00B054E9">
        <w:rPr>
          <w:szCs w:val="20"/>
        </w:rPr>
        <w:t xml:space="preserve">, (2) </w:t>
      </w:r>
      <w:r w:rsidRPr="002107E7">
        <w:rPr>
          <w:szCs w:val="20"/>
        </w:rPr>
        <w:t>International Accounting Standards Board (IASB)</w:t>
      </w:r>
      <w:r w:rsidR="00B054E9">
        <w:rPr>
          <w:szCs w:val="20"/>
        </w:rPr>
        <w:t xml:space="preserve"> and (3) </w:t>
      </w:r>
      <w:r w:rsidRPr="002107E7">
        <w:rPr>
          <w:szCs w:val="20"/>
        </w:rPr>
        <w:t>International Standards on Auditing (ISA) and International Standard for Supreme Audit Institutions (ISSAI)</w:t>
      </w:r>
      <w:r w:rsidR="00B054E9">
        <w:rPr>
          <w:szCs w:val="20"/>
        </w:rPr>
        <w:t>.</w:t>
      </w:r>
    </w:p>
    <w:p w:rsidR="001F74A6" w:rsidRPr="002A4B07" w:rsidRDefault="001F74A6" w:rsidP="00B054E9">
      <w:pPr>
        <w:pStyle w:val="NumberedHeading2"/>
      </w:pPr>
      <w:bookmarkStart w:id="1" w:name="_Toc18944786"/>
      <w:r w:rsidRPr="002A4B07">
        <w:t>Deliverables and Supervision</w:t>
      </w:r>
      <w:bookmarkEnd w:id="1"/>
    </w:p>
    <w:p w:rsidR="001F74A6" w:rsidRPr="00F163AC" w:rsidRDefault="001F74A6" w:rsidP="001F74A6">
      <w:pPr>
        <w:pStyle w:val="Bodycopy"/>
        <w:spacing w:after="120" w:line="240" w:lineRule="auto"/>
        <w:rPr>
          <w:color w:val="404040"/>
          <w:szCs w:val="20"/>
        </w:rPr>
      </w:pPr>
      <w:r w:rsidRPr="00F163AC">
        <w:rPr>
          <w:szCs w:val="20"/>
          <w:lang w:val="en-GB"/>
        </w:rPr>
        <w:t xml:space="preserve">EY will submit a draft </w:t>
      </w:r>
      <w:r w:rsidRPr="00F163AC">
        <w:rPr>
          <w:color w:val="404040"/>
          <w:szCs w:val="20"/>
        </w:rPr>
        <w:t xml:space="preserve">COMESA Oversight and Governance Framework </w:t>
      </w:r>
      <w:r w:rsidR="00B054E9">
        <w:rPr>
          <w:color w:val="404040"/>
          <w:szCs w:val="20"/>
        </w:rPr>
        <w:t xml:space="preserve">by the end of October 2019. </w:t>
      </w:r>
      <w:bookmarkEnd w:id="0"/>
    </w:p>
    <w:sectPr w:rsidR="001F74A6" w:rsidRPr="00F163AC" w:rsidSect="007018BC">
      <w:pgSz w:w="11906" w:h="16838"/>
      <w:pgMar w:top="630" w:right="1440" w:bottom="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ECA" w:rsidRDefault="00CC0ECA" w:rsidP="001F74A6">
      <w:r>
        <w:separator/>
      </w:r>
    </w:p>
  </w:endnote>
  <w:endnote w:type="continuationSeparator" w:id="0">
    <w:p w:rsidR="00CC0ECA" w:rsidRDefault="00CC0ECA" w:rsidP="001F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YInterstate Light Bold">
    <w:altName w:val="Cambria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ECA" w:rsidRDefault="00CC0ECA" w:rsidP="001F74A6">
      <w:r>
        <w:separator/>
      </w:r>
    </w:p>
  </w:footnote>
  <w:footnote w:type="continuationSeparator" w:id="0">
    <w:p w:rsidR="00CC0ECA" w:rsidRDefault="00CC0ECA" w:rsidP="001F7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40B72"/>
    <w:multiLevelType w:val="hybridMultilevel"/>
    <w:tmpl w:val="6B760E34"/>
    <w:lvl w:ilvl="0" w:tplc="34146AE8">
      <w:start w:val="1"/>
      <w:numFmt w:val="bullet"/>
      <w:lvlText w:val="►"/>
      <w:lvlJc w:val="left"/>
      <w:pPr>
        <w:ind w:left="360" w:hanging="360"/>
      </w:pPr>
      <w:rPr>
        <w:rFonts w:ascii="Arial" w:hAnsi="Arial" w:cs="Times New Roman" w:hint="default"/>
        <w:b/>
        <w:color w:val="FFD200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713813"/>
    <w:multiLevelType w:val="hybridMultilevel"/>
    <w:tmpl w:val="AF2EF0FA"/>
    <w:lvl w:ilvl="0" w:tplc="7A6AAE7E">
      <w:numFmt w:val="bullet"/>
      <w:lvlText w:val="-"/>
      <w:lvlJc w:val="left"/>
      <w:pPr>
        <w:ind w:left="720" w:hanging="360"/>
      </w:pPr>
      <w:rPr>
        <w:rFonts w:ascii="EYInterstate Light" w:eastAsia="Times New Roman" w:hAnsi="EYInterstate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C21AD"/>
    <w:multiLevelType w:val="hybridMultilevel"/>
    <w:tmpl w:val="60A4D036"/>
    <w:lvl w:ilvl="0" w:tplc="4E4652D0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92E05"/>
    <w:multiLevelType w:val="hybridMultilevel"/>
    <w:tmpl w:val="72443DDA"/>
    <w:lvl w:ilvl="0" w:tplc="5C7EA5CA">
      <w:start w:val="1"/>
      <w:numFmt w:val="bullet"/>
      <w:lvlText w:val="►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FFD4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F6434"/>
    <w:multiLevelType w:val="hybridMultilevel"/>
    <w:tmpl w:val="58CA93A8"/>
    <w:lvl w:ilvl="0" w:tplc="0AC0ABB0">
      <w:start w:val="1"/>
      <w:numFmt w:val="bullet"/>
      <w:pStyle w:val="Bulletcopywithparaspace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A6"/>
    <w:rsid w:val="00145203"/>
    <w:rsid w:val="001F74A6"/>
    <w:rsid w:val="005D2171"/>
    <w:rsid w:val="007018BC"/>
    <w:rsid w:val="00920E48"/>
    <w:rsid w:val="00944422"/>
    <w:rsid w:val="00B054E9"/>
    <w:rsid w:val="00C00119"/>
    <w:rsid w:val="00CC0ECA"/>
    <w:rsid w:val="00CD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2CCA0-29BB-49D9-BA16-72ACAAA6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4A6"/>
    <w:pPr>
      <w:spacing w:after="0" w:line="240" w:lineRule="auto"/>
    </w:pPr>
    <w:rPr>
      <w:rFonts w:ascii="EYInterstate Light" w:eastAsia="Times New Roman" w:hAnsi="EYInterstate Light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4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4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copywithparaspace">
    <w:name w:val="Bullet copy with para space"/>
    <w:basedOn w:val="Normal"/>
    <w:uiPriority w:val="99"/>
    <w:rsid w:val="001F74A6"/>
    <w:pPr>
      <w:numPr>
        <w:numId w:val="1"/>
      </w:numPr>
      <w:tabs>
        <w:tab w:val="clear" w:pos="1440"/>
        <w:tab w:val="num" w:pos="360"/>
      </w:tabs>
      <w:spacing w:after="240" w:line="240" w:lineRule="exact"/>
      <w:ind w:left="360"/>
    </w:pPr>
    <w:rPr>
      <w:szCs w:val="18"/>
      <w:lang w:val="en-GB"/>
    </w:rPr>
  </w:style>
  <w:style w:type="paragraph" w:customStyle="1" w:styleId="Bodycopy">
    <w:name w:val="Body copy"/>
    <w:uiPriority w:val="99"/>
    <w:rsid w:val="001F74A6"/>
    <w:pPr>
      <w:spacing w:after="240" w:line="260" w:lineRule="exact"/>
    </w:pPr>
    <w:rPr>
      <w:rFonts w:ascii="EYInterstate Light" w:eastAsia="Times New Roman" w:hAnsi="EYInterstate Light" w:cs="Times New Roman"/>
      <w:color w:val="000000"/>
      <w:sz w:val="20"/>
      <w:szCs w:val="18"/>
      <w:lang w:val="en-US"/>
    </w:rPr>
  </w:style>
  <w:style w:type="paragraph" w:customStyle="1" w:styleId="NumberedHeading2">
    <w:name w:val="Numbered Heading 2"/>
    <w:basedOn w:val="Heading2"/>
    <w:uiPriority w:val="99"/>
    <w:rsid w:val="001F74A6"/>
    <w:pPr>
      <w:keepNext w:val="0"/>
      <w:keepLines w:val="0"/>
      <w:spacing w:before="0" w:after="240" w:line="470" w:lineRule="exact"/>
    </w:pPr>
    <w:rPr>
      <w:rFonts w:ascii="EYInterstate Light Bold" w:eastAsia="Times New Roman" w:hAnsi="EYInterstate Light Bold" w:cs="Arial"/>
      <w:b/>
      <w:bCs/>
      <w:color w:val="auto"/>
      <w:spacing w:val="-6"/>
      <w:kern w:val="32"/>
      <w:sz w:val="28"/>
      <w:szCs w:val="48"/>
      <w:lang w:val="en-GB"/>
    </w:rPr>
  </w:style>
  <w:style w:type="paragraph" w:customStyle="1" w:styleId="NumberedHeading3">
    <w:name w:val="Numbered Heading 3"/>
    <w:basedOn w:val="Heading3"/>
    <w:uiPriority w:val="99"/>
    <w:rsid w:val="001F74A6"/>
    <w:pPr>
      <w:keepLines w:val="0"/>
      <w:spacing w:before="240" w:after="120"/>
    </w:pPr>
    <w:rPr>
      <w:rFonts w:ascii="EYInterstate Light" w:eastAsia="Times New Roman" w:hAnsi="EYInterstate Light" w:cs="Arial"/>
      <w:b/>
      <w:bCs/>
      <w:color w:val="808080"/>
      <w:szCs w:val="26"/>
    </w:rPr>
  </w:style>
  <w:style w:type="paragraph" w:styleId="BodyText">
    <w:name w:val="Body Text"/>
    <w:basedOn w:val="Normal"/>
    <w:link w:val="BodyTextChar"/>
    <w:rsid w:val="001F74A6"/>
    <w:pPr>
      <w:spacing w:after="240" w:line="240" w:lineRule="exac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F74A6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ListParagraph">
    <w:name w:val="List Paragraph"/>
    <w:aliases w:val="Paragraph,Paragraphe de liste PBLH,Normal bullet 2,Bullet list,Figure_name,Equipment,Numbered Indented Text,List Paragraph1,lp1,List Paragraph11,List Paragraph Char Char Char,List Paragraph Char Char,Citation List,Yellow Bullet,YC Bulet"/>
    <w:basedOn w:val="Normal"/>
    <w:link w:val="ListParagraphChar"/>
    <w:uiPriority w:val="34"/>
    <w:qFormat/>
    <w:rsid w:val="001F74A6"/>
    <w:pPr>
      <w:spacing w:after="120" w:line="240" w:lineRule="exact"/>
      <w:ind w:left="708"/>
    </w:pPr>
    <w:rPr>
      <w:sz w:val="18"/>
      <w:lang w:val="fr-FR"/>
    </w:rPr>
  </w:style>
  <w:style w:type="paragraph" w:customStyle="1" w:styleId="Bodyoftext">
    <w:name w:val="Body of text"/>
    <w:basedOn w:val="Normal"/>
    <w:qFormat/>
    <w:rsid w:val="001F74A6"/>
    <w:pPr>
      <w:spacing w:before="120" w:after="120" w:line="276" w:lineRule="auto"/>
    </w:pPr>
    <w:rPr>
      <w:szCs w:val="20"/>
      <w:lang w:val="en-GB"/>
    </w:rPr>
  </w:style>
  <w:style w:type="paragraph" w:customStyle="1" w:styleId="Style5">
    <w:name w:val="Style5"/>
    <w:basedOn w:val="Normal"/>
    <w:link w:val="Style5Char"/>
    <w:qFormat/>
    <w:rsid w:val="001F74A6"/>
    <w:pPr>
      <w:overflowPunct w:val="0"/>
      <w:autoSpaceDE w:val="0"/>
      <w:autoSpaceDN w:val="0"/>
      <w:adjustRightInd w:val="0"/>
      <w:spacing w:before="80" w:after="120" w:line="260" w:lineRule="atLeast"/>
      <w:textAlignment w:val="baseline"/>
    </w:pPr>
    <w:rPr>
      <w:szCs w:val="18"/>
      <w:lang w:val="en-GB" w:eastAsia="nl-BE"/>
    </w:rPr>
  </w:style>
  <w:style w:type="character" w:customStyle="1" w:styleId="Style5Char">
    <w:name w:val="Style5 Char"/>
    <w:basedOn w:val="DefaultParagraphFont"/>
    <w:link w:val="Style5"/>
    <w:rsid w:val="001F74A6"/>
    <w:rPr>
      <w:rFonts w:ascii="EYInterstate Light" w:eastAsia="Times New Roman" w:hAnsi="EYInterstate Light" w:cs="Times New Roman"/>
      <w:sz w:val="20"/>
      <w:szCs w:val="18"/>
      <w:lang w:eastAsia="nl-BE"/>
    </w:rPr>
  </w:style>
  <w:style w:type="paragraph" w:customStyle="1" w:styleId="Default">
    <w:name w:val="Default"/>
    <w:rsid w:val="001F7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1F74A6"/>
    <w:pPr>
      <w:spacing w:after="240"/>
      <w:ind w:left="357" w:hanging="357"/>
      <w:jc w:val="both"/>
    </w:pPr>
    <w:rPr>
      <w:rFonts w:ascii="Times New Roman" w:hAnsi="Times New Roman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4A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semiHidden/>
    <w:rsid w:val="001F74A6"/>
    <w:rPr>
      <w:rFonts w:ascii="TimesNewRomanPS" w:hAnsi="TimesNewRomanPS"/>
      <w:position w:val="6"/>
      <w:sz w:val="16"/>
    </w:rPr>
  </w:style>
  <w:style w:type="character" w:customStyle="1" w:styleId="ListParagraphChar">
    <w:name w:val="List Paragraph Char"/>
    <w:aliases w:val="Paragraph Char,Paragraphe de liste PBLH Char,Normal bullet 2 Char,Bullet list Char,Figure_name Char,Equipment Char,Numbered Indented Text Char,List Paragraph1 Char,lp1 Char,List Paragraph11 Char,List Paragraph Char Char Char Char"/>
    <w:basedOn w:val="DefaultParagraphFont"/>
    <w:link w:val="ListParagraph"/>
    <w:uiPriority w:val="34"/>
    <w:qFormat/>
    <w:rsid w:val="001F74A6"/>
    <w:rPr>
      <w:rFonts w:ascii="EYInterstate Light" w:eastAsia="Times New Roman" w:hAnsi="EYInterstate Light" w:cs="Times New Roman"/>
      <w:sz w:val="18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74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4A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BC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8BC"/>
    <w:rPr>
      <w:rFonts w:ascii="EYInterstate Light" w:eastAsia="Times New Roman" w:hAnsi="EYInterstate Light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8BC"/>
    <w:rPr>
      <w:rFonts w:ascii="EYInterstate Light" w:eastAsia="Times New Roman" w:hAnsi="EYInterstate Light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Ah Wong</dc:creator>
  <cp:keywords/>
  <dc:description/>
  <cp:lastModifiedBy>Clement Kanyama</cp:lastModifiedBy>
  <cp:revision>2</cp:revision>
  <dcterms:created xsi:type="dcterms:W3CDTF">2019-10-14T02:59:00Z</dcterms:created>
  <dcterms:modified xsi:type="dcterms:W3CDTF">2019-10-14T02:59:00Z</dcterms:modified>
</cp:coreProperties>
</file>