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83745" w14:textId="77777777" w:rsidR="00274C9D" w:rsidRPr="00274C9D" w:rsidRDefault="00274C9D" w:rsidP="00274C9D">
      <w:pPr>
        <w:spacing w:after="120" w:line="276" w:lineRule="auto"/>
        <w:jc w:val="center"/>
        <w:rPr>
          <w:lang w:val="en-US"/>
        </w:rPr>
      </w:pPr>
      <w:r w:rsidRPr="00274C9D">
        <w:rPr>
          <w:noProof/>
          <w:lang w:val="en-US"/>
        </w:rPr>
        <w:drawing>
          <wp:inline distT="0" distB="0" distL="0" distR="0" wp14:anchorId="0449D50C" wp14:editId="1F7EED0D">
            <wp:extent cx="1858010" cy="1896256"/>
            <wp:effectExtent l="0" t="0" r="0" b="0"/>
            <wp:docPr id="1748953107"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53107" name="Picture 1" descr="A blue circle with white text&#10;&#10;Description automatically generated"/>
                    <pic:cNvPicPr/>
                  </pic:nvPicPr>
                  <pic:blipFill rotWithShape="1">
                    <a:blip r:embed="rId8"/>
                    <a:srcRect l="35716" t="21301" r="35246" b="23131"/>
                    <a:stretch/>
                  </pic:blipFill>
                  <pic:spPr bwMode="auto">
                    <a:xfrm>
                      <a:off x="0" y="0"/>
                      <a:ext cx="1858706" cy="1896966"/>
                    </a:xfrm>
                    <a:prstGeom prst="rect">
                      <a:avLst/>
                    </a:prstGeom>
                    <a:ln>
                      <a:noFill/>
                    </a:ln>
                    <a:extLst>
                      <a:ext uri="{53640926-AAD7-44D8-BBD7-CCE9431645EC}">
                        <a14:shadowObscured xmlns:a14="http://schemas.microsoft.com/office/drawing/2010/main"/>
                      </a:ext>
                    </a:extLst>
                  </pic:spPr>
                </pic:pic>
              </a:graphicData>
            </a:graphic>
          </wp:inline>
        </w:drawing>
      </w:r>
    </w:p>
    <w:p w14:paraId="2CDD03BF" w14:textId="77777777" w:rsidR="00274C9D" w:rsidRPr="00FE1B56" w:rsidRDefault="00274C9D" w:rsidP="00274C9D">
      <w:pPr>
        <w:spacing w:after="120" w:line="276" w:lineRule="auto"/>
        <w:jc w:val="both"/>
        <w:rPr>
          <w:rFonts w:ascii="Arial" w:hAnsi="Arial" w:cs="Arial"/>
          <w:b/>
          <w:color w:val="808080" w:themeColor="background1" w:themeShade="80"/>
          <w:sz w:val="40"/>
          <w:lang w:val="en-US"/>
        </w:rPr>
      </w:pPr>
    </w:p>
    <w:p w14:paraId="35E57A46" w14:textId="77777777" w:rsidR="00274C9D" w:rsidRPr="00FE1B56" w:rsidRDefault="00274C9D" w:rsidP="00274C9D">
      <w:pPr>
        <w:spacing w:after="120" w:line="276" w:lineRule="auto"/>
        <w:jc w:val="center"/>
        <w:rPr>
          <w:rFonts w:ascii="Arial" w:hAnsi="Arial" w:cs="Arial"/>
          <w:b/>
          <w:sz w:val="32"/>
          <w:szCs w:val="32"/>
          <w:lang w:val="en-US"/>
        </w:rPr>
      </w:pPr>
      <w:r w:rsidRPr="00FE1B56">
        <w:rPr>
          <w:rFonts w:ascii="Arial" w:hAnsi="Arial" w:cs="Arial"/>
          <w:b/>
          <w:sz w:val="32"/>
          <w:szCs w:val="32"/>
          <w:lang w:val="en-US"/>
        </w:rPr>
        <w:t xml:space="preserve">Common Market for Eastern and Southern Africa </w:t>
      </w:r>
    </w:p>
    <w:p w14:paraId="293C6A73" w14:textId="77777777" w:rsidR="00274C9D" w:rsidRPr="00FE1B56" w:rsidRDefault="00274C9D" w:rsidP="00274C9D">
      <w:pPr>
        <w:spacing w:after="120" w:line="276" w:lineRule="auto"/>
        <w:jc w:val="both"/>
        <w:rPr>
          <w:rFonts w:ascii="Arial" w:hAnsi="Arial" w:cs="Arial"/>
          <w:b/>
          <w:sz w:val="40"/>
          <w:szCs w:val="40"/>
          <w:lang w:val="en-US"/>
        </w:rPr>
      </w:pPr>
    </w:p>
    <w:p w14:paraId="0DCC9153" w14:textId="0A94DD62" w:rsidR="00274C9D" w:rsidRPr="00FE1B56" w:rsidRDefault="00274C9D" w:rsidP="00274C9D">
      <w:pPr>
        <w:spacing w:after="120" w:line="276" w:lineRule="auto"/>
        <w:jc w:val="center"/>
        <w:rPr>
          <w:rFonts w:ascii="Arial" w:hAnsi="Arial" w:cs="Arial"/>
          <w:b/>
          <w:sz w:val="32"/>
          <w:szCs w:val="32"/>
          <w:lang w:val="en-US"/>
        </w:rPr>
      </w:pPr>
      <w:r w:rsidRPr="00FE1B56">
        <w:rPr>
          <w:rFonts w:ascii="Arial" w:hAnsi="Arial" w:cs="Arial"/>
          <w:b/>
          <w:sz w:val="32"/>
          <w:szCs w:val="32"/>
          <w:lang w:val="en-US"/>
        </w:rPr>
        <w:t xml:space="preserve">Accelerating Sustainable &amp; Clean Energy Access Transformation </w:t>
      </w:r>
      <w:r w:rsidR="00BD63AC" w:rsidRPr="00FE1B56">
        <w:rPr>
          <w:rFonts w:ascii="Arial" w:hAnsi="Arial" w:cs="Arial"/>
          <w:b/>
          <w:sz w:val="32"/>
          <w:szCs w:val="32"/>
          <w:lang w:val="en-US"/>
        </w:rPr>
        <w:t>Project in</w:t>
      </w:r>
      <w:r w:rsidRPr="00FE1B56">
        <w:rPr>
          <w:rFonts w:ascii="Arial" w:hAnsi="Arial" w:cs="Arial"/>
          <w:b/>
          <w:sz w:val="32"/>
          <w:szCs w:val="32"/>
          <w:lang w:val="en-US"/>
        </w:rPr>
        <w:t xml:space="preserve"> AFE Region Multi-Phase Programmatic Approach </w:t>
      </w:r>
    </w:p>
    <w:p w14:paraId="7BEFE4EE" w14:textId="77777777" w:rsidR="00274C9D" w:rsidRPr="00FE1B56" w:rsidRDefault="00274C9D" w:rsidP="00274C9D">
      <w:pPr>
        <w:spacing w:after="120" w:line="276" w:lineRule="auto"/>
        <w:jc w:val="center"/>
        <w:rPr>
          <w:rFonts w:ascii="Arial" w:hAnsi="Arial" w:cs="Arial"/>
          <w:b/>
          <w:sz w:val="32"/>
          <w:szCs w:val="32"/>
          <w:lang w:val="en-US"/>
        </w:rPr>
      </w:pPr>
      <w:r w:rsidRPr="00FE1B56">
        <w:rPr>
          <w:rFonts w:ascii="Arial" w:hAnsi="Arial" w:cs="Arial"/>
          <w:b/>
          <w:sz w:val="32"/>
          <w:szCs w:val="32"/>
          <w:lang w:val="en-US"/>
        </w:rPr>
        <w:t>(P180547)</w:t>
      </w:r>
    </w:p>
    <w:p w14:paraId="3D2E7F1D" w14:textId="77777777" w:rsidR="00274C9D" w:rsidRPr="00FE1B56" w:rsidRDefault="00274C9D" w:rsidP="00274C9D">
      <w:pPr>
        <w:spacing w:after="120" w:line="276" w:lineRule="auto"/>
        <w:rPr>
          <w:rFonts w:ascii="Arial" w:hAnsi="Arial" w:cs="Arial"/>
          <w:b/>
          <w:sz w:val="40"/>
          <w:szCs w:val="40"/>
          <w:lang w:val="en-US"/>
        </w:rPr>
      </w:pPr>
    </w:p>
    <w:p w14:paraId="3BCF50BB" w14:textId="77777777" w:rsidR="00274C9D" w:rsidRPr="00FE1B56" w:rsidRDefault="00274C9D" w:rsidP="00274C9D">
      <w:pPr>
        <w:spacing w:after="120" w:line="276" w:lineRule="auto"/>
        <w:jc w:val="center"/>
        <w:rPr>
          <w:rFonts w:ascii="Arial" w:hAnsi="Arial" w:cs="Arial"/>
          <w:b/>
          <w:sz w:val="40"/>
          <w:szCs w:val="40"/>
          <w:lang w:val="en-US"/>
        </w:rPr>
      </w:pPr>
    </w:p>
    <w:p w14:paraId="13493D44" w14:textId="52678730" w:rsidR="007109D8" w:rsidRPr="00FE1B56" w:rsidRDefault="00BD63AC" w:rsidP="007109D8">
      <w:pPr>
        <w:spacing w:after="120" w:line="276" w:lineRule="auto"/>
        <w:jc w:val="center"/>
        <w:rPr>
          <w:rFonts w:ascii="Arial" w:hAnsi="Arial" w:cs="Arial"/>
          <w:b/>
          <w:bCs/>
          <w:sz w:val="32"/>
          <w:szCs w:val="32"/>
          <w:lang w:val="en-US"/>
        </w:rPr>
      </w:pPr>
      <w:r w:rsidRPr="00FE1B56">
        <w:rPr>
          <w:rFonts w:ascii="Arial" w:hAnsi="Arial" w:cs="Arial"/>
          <w:b/>
          <w:bCs/>
          <w:sz w:val="32"/>
          <w:szCs w:val="32"/>
          <w:lang w:val="en-US"/>
        </w:rPr>
        <w:t xml:space="preserve">Final </w:t>
      </w:r>
    </w:p>
    <w:p w14:paraId="3B38D007" w14:textId="79F85AF5" w:rsidR="00274C9D" w:rsidRPr="00FE1B56" w:rsidRDefault="00527960" w:rsidP="00274C9D">
      <w:pPr>
        <w:spacing w:after="120" w:line="276" w:lineRule="auto"/>
        <w:jc w:val="center"/>
        <w:rPr>
          <w:rFonts w:ascii="Arial" w:hAnsi="Arial" w:cs="Arial"/>
          <w:b/>
          <w:bCs/>
          <w:color w:val="4472C4" w:themeColor="accent1"/>
          <w:sz w:val="32"/>
          <w:szCs w:val="32"/>
          <w:lang w:val="en-US"/>
        </w:rPr>
      </w:pPr>
      <w:r w:rsidRPr="00FE1B56">
        <w:rPr>
          <w:rFonts w:ascii="Arial" w:hAnsi="Arial" w:cs="Arial"/>
          <w:b/>
          <w:color w:val="4472C4" w:themeColor="accent1"/>
          <w:sz w:val="32"/>
          <w:szCs w:val="32"/>
          <w:lang w:val="en-US"/>
        </w:rPr>
        <w:t xml:space="preserve">Grievance Redress </w:t>
      </w:r>
      <w:r w:rsidR="004469B8" w:rsidRPr="00FE1B56">
        <w:rPr>
          <w:rFonts w:ascii="Arial" w:hAnsi="Arial" w:cs="Arial"/>
          <w:b/>
          <w:color w:val="4472C4" w:themeColor="accent1"/>
          <w:sz w:val="32"/>
          <w:szCs w:val="32"/>
          <w:lang w:val="en-US"/>
        </w:rPr>
        <w:t>Mechanism for</w:t>
      </w:r>
      <w:r w:rsidR="00FF4CD3" w:rsidRPr="00FE1B56">
        <w:rPr>
          <w:rFonts w:ascii="Arial" w:hAnsi="Arial" w:cs="Arial"/>
          <w:b/>
          <w:color w:val="4472C4" w:themeColor="accent1"/>
          <w:sz w:val="32"/>
          <w:szCs w:val="32"/>
          <w:lang w:val="en-US"/>
        </w:rPr>
        <w:t xml:space="preserve"> </w:t>
      </w:r>
      <w:r w:rsidR="004469B8" w:rsidRPr="00FE1B56">
        <w:rPr>
          <w:rFonts w:ascii="Arial" w:hAnsi="Arial" w:cs="Arial"/>
          <w:b/>
          <w:color w:val="4472C4" w:themeColor="accent1"/>
          <w:sz w:val="32"/>
          <w:szCs w:val="32"/>
          <w:lang w:val="en-US"/>
        </w:rPr>
        <w:t>the Project</w:t>
      </w:r>
    </w:p>
    <w:p w14:paraId="20FE7933" w14:textId="77777777" w:rsidR="00274C9D" w:rsidRPr="00FE1B56" w:rsidRDefault="00274C9D" w:rsidP="00274C9D">
      <w:pPr>
        <w:spacing w:after="120" w:line="276" w:lineRule="auto"/>
        <w:rPr>
          <w:rFonts w:ascii="Arial" w:hAnsi="Arial" w:cs="Arial"/>
          <w:b/>
          <w:sz w:val="32"/>
          <w:szCs w:val="32"/>
          <w:lang w:val="en-US"/>
        </w:rPr>
      </w:pPr>
    </w:p>
    <w:p w14:paraId="5D7C4AAE" w14:textId="135735EF" w:rsidR="00274C9D" w:rsidRPr="00FE1B56" w:rsidRDefault="00FE1B56" w:rsidP="00274C9D">
      <w:pPr>
        <w:spacing w:after="120" w:line="276" w:lineRule="auto"/>
        <w:jc w:val="center"/>
        <w:rPr>
          <w:rFonts w:ascii="Arial" w:hAnsi="Arial" w:cs="Arial"/>
          <w:b/>
          <w:sz w:val="32"/>
          <w:szCs w:val="32"/>
          <w:lang w:val="en-US"/>
        </w:rPr>
      </w:pPr>
      <w:r w:rsidRPr="00FE1B56">
        <w:rPr>
          <w:rFonts w:ascii="Arial" w:hAnsi="Arial" w:cs="Arial"/>
          <w:b/>
          <w:sz w:val="32"/>
          <w:szCs w:val="32"/>
          <w:lang w:val="en-US"/>
        </w:rPr>
        <w:t xml:space="preserve">03 </w:t>
      </w:r>
      <w:r w:rsidR="001247AE" w:rsidRPr="00FE1B56">
        <w:rPr>
          <w:rFonts w:ascii="Arial" w:hAnsi="Arial" w:cs="Arial"/>
          <w:b/>
          <w:sz w:val="32"/>
          <w:szCs w:val="32"/>
          <w:lang w:val="en-US"/>
        </w:rPr>
        <w:t xml:space="preserve">April </w:t>
      </w:r>
      <w:r w:rsidR="00527960" w:rsidRPr="00FE1B56">
        <w:rPr>
          <w:rFonts w:ascii="Arial" w:hAnsi="Arial" w:cs="Arial"/>
          <w:b/>
          <w:sz w:val="32"/>
          <w:szCs w:val="32"/>
          <w:lang w:val="en-US"/>
        </w:rPr>
        <w:t>2024</w:t>
      </w:r>
    </w:p>
    <w:p w14:paraId="485BFF87" w14:textId="77777777" w:rsidR="00274C9D" w:rsidRDefault="00274C9D" w:rsidP="000B7E84">
      <w:pPr>
        <w:rPr>
          <w:rFonts w:ascii="Arial" w:hAnsi="Arial" w:cs="Arial"/>
          <w:b/>
          <w:bCs/>
        </w:rPr>
      </w:pPr>
    </w:p>
    <w:p w14:paraId="5C332490" w14:textId="77777777" w:rsidR="00274C9D" w:rsidRDefault="00274C9D" w:rsidP="000B7E84">
      <w:pPr>
        <w:rPr>
          <w:rFonts w:ascii="Arial" w:hAnsi="Arial" w:cs="Arial"/>
          <w:b/>
          <w:bCs/>
        </w:rPr>
      </w:pPr>
    </w:p>
    <w:p w14:paraId="196C6CC0" w14:textId="77777777" w:rsidR="00274C9D" w:rsidRDefault="00274C9D" w:rsidP="000B7E84">
      <w:pPr>
        <w:rPr>
          <w:rFonts w:ascii="Arial" w:hAnsi="Arial" w:cs="Arial"/>
          <w:b/>
          <w:bCs/>
        </w:rPr>
      </w:pPr>
    </w:p>
    <w:p w14:paraId="3846B4BE" w14:textId="77777777" w:rsidR="00274C9D" w:rsidRDefault="00274C9D" w:rsidP="000B7E84">
      <w:pPr>
        <w:rPr>
          <w:rFonts w:ascii="Arial" w:hAnsi="Arial" w:cs="Arial"/>
          <w:b/>
          <w:bCs/>
        </w:rPr>
      </w:pPr>
    </w:p>
    <w:p w14:paraId="47122CFF" w14:textId="77777777" w:rsidR="00274C9D" w:rsidRDefault="00274C9D" w:rsidP="000B7E84">
      <w:pPr>
        <w:rPr>
          <w:rFonts w:ascii="Arial" w:hAnsi="Arial" w:cs="Arial"/>
          <w:b/>
          <w:bCs/>
        </w:rPr>
      </w:pPr>
    </w:p>
    <w:p w14:paraId="07AB43FD" w14:textId="249AC2D6" w:rsidR="00FF4CD3" w:rsidRDefault="00195D22" w:rsidP="00C51FA4">
      <w:pPr>
        <w:rPr>
          <w:rFonts w:ascii="Arial" w:hAnsi="Arial" w:cs="Arial"/>
          <w:b/>
          <w:bCs/>
        </w:rPr>
      </w:pPr>
      <w:r>
        <w:rPr>
          <w:rFonts w:ascii="Arial" w:hAnsi="Arial" w:cs="Arial"/>
          <w:b/>
          <w:bCs/>
        </w:rPr>
        <w:br w:type="page"/>
      </w:r>
    </w:p>
    <w:p w14:paraId="074AE7D2" w14:textId="77777777" w:rsidR="00253FA3" w:rsidRDefault="00253FA3" w:rsidP="00C51FA4">
      <w:pPr>
        <w:rPr>
          <w:rFonts w:ascii="Arial" w:hAnsi="Arial" w:cs="Arial"/>
          <w:b/>
          <w:bCs/>
          <w:lang w:val="en-GB"/>
        </w:rPr>
        <w:sectPr w:rsidR="00253FA3">
          <w:footerReference w:type="default" r:id="rId9"/>
          <w:pgSz w:w="11906" w:h="16838"/>
          <w:pgMar w:top="1440" w:right="1440" w:bottom="1440" w:left="1440" w:header="708" w:footer="708" w:gutter="0"/>
          <w:cols w:space="708"/>
          <w:docGrid w:linePitch="360"/>
        </w:sectPr>
      </w:pPr>
    </w:p>
    <w:p w14:paraId="104C023F" w14:textId="7AC1D9F9" w:rsidR="00C51FA4" w:rsidRPr="00FE1B56" w:rsidRDefault="00C51FA4" w:rsidP="00C51FA4">
      <w:pPr>
        <w:rPr>
          <w:rFonts w:ascii="Arial" w:hAnsi="Arial" w:cs="Arial"/>
          <w:b/>
          <w:bCs/>
          <w:lang w:val="en-GB"/>
        </w:rPr>
      </w:pPr>
      <w:r w:rsidRPr="00C51FA4">
        <w:rPr>
          <w:rFonts w:ascii="Arial" w:hAnsi="Arial" w:cs="Arial"/>
          <w:b/>
          <w:bCs/>
          <w:lang w:val="en-GB"/>
        </w:rPr>
        <w:lastRenderedPageBreak/>
        <w:t>1.</w:t>
      </w:r>
      <w:r w:rsidRPr="00C51FA4">
        <w:rPr>
          <w:rFonts w:ascii="Arial" w:hAnsi="Arial" w:cs="Arial"/>
          <w:b/>
          <w:bCs/>
          <w:lang w:val="en-GB"/>
        </w:rPr>
        <w:tab/>
      </w:r>
      <w:r w:rsidRPr="00FE1B56">
        <w:rPr>
          <w:rFonts w:ascii="Arial" w:hAnsi="Arial" w:cs="Arial"/>
          <w:b/>
          <w:bCs/>
          <w:lang w:val="en-GB"/>
        </w:rPr>
        <w:t>Introduction</w:t>
      </w:r>
    </w:p>
    <w:p w14:paraId="26098067" w14:textId="4A499F2E" w:rsidR="00C51FA4" w:rsidRPr="00FE1B56" w:rsidRDefault="00C51FA4" w:rsidP="00BD63AC">
      <w:pPr>
        <w:jc w:val="both"/>
        <w:rPr>
          <w:rFonts w:ascii="Arial" w:hAnsi="Arial" w:cs="Arial"/>
          <w:lang w:val="en-GB"/>
        </w:rPr>
      </w:pPr>
      <w:r w:rsidRPr="00FE1B56">
        <w:rPr>
          <w:rFonts w:ascii="Arial" w:hAnsi="Arial" w:cs="Arial"/>
          <w:lang w:val="en-GB"/>
        </w:rPr>
        <w:t xml:space="preserve">The Common Market for Eastern and Southern Africa </w:t>
      </w:r>
      <w:r w:rsidR="0046340A" w:rsidRPr="00FE1B56">
        <w:rPr>
          <w:rFonts w:ascii="Arial" w:hAnsi="Arial" w:cs="Arial"/>
          <w:lang w:val="en-GB"/>
        </w:rPr>
        <w:t xml:space="preserve">(COMESA) </w:t>
      </w:r>
      <w:r w:rsidRPr="00FE1B56">
        <w:rPr>
          <w:rFonts w:ascii="Arial" w:hAnsi="Arial" w:cs="Arial"/>
          <w:lang w:val="en-GB"/>
        </w:rPr>
        <w:t xml:space="preserve">has partnered with the World Bank to support participating countries in the implementation of the Accelerating Sustainable and Clean Energy Transformation Multi Programmatic Approach (ASCENT MPA) Project to increase access to electricity services in Eastern and Southern Africa </w:t>
      </w:r>
      <w:r w:rsidR="0046340A" w:rsidRPr="00FE1B56">
        <w:rPr>
          <w:rFonts w:ascii="Arial" w:hAnsi="Arial" w:cs="Arial"/>
          <w:lang w:val="en-GB"/>
        </w:rPr>
        <w:t xml:space="preserve">(AFE) </w:t>
      </w:r>
      <w:r w:rsidRPr="00FE1B56">
        <w:rPr>
          <w:rFonts w:ascii="Arial" w:hAnsi="Arial" w:cs="Arial"/>
          <w:lang w:val="en-GB"/>
        </w:rPr>
        <w:t xml:space="preserve">Region. The ASCENT </w:t>
      </w:r>
      <w:r w:rsidR="00BD63AC" w:rsidRPr="00FE1B56">
        <w:rPr>
          <w:rFonts w:ascii="Arial" w:hAnsi="Arial" w:cs="Arial"/>
          <w:lang w:val="en-GB"/>
        </w:rPr>
        <w:t>MPA is</w:t>
      </w:r>
      <w:r w:rsidRPr="00FE1B56">
        <w:rPr>
          <w:rFonts w:ascii="Arial" w:hAnsi="Arial" w:cs="Arial"/>
          <w:lang w:val="en-GB"/>
        </w:rPr>
        <w:t xml:space="preserve"> set to be a transformational project, with $5billion set aside by the World Bank, and a further $10billion expected to be leveraged from other cooperating partners, resulting in 100 million people with new electricity connections over a 7-year period.</w:t>
      </w:r>
    </w:p>
    <w:p w14:paraId="058DD8A8" w14:textId="77777777" w:rsidR="00C51FA4" w:rsidRPr="00FE1B56" w:rsidRDefault="00C51FA4" w:rsidP="00BD63AC">
      <w:pPr>
        <w:jc w:val="both"/>
        <w:rPr>
          <w:rFonts w:ascii="Arial" w:hAnsi="Arial" w:cs="Arial"/>
          <w:lang w:val="en-GB"/>
        </w:rPr>
      </w:pPr>
      <w:r w:rsidRPr="00FE1B56">
        <w:rPr>
          <w:rFonts w:ascii="Arial" w:hAnsi="Arial" w:cs="Arial"/>
          <w:lang w:val="en-GB"/>
        </w:rPr>
        <w:t>COMESA is implementing the $50 million regional platform which consists of the following components:</w:t>
      </w:r>
    </w:p>
    <w:p w14:paraId="6889D4B5" w14:textId="71D8E8F0" w:rsidR="0046340A" w:rsidRPr="00FE1B56" w:rsidRDefault="00C51FA4" w:rsidP="00BD63AC">
      <w:pPr>
        <w:pStyle w:val="ListParagraph"/>
        <w:numPr>
          <w:ilvl w:val="0"/>
          <w:numId w:val="13"/>
        </w:numPr>
        <w:jc w:val="both"/>
        <w:rPr>
          <w:rFonts w:ascii="Arial" w:hAnsi="Arial" w:cs="Arial"/>
          <w:lang w:val="en-GB"/>
        </w:rPr>
      </w:pPr>
      <w:r w:rsidRPr="00FE1B56">
        <w:rPr>
          <w:rFonts w:ascii="Arial" w:hAnsi="Arial" w:cs="Arial"/>
          <w:b/>
          <w:bCs/>
          <w:lang w:val="en-GB"/>
        </w:rPr>
        <w:t>Component 1:</w:t>
      </w:r>
      <w:r w:rsidRPr="00FE1B56">
        <w:rPr>
          <w:rFonts w:ascii="Arial" w:hAnsi="Arial" w:cs="Arial"/>
          <w:lang w:val="en-GB"/>
        </w:rPr>
        <w:t xml:space="preserve"> </w:t>
      </w:r>
      <w:r w:rsidRPr="00FE1B56">
        <w:rPr>
          <w:rFonts w:ascii="Arial" w:hAnsi="Arial" w:cs="Arial"/>
          <w:b/>
          <w:bCs/>
          <w:lang w:val="en-GB"/>
        </w:rPr>
        <w:t>Digital Monitoring, Reporting and Verification (D-MRV) Platforms for Energy Access and Climate Finance</w:t>
      </w:r>
      <w:r w:rsidRPr="00FE1B56">
        <w:rPr>
          <w:rFonts w:ascii="Arial" w:hAnsi="Arial" w:cs="Arial"/>
          <w:lang w:val="en-GB"/>
        </w:rPr>
        <w:t xml:space="preserve"> </w:t>
      </w:r>
    </w:p>
    <w:p w14:paraId="2DBD5510" w14:textId="296D2E15" w:rsidR="00C51FA4" w:rsidRPr="00FE1B56" w:rsidRDefault="00C51FA4" w:rsidP="0046340A">
      <w:pPr>
        <w:pStyle w:val="ListParagraph"/>
        <w:ind w:left="1440"/>
        <w:jc w:val="both"/>
        <w:rPr>
          <w:rFonts w:ascii="Arial" w:hAnsi="Arial" w:cs="Arial"/>
          <w:lang w:val="en-GB"/>
        </w:rPr>
      </w:pPr>
      <w:r w:rsidRPr="00FE1B56">
        <w:rPr>
          <w:rFonts w:ascii="Arial" w:hAnsi="Arial" w:cs="Arial"/>
          <w:lang w:val="en-GB"/>
        </w:rPr>
        <w:t xml:space="preserve">The Project will support countries with adoption of digital monitoring and verification (D-MRV) platforms and other digital tools to facilitate better and faster planning, implementation, monitoring, reporting and verification of their energy access efforts and enable access to climate financing, including through their participation in carbon markets. </w:t>
      </w:r>
    </w:p>
    <w:p w14:paraId="1EE5C904" w14:textId="77777777" w:rsidR="0046340A" w:rsidRPr="00FE1B56" w:rsidRDefault="0046340A" w:rsidP="00BD63AC">
      <w:pPr>
        <w:pStyle w:val="ListParagraph"/>
        <w:ind w:left="1440"/>
        <w:jc w:val="both"/>
        <w:rPr>
          <w:rFonts w:ascii="Arial" w:hAnsi="Arial" w:cs="Arial"/>
          <w:lang w:val="en-GB"/>
        </w:rPr>
      </w:pPr>
    </w:p>
    <w:p w14:paraId="1CC82E25" w14:textId="427A99A5" w:rsidR="0046340A" w:rsidRPr="00FE1B56" w:rsidRDefault="00C51FA4" w:rsidP="00BD63AC">
      <w:pPr>
        <w:pStyle w:val="ListParagraph"/>
        <w:numPr>
          <w:ilvl w:val="0"/>
          <w:numId w:val="13"/>
        </w:numPr>
        <w:jc w:val="both"/>
        <w:rPr>
          <w:rFonts w:ascii="Arial" w:hAnsi="Arial" w:cs="Arial"/>
          <w:lang w:val="en-GB"/>
        </w:rPr>
      </w:pPr>
      <w:r w:rsidRPr="00FE1B56">
        <w:rPr>
          <w:rFonts w:ascii="Arial" w:hAnsi="Arial" w:cs="Arial"/>
          <w:b/>
          <w:bCs/>
          <w:lang w:val="en-GB"/>
        </w:rPr>
        <w:t xml:space="preserve">Component 2: Project Preparation Facility </w:t>
      </w:r>
      <w:r w:rsidRPr="00FE1B56">
        <w:rPr>
          <w:rFonts w:ascii="Arial" w:hAnsi="Arial" w:cs="Arial"/>
          <w:lang w:val="en-GB"/>
        </w:rPr>
        <w:t xml:space="preserve"> </w:t>
      </w:r>
    </w:p>
    <w:p w14:paraId="53750AD9" w14:textId="6A63F519" w:rsidR="00C51FA4" w:rsidRPr="00FE1B56" w:rsidRDefault="00C51FA4" w:rsidP="0046340A">
      <w:pPr>
        <w:pStyle w:val="ListParagraph"/>
        <w:ind w:left="1440"/>
        <w:jc w:val="both"/>
        <w:rPr>
          <w:rFonts w:ascii="Arial" w:hAnsi="Arial" w:cs="Arial"/>
          <w:lang w:val="en-GB"/>
        </w:rPr>
      </w:pPr>
      <w:r w:rsidRPr="00FE1B56">
        <w:rPr>
          <w:rFonts w:ascii="Arial" w:hAnsi="Arial" w:cs="Arial"/>
          <w:lang w:val="en-GB"/>
        </w:rPr>
        <w:t xml:space="preserve">The </w:t>
      </w:r>
      <w:r w:rsidR="0076775D" w:rsidRPr="00FE1B56">
        <w:rPr>
          <w:rFonts w:ascii="Arial" w:hAnsi="Arial" w:cs="Arial"/>
          <w:lang w:val="en-GB"/>
        </w:rPr>
        <w:t xml:space="preserve">Project </w:t>
      </w:r>
      <w:r w:rsidR="002A5460" w:rsidRPr="00FE1B56">
        <w:rPr>
          <w:rFonts w:ascii="Arial" w:hAnsi="Arial" w:cs="Arial"/>
          <w:lang w:val="en-GB"/>
        </w:rPr>
        <w:t>Preparation Facility (</w:t>
      </w:r>
      <w:r w:rsidRPr="00FE1B56">
        <w:rPr>
          <w:rFonts w:ascii="Arial" w:hAnsi="Arial" w:cs="Arial"/>
          <w:lang w:val="en-GB"/>
        </w:rPr>
        <w:t>PPF</w:t>
      </w:r>
      <w:r w:rsidR="002A5460" w:rsidRPr="00FE1B56">
        <w:rPr>
          <w:rFonts w:ascii="Arial" w:hAnsi="Arial" w:cs="Arial"/>
          <w:lang w:val="en-GB"/>
        </w:rPr>
        <w:t>)</w:t>
      </w:r>
      <w:r w:rsidRPr="00FE1B56">
        <w:rPr>
          <w:rFonts w:ascii="Arial" w:hAnsi="Arial" w:cs="Arial"/>
          <w:lang w:val="en-GB"/>
        </w:rPr>
        <w:t xml:space="preserve"> is one of the critical components of ASCENT, which will support governments and the private sector to develop bankable, investment-ready Projects through a demand-driven approach. This component has three sub-components which are: Sub-component 2A: National agencies Project; Sub-component 2B: Cross-border solutions; and Sub-component 2C: Private sector distributed renewable energy (DRE) companies. </w:t>
      </w:r>
    </w:p>
    <w:p w14:paraId="420FCEFF" w14:textId="77777777" w:rsidR="0046340A" w:rsidRPr="00FE1B56" w:rsidRDefault="0046340A" w:rsidP="00BD63AC">
      <w:pPr>
        <w:pStyle w:val="ListParagraph"/>
        <w:ind w:left="1440"/>
        <w:jc w:val="both"/>
        <w:rPr>
          <w:rFonts w:ascii="Arial" w:hAnsi="Arial" w:cs="Arial"/>
          <w:lang w:val="en-GB"/>
        </w:rPr>
      </w:pPr>
    </w:p>
    <w:p w14:paraId="48AE1EBA" w14:textId="0A3A1556" w:rsidR="0046340A" w:rsidRPr="00FE1B56" w:rsidRDefault="00C51FA4" w:rsidP="00BD63AC">
      <w:pPr>
        <w:pStyle w:val="ListParagraph"/>
        <w:numPr>
          <w:ilvl w:val="0"/>
          <w:numId w:val="13"/>
        </w:numPr>
        <w:jc w:val="both"/>
        <w:rPr>
          <w:rFonts w:ascii="Arial" w:hAnsi="Arial" w:cs="Arial"/>
          <w:b/>
          <w:bCs/>
          <w:lang w:val="en-GB"/>
        </w:rPr>
      </w:pPr>
      <w:r w:rsidRPr="00FE1B56">
        <w:rPr>
          <w:rFonts w:ascii="Arial" w:hAnsi="Arial" w:cs="Arial"/>
          <w:b/>
          <w:bCs/>
          <w:lang w:val="en-GB"/>
        </w:rPr>
        <w:t xml:space="preserve">Component 3: Advisory support to governments on planning, policy regulation and finance mobilization </w:t>
      </w:r>
    </w:p>
    <w:p w14:paraId="4C2DFDF9" w14:textId="460F0135" w:rsidR="00C51FA4" w:rsidRPr="00FE1B56" w:rsidRDefault="00C51FA4" w:rsidP="0046340A">
      <w:pPr>
        <w:pStyle w:val="ListParagraph"/>
        <w:ind w:left="1440"/>
        <w:jc w:val="both"/>
        <w:rPr>
          <w:rFonts w:ascii="Arial" w:hAnsi="Arial" w:cs="Arial"/>
          <w:lang w:val="en-GB"/>
        </w:rPr>
      </w:pPr>
      <w:r w:rsidRPr="00FE1B56">
        <w:rPr>
          <w:rFonts w:ascii="Arial" w:hAnsi="Arial" w:cs="Arial"/>
          <w:lang w:val="en-GB"/>
        </w:rPr>
        <w:t xml:space="preserve">This component will support participating countries on strengthening the policy and regulatory environment for energy access. </w:t>
      </w:r>
    </w:p>
    <w:p w14:paraId="15F72204" w14:textId="77777777" w:rsidR="0046340A" w:rsidRPr="00FE1B56" w:rsidRDefault="0046340A" w:rsidP="00BD63AC">
      <w:pPr>
        <w:pStyle w:val="ListParagraph"/>
        <w:ind w:left="1440"/>
        <w:jc w:val="both"/>
        <w:rPr>
          <w:rFonts w:ascii="Arial" w:hAnsi="Arial" w:cs="Arial"/>
          <w:lang w:val="en-GB"/>
        </w:rPr>
      </w:pPr>
    </w:p>
    <w:p w14:paraId="7DE5E90E" w14:textId="7151335F" w:rsidR="0046340A" w:rsidRPr="00FE1B56" w:rsidRDefault="00C51FA4" w:rsidP="00BD63AC">
      <w:pPr>
        <w:pStyle w:val="ListParagraph"/>
        <w:numPr>
          <w:ilvl w:val="0"/>
          <w:numId w:val="13"/>
        </w:numPr>
        <w:jc w:val="both"/>
        <w:rPr>
          <w:rFonts w:ascii="Arial" w:hAnsi="Arial" w:cs="Arial"/>
          <w:b/>
          <w:bCs/>
          <w:lang w:val="en-GB"/>
        </w:rPr>
      </w:pPr>
      <w:r w:rsidRPr="00FE1B56">
        <w:rPr>
          <w:rFonts w:ascii="Arial" w:hAnsi="Arial" w:cs="Arial"/>
          <w:b/>
          <w:bCs/>
          <w:lang w:val="en-GB"/>
        </w:rPr>
        <w:t xml:space="preserve">Component 4: Knowledge exchange, convening, data, skills development and consumer engagement </w:t>
      </w:r>
    </w:p>
    <w:p w14:paraId="1B751CD1" w14:textId="532CA704" w:rsidR="00C51FA4" w:rsidRPr="00FE1B56" w:rsidRDefault="00C51FA4" w:rsidP="0046340A">
      <w:pPr>
        <w:pStyle w:val="ListParagraph"/>
        <w:ind w:left="1440"/>
        <w:jc w:val="both"/>
        <w:rPr>
          <w:rFonts w:ascii="Arial" w:hAnsi="Arial" w:cs="Arial"/>
          <w:lang w:val="en-GB"/>
        </w:rPr>
      </w:pPr>
      <w:r w:rsidRPr="00FE1B56">
        <w:rPr>
          <w:rFonts w:ascii="Arial" w:hAnsi="Arial" w:cs="Arial"/>
          <w:lang w:val="en-GB"/>
        </w:rPr>
        <w:t xml:space="preserve">This component will enable participating countries to share both technical knowledge and experiences of energy access interventions, allowing countries with large energy access deficits to learn from faster-electrifying countries in the region, through regional and bilateral knowledge exchanges and workshops for governments, private sector, development partners, etc. </w:t>
      </w:r>
    </w:p>
    <w:p w14:paraId="488AA8BD" w14:textId="77777777" w:rsidR="0046340A" w:rsidRPr="00FE1B56" w:rsidRDefault="0046340A" w:rsidP="00BD63AC">
      <w:pPr>
        <w:pStyle w:val="ListParagraph"/>
        <w:ind w:left="1440"/>
        <w:jc w:val="both"/>
        <w:rPr>
          <w:rFonts w:ascii="Arial" w:hAnsi="Arial" w:cs="Arial"/>
          <w:lang w:val="en-GB"/>
        </w:rPr>
      </w:pPr>
    </w:p>
    <w:p w14:paraId="6F149D03" w14:textId="731026AE" w:rsidR="0046340A" w:rsidRPr="00FE1B56" w:rsidRDefault="00C51FA4" w:rsidP="00BD63AC">
      <w:pPr>
        <w:pStyle w:val="ListParagraph"/>
        <w:numPr>
          <w:ilvl w:val="0"/>
          <w:numId w:val="13"/>
        </w:numPr>
        <w:jc w:val="both"/>
        <w:rPr>
          <w:rFonts w:ascii="Arial" w:hAnsi="Arial" w:cs="Arial"/>
          <w:b/>
          <w:bCs/>
          <w:lang w:val="en-GB"/>
        </w:rPr>
      </w:pPr>
      <w:r w:rsidRPr="00FE1B56">
        <w:rPr>
          <w:rFonts w:ascii="Arial" w:hAnsi="Arial" w:cs="Arial"/>
          <w:b/>
          <w:bCs/>
          <w:lang w:val="en-GB"/>
        </w:rPr>
        <w:t xml:space="preserve">Component 5: Project management and capacity building support to PIU </w:t>
      </w:r>
    </w:p>
    <w:p w14:paraId="6AA257A8" w14:textId="639D08AA" w:rsidR="00C51FA4" w:rsidRPr="00FE1B56" w:rsidRDefault="00C51FA4" w:rsidP="00BD63AC">
      <w:pPr>
        <w:pStyle w:val="ListParagraph"/>
        <w:ind w:left="1440"/>
        <w:jc w:val="both"/>
        <w:rPr>
          <w:rFonts w:ascii="Arial" w:hAnsi="Arial" w:cs="Arial"/>
          <w:lang w:val="en-GB"/>
        </w:rPr>
      </w:pPr>
      <w:r w:rsidRPr="00FE1B56">
        <w:rPr>
          <w:rFonts w:ascii="Arial" w:hAnsi="Arial" w:cs="Arial"/>
          <w:lang w:val="en-GB"/>
        </w:rPr>
        <w:t>This component will provide specific support to building the capacity of the COMESA PIU for the implementation and monitoring of the activities under the regional platform. COMESA will use the same PIU which is already involved in the implementation of the Regional Infrastructure Financing Facility (RIFF) Project (P171967) but with a strengthened capacity to account for increased scope under ASCENT.</w:t>
      </w:r>
    </w:p>
    <w:p w14:paraId="79B2DADF" w14:textId="0ED6FA5E" w:rsidR="00807D65" w:rsidRPr="00FE1B56" w:rsidRDefault="00C51FA4" w:rsidP="00BD63AC">
      <w:pPr>
        <w:jc w:val="both"/>
        <w:rPr>
          <w:rFonts w:ascii="Arial" w:hAnsi="Arial" w:cs="Arial"/>
          <w:lang w:val="en-GB"/>
        </w:rPr>
      </w:pPr>
      <w:r w:rsidRPr="00FE1B56">
        <w:rPr>
          <w:rFonts w:ascii="Arial" w:hAnsi="Arial" w:cs="Arial"/>
          <w:lang w:val="en-GB"/>
        </w:rPr>
        <w:lastRenderedPageBreak/>
        <w:t>The ASCENT project has established a Grievance Redress Mechanism (GRM) which is aimed at facilitating awareness and resolution of complaints and grievances about the regional platform of the ASCENT project, implemented by COMESA.</w:t>
      </w:r>
    </w:p>
    <w:p w14:paraId="104A3D8B" w14:textId="77777777" w:rsidR="007339A1" w:rsidRPr="00FE1B56" w:rsidRDefault="00C51FA4" w:rsidP="00C51FA4">
      <w:pPr>
        <w:rPr>
          <w:rFonts w:ascii="Arial" w:hAnsi="Arial" w:cs="Arial"/>
          <w:b/>
          <w:bCs/>
          <w:lang w:val="en-GB"/>
        </w:rPr>
      </w:pPr>
      <w:r w:rsidRPr="00FE1B56">
        <w:rPr>
          <w:rFonts w:ascii="Arial" w:hAnsi="Arial" w:cs="Arial"/>
          <w:b/>
          <w:bCs/>
          <w:lang w:val="en-GB"/>
        </w:rPr>
        <w:t>2.</w:t>
      </w:r>
      <w:r w:rsidRPr="00FE1B56">
        <w:rPr>
          <w:rFonts w:ascii="Arial" w:hAnsi="Arial" w:cs="Arial"/>
          <w:b/>
          <w:bCs/>
          <w:lang w:val="en-GB"/>
        </w:rPr>
        <w:tab/>
        <w:t>Scope</w:t>
      </w:r>
      <w:r w:rsidRPr="00FE1B56">
        <w:rPr>
          <w:rFonts w:ascii="Arial" w:hAnsi="Arial" w:cs="Arial"/>
          <w:b/>
          <w:bCs/>
          <w:lang w:val="en-GB"/>
        </w:rPr>
        <w:tab/>
      </w:r>
    </w:p>
    <w:p w14:paraId="010EA7F5" w14:textId="3113BB73" w:rsidR="00C51FA4" w:rsidRPr="00FE1B56" w:rsidRDefault="00C51FA4" w:rsidP="00BD63AC">
      <w:pPr>
        <w:jc w:val="both"/>
        <w:rPr>
          <w:rFonts w:ascii="Arial" w:hAnsi="Arial" w:cs="Arial"/>
          <w:lang w:val="en-GB"/>
        </w:rPr>
      </w:pPr>
      <w:r w:rsidRPr="00FE1B56">
        <w:rPr>
          <w:rFonts w:ascii="Arial" w:hAnsi="Arial" w:cs="Arial"/>
          <w:lang w:val="en-GB"/>
        </w:rPr>
        <w:t xml:space="preserve">The GRM is intended to receive feedback from internal and external stakeholders on the quality of services, complaints about shortcomings, failures, or dissatisfaction with service delivery, as well as issues regarding any aspect of project implementation, and to ensure their processing and follow-up. In this regard, the mechanism will handle complaints relating to: </w:t>
      </w:r>
    </w:p>
    <w:p w14:paraId="0D5F069B" w14:textId="76EAC16E" w:rsidR="00C51FA4" w:rsidRPr="00FE1B56" w:rsidRDefault="00C51FA4" w:rsidP="00482E6F">
      <w:pPr>
        <w:ind w:left="720"/>
        <w:rPr>
          <w:rFonts w:ascii="Arial" w:hAnsi="Arial" w:cs="Arial"/>
          <w:b/>
          <w:bCs/>
          <w:lang w:val="en-GB"/>
        </w:rPr>
      </w:pPr>
      <w:r w:rsidRPr="00FE1B56">
        <w:rPr>
          <w:rFonts w:ascii="Arial" w:hAnsi="Arial" w:cs="Arial"/>
          <w:b/>
          <w:bCs/>
          <w:lang w:val="en-GB"/>
        </w:rPr>
        <w:t>(a)</w:t>
      </w:r>
      <w:r w:rsidRPr="00FE1B56">
        <w:rPr>
          <w:rFonts w:ascii="Arial" w:hAnsi="Arial" w:cs="Arial"/>
          <w:b/>
          <w:bCs/>
          <w:lang w:val="en-GB"/>
        </w:rPr>
        <w:tab/>
        <w:t>Internal Stakeholders</w:t>
      </w:r>
    </w:p>
    <w:p w14:paraId="118D2471" w14:textId="295F475C" w:rsidR="00C51FA4" w:rsidRPr="00FE1B56" w:rsidRDefault="00C51FA4" w:rsidP="00482E6F">
      <w:pPr>
        <w:ind w:left="1440"/>
        <w:rPr>
          <w:rFonts w:ascii="Arial" w:hAnsi="Arial" w:cs="Arial"/>
          <w:lang w:val="en-GB"/>
        </w:rPr>
      </w:pPr>
      <w:r w:rsidRPr="00FE1B56">
        <w:rPr>
          <w:rFonts w:ascii="Arial" w:hAnsi="Arial" w:cs="Arial"/>
          <w:lang w:val="en-GB"/>
        </w:rPr>
        <w:t>(i)</w:t>
      </w:r>
      <w:r w:rsidRPr="00FE1B56">
        <w:rPr>
          <w:rFonts w:ascii="Arial" w:hAnsi="Arial" w:cs="Arial"/>
          <w:lang w:val="en-GB"/>
        </w:rPr>
        <w:tab/>
      </w:r>
      <w:r w:rsidR="00A3286B" w:rsidRPr="00FE1B56">
        <w:rPr>
          <w:rFonts w:ascii="Arial" w:hAnsi="Arial" w:cs="Arial"/>
          <w:lang w:val="en-GB"/>
        </w:rPr>
        <w:t xml:space="preserve">Workplace </w:t>
      </w:r>
      <w:r w:rsidRPr="00FE1B56">
        <w:rPr>
          <w:rFonts w:ascii="Arial" w:hAnsi="Arial" w:cs="Arial"/>
          <w:lang w:val="en-GB"/>
        </w:rPr>
        <w:t>Sexual Harassment;</w:t>
      </w:r>
    </w:p>
    <w:p w14:paraId="6EBBC0C0" w14:textId="77777777" w:rsidR="00C51FA4" w:rsidRPr="00FE1B56" w:rsidRDefault="00C51FA4" w:rsidP="00482E6F">
      <w:pPr>
        <w:ind w:left="1440"/>
        <w:rPr>
          <w:rFonts w:ascii="Arial" w:hAnsi="Arial" w:cs="Arial"/>
          <w:lang w:val="en-GB"/>
        </w:rPr>
      </w:pPr>
      <w:r w:rsidRPr="00FE1B56">
        <w:rPr>
          <w:rFonts w:ascii="Arial" w:hAnsi="Arial" w:cs="Arial"/>
          <w:lang w:val="en-GB"/>
        </w:rPr>
        <w:t>(ii)</w:t>
      </w:r>
      <w:r w:rsidRPr="00FE1B56">
        <w:rPr>
          <w:rFonts w:ascii="Arial" w:hAnsi="Arial" w:cs="Arial"/>
          <w:lang w:val="en-GB"/>
        </w:rPr>
        <w:tab/>
        <w:t>Delayed Payment of wages/salaries;</w:t>
      </w:r>
    </w:p>
    <w:p w14:paraId="33DE8910" w14:textId="77777777" w:rsidR="00C51FA4" w:rsidRPr="00FE1B56" w:rsidRDefault="00C51FA4" w:rsidP="00482E6F">
      <w:pPr>
        <w:ind w:left="1440"/>
        <w:rPr>
          <w:rFonts w:ascii="Arial" w:hAnsi="Arial" w:cs="Arial"/>
          <w:lang w:val="en-GB"/>
        </w:rPr>
      </w:pPr>
      <w:r w:rsidRPr="00FE1B56">
        <w:rPr>
          <w:rFonts w:ascii="Arial" w:hAnsi="Arial" w:cs="Arial"/>
          <w:lang w:val="en-GB"/>
        </w:rPr>
        <w:t>(iii)</w:t>
      </w:r>
      <w:r w:rsidRPr="00FE1B56">
        <w:rPr>
          <w:rFonts w:ascii="Arial" w:hAnsi="Arial" w:cs="Arial"/>
          <w:lang w:val="en-GB"/>
        </w:rPr>
        <w:tab/>
        <w:t xml:space="preserve">Discrimination in award of salaries/wages for equal work due to gender or racial considerations; </w:t>
      </w:r>
    </w:p>
    <w:p w14:paraId="7B3CFE0E" w14:textId="77777777" w:rsidR="00C51FA4" w:rsidRPr="00FE1B56" w:rsidRDefault="00C51FA4" w:rsidP="00482E6F">
      <w:pPr>
        <w:ind w:left="1440"/>
        <w:rPr>
          <w:rFonts w:ascii="Arial" w:hAnsi="Arial" w:cs="Arial"/>
          <w:lang w:val="en-GB"/>
        </w:rPr>
      </w:pPr>
      <w:r w:rsidRPr="00FE1B56">
        <w:rPr>
          <w:rFonts w:ascii="Arial" w:hAnsi="Arial" w:cs="Arial"/>
          <w:lang w:val="en-GB"/>
        </w:rPr>
        <w:t>(iv)</w:t>
      </w:r>
      <w:r w:rsidRPr="00FE1B56">
        <w:rPr>
          <w:rFonts w:ascii="Arial" w:hAnsi="Arial" w:cs="Arial"/>
          <w:lang w:val="en-GB"/>
        </w:rPr>
        <w:tab/>
        <w:t>Misconduct of any kind which would discredit COMESA and the Project, or which would cause harm to a worker; and</w:t>
      </w:r>
    </w:p>
    <w:p w14:paraId="789118C3" w14:textId="73627DDA" w:rsidR="00C51FA4" w:rsidRPr="00FE1B56" w:rsidRDefault="00C51FA4" w:rsidP="00482E6F">
      <w:pPr>
        <w:ind w:left="1440"/>
        <w:rPr>
          <w:rFonts w:ascii="Arial" w:hAnsi="Arial" w:cs="Arial"/>
          <w:lang w:val="en-GB"/>
        </w:rPr>
      </w:pPr>
      <w:r w:rsidRPr="00FE1B56">
        <w:rPr>
          <w:rFonts w:ascii="Arial" w:hAnsi="Arial" w:cs="Arial"/>
          <w:lang w:val="en-GB"/>
        </w:rPr>
        <w:t>(v)</w:t>
      </w:r>
      <w:r w:rsidRPr="00FE1B56">
        <w:rPr>
          <w:rFonts w:ascii="Arial" w:hAnsi="Arial" w:cs="Arial"/>
          <w:lang w:val="en-GB"/>
        </w:rPr>
        <w:tab/>
        <w:t>Dismissal including summary</w:t>
      </w:r>
      <w:r w:rsidR="0069648E" w:rsidRPr="00FE1B56">
        <w:rPr>
          <w:rFonts w:ascii="Arial" w:hAnsi="Arial" w:cs="Arial"/>
          <w:lang w:val="en-GB"/>
        </w:rPr>
        <w:t>.</w:t>
      </w:r>
    </w:p>
    <w:p w14:paraId="6FA9F74A" w14:textId="0D26A777" w:rsidR="00C51FA4" w:rsidRPr="00FE1B56" w:rsidRDefault="00C51FA4" w:rsidP="0069648E">
      <w:pPr>
        <w:ind w:left="720"/>
        <w:rPr>
          <w:rFonts w:ascii="Arial" w:hAnsi="Arial" w:cs="Arial"/>
          <w:b/>
          <w:bCs/>
          <w:lang w:val="en-GB"/>
        </w:rPr>
      </w:pPr>
      <w:r w:rsidRPr="00FE1B56">
        <w:rPr>
          <w:rFonts w:ascii="Arial" w:hAnsi="Arial" w:cs="Arial"/>
          <w:b/>
          <w:bCs/>
          <w:lang w:val="en-GB"/>
        </w:rPr>
        <w:t>(b)</w:t>
      </w:r>
      <w:r w:rsidRPr="00FE1B56">
        <w:rPr>
          <w:rFonts w:ascii="Arial" w:hAnsi="Arial" w:cs="Arial"/>
          <w:b/>
          <w:bCs/>
          <w:lang w:val="en-GB"/>
        </w:rPr>
        <w:tab/>
        <w:t>External Stakeholders</w:t>
      </w:r>
    </w:p>
    <w:p w14:paraId="6680D215" w14:textId="47415EFA" w:rsidR="00C51FA4" w:rsidRPr="00FE1B56" w:rsidRDefault="00C51FA4" w:rsidP="00482E6F">
      <w:pPr>
        <w:ind w:left="1440"/>
        <w:rPr>
          <w:rFonts w:ascii="Arial" w:hAnsi="Arial" w:cs="Arial"/>
          <w:lang w:val="en-GB"/>
        </w:rPr>
      </w:pPr>
      <w:r w:rsidRPr="00FE1B56">
        <w:rPr>
          <w:rFonts w:ascii="Arial" w:hAnsi="Arial" w:cs="Arial"/>
          <w:lang w:val="en-GB"/>
        </w:rPr>
        <w:t>(i)</w:t>
      </w:r>
      <w:r w:rsidRPr="00FE1B56">
        <w:rPr>
          <w:rFonts w:ascii="Arial" w:hAnsi="Arial" w:cs="Arial"/>
          <w:lang w:val="en-GB"/>
        </w:rPr>
        <w:tab/>
      </w:r>
      <w:r w:rsidR="001A4E26" w:rsidRPr="00FE1B56">
        <w:rPr>
          <w:rFonts w:ascii="Arial" w:hAnsi="Arial" w:cs="Arial"/>
          <w:lang w:val="en-GB"/>
        </w:rPr>
        <w:t>inadequate or l</w:t>
      </w:r>
      <w:r w:rsidRPr="00FE1B56">
        <w:rPr>
          <w:rFonts w:ascii="Arial" w:hAnsi="Arial" w:cs="Arial"/>
          <w:lang w:val="en-GB"/>
        </w:rPr>
        <w:t>ack of stakeholder consultations;</w:t>
      </w:r>
    </w:p>
    <w:p w14:paraId="770867BC" w14:textId="497C34C9" w:rsidR="00C51FA4" w:rsidRPr="00FE1B56" w:rsidRDefault="00C51FA4" w:rsidP="00482E6F">
      <w:pPr>
        <w:ind w:left="1440"/>
        <w:rPr>
          <w:rFonts w:ascii="Arial" w:hAnsi="Arial" w:cs="Arial"/>
          <w:lang w:val="en-GB"/>
        </w:rPr>
      </w:pPr>
      <w:r w:rsidRPr="00FE1B56">
        <w:rPr>
          <w:rFonts w:ascii="Arial" w:hAnsi="Arial" w:cs="Arial"/>
          <w:lang w:val="en-GB"/>
        </w:rPr>
        <w:t>(ii)</w:t>
      </w:r>
      <w:r w:rsidRPr="00FE1B56">
        <w:rPr>
          <w:rFonts w:ascii="Arial" w:hAnsi="Arial" w:cs="Arial"/>
          <w:lang w:val="en-GB"/>
        </w:rPr>
        <w:tab/>
      </w:r>
      <w:r w:rsidR="0046340A" w:rsidRPr="00FE1B56">
        <w:rPr>
          <w:rFonts w:ascii="Arial" w:hAnsi="Arial" w:cs="Arial"/>
          <w:lang w:val="en-GB"/>
        </w:rPr>
        <w:t>E</w:t>
      </w:r>
      <w:r w:rsidRPr="00FE1B56">
        <w:rPr>
          <w:rFonts w:ascii="Arial" w:hAnsi="Arial" w:cs="Arial"/>
          <w:lang w:val="en-GB"/>
        </w:rPr>
        <w:t>xclusion of some segments of society and</w:t>
      </w:r>
      <w:r w:rsidR="001A4E26" w:rsidRPr="00FE1B56">
        <w:rPr>
          <w:rFonts w:ascii="Arial" w:hAnsi="Arial" w:cs="Arial"/>
          <w:lang w:val="en-GB"/>
        </w:rPr>
        <w:t>/</w:t>
      </w:r>
      <w:r w:rsidRPr="00FE1B56">
        <w:rPr>
          <w:rFonts w:ascii="Arial" w:hAnsi="Arial" w:cs="Arial"/>
          <w:lang w:val="en-GB"/>
        </w:rPr>
        <w:t xml:space="preserve">or some stakeholders </w:t>
      </w:r>
      <w:r w:rsidR="001A4E26" w:rsidRPr="00FE1B56">
        <w:rPr>
          <w:rFonts w:ascii="Arial" w:hAnsi="Arial" w:cs="Arial"/>
          <w:lang w:val="en-GB"/>
        </w:rPr>
        <w:t xml:space="preserve">from </w:t>
      </w:r>
      <w:r w:rsidRPr="00FE1B56">
        <w:rPr>
          <w:rFonts w:ascii="Arial" w:hAnsi="Arial" w:cs="Arial"/>
          <w:lang w:val="en-GB"/>
        </w:rPr>
        <w:t xml:space="preserve">participation in project activities; </w:t>
      </w:r>
    </w:p>
    <w:p w14:paraId="18809E05" w14:textId="209E2343" w:rsidR="00C51FA4" w:rsidRPr="00FE1B56" w:rsidRDefault="00C51FA4" w:rsidP="00482E6F">
      <w:pPr>
        <w:ind w:left="1440"/>
        <w:rPr>
          <w:rFonts w:ascii="Arial" w:hAnsi="Arial" w:cs="Arial"/>
          <w:lang w:val="en-GB"/>
        </w:rPr>
      </w:pPr>
      <w:r w:rsidRPr="00FE1B56">
        <w:rPr>
          <w:rFonts w:ascii="Arial" w:hAnsi="Arial" w:cs="Arial"/>
          <w:lang w:val="en-GB"/>
        </w:rPr>
        <w:t>(iii)</w:t>
      </w:r>
      <w:r w:rsidRPr="00FE1B56">
        <w:rPr>
          <w:rFonts w:ascii="Arial" w:hAnsi="Arial" w:cs="Arial"/>
          <w:lang w:val="en-GB"/>
        </w:rPr>
        <w:tab/>
      </w:r>
      <w:r w:rsidR="0046340A" w:rsidRPr="00FE1B56">
        <w:rPr>
          <w:rFonts w:ascii="Arial" w:hAnsi="Arial" w:cs="Arial"/>
          <w:lang w:val="en-GB"/>
        </w:rPr>
        <w:t>F</w:t>
      </w:r>
      <w:r w:rsidRPr="00FE1B56">
        <w:rPr>
          <w:rFonts w:ascii="Arial" w:hAnsi="Arial" w:cs="Arial"/>
          <w:lang w:val="en-GB"/>
        </w:rPr>
        <w:t>ailure to incorporate stakeholder views in subproject decision or final study documents; and</w:t>
      </w:r>
    </w:p>
    <w:p w14:paraId="2BE34614" w14:textId="6DBB7663" w:rsidR="009D13D9" w:rsidRPr="00FE1B56" w:rsidRDefault="00C51FA4" w:rsidP="00815112">
      <w:pPr>
        <w:ind w:left="1440"/>
        <w:rPr>
          <w:rFonts w:ascii="Arial" w:hAnsi="Arial" w:cs="Arial"/>
          <w:lang w:val="en-GB"/>
        </w:rPr>
      </w:pPr>
      <w:r w:rsidRPr="00FE1B56">
        <w:rPr>
          <w:rFonts w:ascii="Arial" w:hAnsi="Arial" w:cs="Arial"/>
          <w:lang w:val="en-GB"/>
        </w:rPr>
        <w:t>(iv)</w:t>
      </w:r>
      <w:r w:rsidRPr="00FE1B56">
        <w:rPr>
          <w:rFonts w:ascii="Arial" w:hAnsi="Arial" w:cs="Arial"/>
          <w:lang w:val="en-GB"/>
        </w:rPr>
        <w:tab/>
      </w:r>
      <w:r w:rsidR="0046340A" w:rsidRPr="00FE1B56">
        <w:rPr>
          <w:rFonts w:ascii="Arial" w:hAnsi="Arial" w:cs="Arial"/>
          <w:lang w:val="en-GB"/>
        </w:rPr>
        <w:t>I</w:t>
      </w:r>
      <w:r w:rsidRPr="00FE1B56">
        <w:rPr>
          <w:rFonts w:ascii="Arial" w:hAnsi="Arial" w:cs="Arial"/>
          <w:lang w:val="en-GB"/>
        </w:rPr>
        <w:t>nadequate or lack of information disclosure to stakeholders etc.</w:t>
      </w:r>
    </w:p>
    <w:p w14:paraId="37ACE753" w14:textId="204C0E47" w:rsidR="001A4E26" w:rsidRPr="00FE1B56" w:rsidRDefault="001A4E26" w:rsidP="00815112">
      <w:pPr>
        <w:ind w:left="1440"/>
        <w:rPr>
          <w:rFonts w:ascii="Arial" w:hAnsi="Arial" w:cs="Arial"/>
          <w:lang w:val="en-GB"/>
        </w:rPr>
      </w:pPr>
      <w:r w:rsidRPr="00FE1B56">
        <w:rPr>
          <w:rFonts w:ascii="Arial" w:hAnsi="Arial" w:cs="Arial"/>
          <w:lang w:val="en-GB"/>
        </w:rPr>
        <w:t xml:space="preserve">(v) </w:t>
      </w:r>
      <w:r w:rsidRPr="00FE1B56">
        <w:rPr>
          <w:rFonts w:ascii="Arial" w:hAnsi="Arial" w:cs="Arial"/>
          <w:lang w:val="en-GB"/>
        </w:rPr>
        <w:tab/>
      </w:r>
      <w:r w:rsidRPr="00FE1B56">
        <w:rPr>
          <w:rStyle w:val="cf01"/>
          <w:rFonts w:ascii="Arial" w:hAnsi="Arial" w:cs="Arial"/>
          <w:sz w:val="22"/>
          <w:szCs w:val="22"/>
          <w:lang w:val="en-US"/>
        </w:rPr>
        <w:t>S</w:t>
      </w:r>
      <w:r w:rsidRPr="00FE1B56">
        <w:rPr>
          <w:rStyle w:val="cf01"/>
          <w:rFonts w:ascii="Arial" w:hAnsi="Arial" w:cs="Arial"/>
          <w:sz w:val="22"/>
          <w:szCs w:val="22"/>
        </w:rPr>
        <w:t>exual exploitation and abuse (SEA)</w:t>
      </w:r>
    </w:p>
    <w:p w14:paraId="3A46EE3A" w14:textId="77777777" w:rsidR="00590E72" w:rsidRPr="00FE1B56" w:rsidRDefault="00590E72" w:rsidP="00337796">
      <w:pPr>
        <w:rPr>
          <w:rFonts w:ascii="Arial" w:hAnsi="Arial" w:cs="Arial"/>
          <w:lang w:val="en-GB"/>
        </w:rPr>
      </w:pPr>
    </w:p>
    <w:p w14:paraId="59FBBE74" w14:textId="77777777" w:rsidR="005B69AC" w:rsidRPr="00FE1B56" w:rsidRDefault="00C51FA4" w:rsidP="00C51FA4">
      <w:pPr>
        <w:rPr>
          <w:rFonts w:ascii="Arial" w:hAnsi="Arial" w:cs="Arial"/>
          <w:b/>
          <w:bCs/>
          <w:lang w:val="en-GB"/>
        </w:rPr>
      </w:pPr>
      <w:r w:rsidRPr="00FE1B56">
        <w:rPr>
          <w:rFonts w:ascii="Arial" w:hAnsi="Arial" w:cs="Arial"/>
          <w:b/>
          <w:bCs/>
          <w:lang w:val="en-GB"/>
        </w:rPr>
        <w:t>3.</w:t>
      </w:r>
      <w:r w:rsidRPr="00FE1B56">
        <w:rPr>
          <w:rFonts w:ascii="Arial" w:hAnsi="Arial" w:cs="Arial"/>
          <w:b/>
          <w:bCs/>
          <w:lang w:val="en-GB"/>
        </w:rPr>
        <w:tab/>
        <w:t xml:space="preserve">Objectives </w:t>
      </w:r>
      <w:r w:rsidRPr="00FE1B56">
        <w:rPr>
          <w:rFonts w:ascii="Arial" w:hAnsi="Arial" w:cs="Arial"/>
          <w:b/>
          <w:bCs/>
          <w:lang w:val="en-GB"/>
        </w:rPr>
        <w:tab/>
      </w:r>
    </w:p>
    <w:p w14:paraId="1CACA21B" w14:textId="15C933C1" w:rsidR="00C51FA4" w:rsidRPr="00FE1B56" w:rsidRDefault="00C51FA4" w:rsidP="00C51FA4">
      <w:pPr>
        <w:rPr>
          <w:rFonts w:ascii="Arial" w:hAnsi="Arial" w:cs="Arial"/>
          <w:lang w:val="en-GB"/>
        </w:rPr>
      </w:pPr>
      <w:r w:rsidRPr="00FE1B56">
        <w:rPr>
          <w:rFonts w:ascii="Arial" w:hAnsi="Arial" w:cs="Arial"/>
          <w:lang w:val="en-GB"/>
        </w:rPr>
        <w:t>The objectives of this GRM are to:</w:t>
      </w:r>
    </w:p>
    <w:p w14:paraId="25D3A700" w14:textId="2AD35C4A" w:rsidR="00C51FA4" w:rsidRPr="00FE1B56" w:rsidRDefault="00C51FA4" w:rsidP="00BD63AC">
      <w:pPr>
        <w:pStyle w:val="ListParagraph"/>
        <w:numPr>
          <w:ilvl w:val="0"/>
          <w:numId w:val="11"/>
        </w:numPr>
        <w:jc w:val="both"/>
        <w:rPr>
          <w:rFonts w:ascii="Arial" w:hAnsi="Arial" w:cs="Arial"/>
          <w:lang w:val="en-GB"/>
        </w:rPr>
      </w:pPr>
      <w:r w:rsidRPr="00FE1B56">
        <w:rPr>
          <w:rFonts w:ascii="Arial" w:hAnsi="Arial" w:cs="Arial"/>
          <w:lang w:val="en-GB"/>
        </w:rPr>
        <w:t xml:space="preserve">Provide procedures for harmonious resolution of complaints and grievances for internal and external project stakeholders arising out of the implementation </w:t>
      </w:r>
      <w:r w:rsidR="00B45023" w:rsidRPr="00FE1B56">
        <w:rPr>
          <w:rFonts w:ascii="Arial" w:hAnsi="Arial" w:cs="Arial"/>
          <w:lang w:val="en-GB"/>
        </w:rPr>
        <w:t>of the</w:t>
      </w:r>
      <w:r w:rsidRPr="00FE1B56">
        <w:rPr>
          <w:rFonts w:ascii="Arial" w:hAnsi="Arial" w:cs="Arial"/>
          <w:lang w:val="en-GB"/>
        </w:rPr>
        <w:t xml:space="preserve"> ASCENT project;</w:t>
      </w:r>
    </w:p>
    <w:p w14:paraId="43BA5F86" w14:textId="5B60A238" w:rsidR="00C51FA4" w:rsidRPr="00FE1B56" w:rsidRDefault="00C51FA4" w:rsidP="00BD63AC">
      <w:pPr>
        <w:pStyle w:val="ListParagraph"/>
        <w:numPr>
          <w:ilvl w:val="0"/>
          <w:numId w:val="11"/>
        </w:numPr>
        <w:jc w:val="both"/>
        <w:rPr>
          <w:rFonts w:ascii="Arial" w:hAnsi="Arial" w:cs="Arial"/>
          <w:lang w:val="en-GB"/>
        </w:rPr>
      </w:pPr>
      <w:r w:rsidRPr="00FE1B56">
        <w:rPr>
          <w:rFonts w:ascii="Arial" w:hAnsi="Arial" w:cs="Arial"/>
          <w:lang w:val="en-GB"/>
        </w:rPr>
        <w:t>Create a working environment characterised by fairness, consistency, accountability and transparency in dealing with employees</w:t>
      </w:r>
      <w:r w:rsidR="00AA50C4" w:rsidRPr="00FE1B56">
        <w:rPr>
          <w:rFonts w:ascii="Arial" w:hAnsi="Arial" w:cs="Arial"/>
          <w:lang w:val="en-GB"/>
        </w:rPr>
        <w:t>’</w:t>
      </w:r>
      <w:r w:rsidRPr="00FE1B56">
        <w:rPr>
          <w:rFonts w:ascii="Arial" w:hAnsi="Arial" w:cs="Arial"/>
          <w:lang w:val="en-GB"/>
        </w:rPr>
        <w:t xml:space="preserve"> </w:t>
      </w:r>
      <w:r w:rsidR="001A4E26" w:rsidRPr="00FE1B56">
        <w:rPr>
          <w:rFonts w:ascii="Arial" w:hAnsi="Arial" w:cs="Arial"/>
          <w:lang w:val="en-GB"/>
        </w:rPr>
        <w:t>and stakeholders</w:t>
      </w:r>
      <w:r w:rsidR="007E2BAA" w:rsidRPr="00FE1B56">
        <w:rPr>
          <w:rFonts w:ascii="Arial" w:hAnsi="Arial" w:cs="Arial"/>
          <w:lang w:val="en-GB"/>
        </w:rPr>
        <w:t>’</w:t>
      </w:r>
      <w:r w:rsidR="001A4E26" w:rsidRPr="00FE1B56">
        <w:rPr>
          <w:rFonts w:ascii="Arial" w:hAnsi="Arial" w:cs="Arial"/>
          <w:lang w:val="en-GB"/>
        </w:rPr>
        <w:t xml:space="preserve"> </w:t>
      </w:r>
      <w:r w:rsidRPr="00FE1B56">
        <w:rPr>
          <w:rFonts w:ascii="Arial" w:hAnsi="Arial" w:cs="Arial"/>
          <w:lang w:val="en-GB"/>
        </w:rPr>
        <w:t>obligations and rights throughout the implementation of the project amongst the relevant stakeholders;</w:t>
      </w:r>
    </w:p>
    <w:p w14:paraId="5FEF7E2E" w14:textId="1D336C74" w:rsidR="00C51FA4" w:rsidRPr="00FE1B56" w:rsidRDefault="00C51FA4" w:rsidP="00BD63AC">
      <w:pPr>
        <w:pStyle w:val="ListParagraph"/>
        <w:numPr>
          <w:ilvl w:val="0"/>
          <w:numId w:val="11"/>
        </w:numPr>
        <w:jc w:val="both"/>
        <w:rPr>
          <w:rFonts w:ascii="Arial" w:hAnsi="Arial" w:cs="Arial"/>
          <w:lang w:val="en-GB"/>
        </w:rPr>
      </w:pPr>
      <w:r w:rsidRPr="00FE1B56">
        <w:rPr>
          <w:rFonts w:ascii="Arial" w:hAnsi="Arial" w:cs="Arial"/>
          <w:lang w:val="en-GB"/>
        </w:rPr>
        <w:t xml:space="preserve">Resolve any emerging environmental and social grievances in project implementation areas; and </w:t>
      </w:r>
    </w:p>
    <w:p w14:paraId="075AC6D3" w14:textId="1022B0CB" w:rsidR="00C51FA4" w:rsidRPr="00FE1B56" w:rsidRDefault="00C51FA4" w:rsidP="00BD63AC">
      <w:pPr>
        <w:pStyle w:val="ListParagraph"/>
        <w:numPr>
          <w:ilvl w:val="0"/>
          <w:numId w:val="11"/>
        </w:numPr>
        <w:jc w:val="both"/>
        <w:rPr>
          <w:rFonts w:ascii="Arial" w:hAnsi="Arial" w:cs="Arial"/>
          <w:lang w:val="en-GB"/>
        </w:rPr>
      </w:pPr>
      <w:r w:rsidRPr="00FE1B56">
        <w:rPr>
          <w:rFonts w:ascii="Arial" w:hAnsi="Arial" w:cs="Arial"/>
          <w:lang w:val="en-GB"/>
        </w:rPr>
        <w:t>Promote relations between the project implementers, executers and beneficiaries.</w:t>
      </w:r>
    </w:p>
    <w:p w14:paraId="18F445AB" w14:textId="77777777" w:rsidR="00337796" w:rsidRPr="00FE1B56" w:rsidRDefault="00337796" w:rsidP="00337796">
      <w:pPr>
        <w:jc w:val="both"/>
        <w:rPr>
          <w:rFonts w:ascii="Arial" w:hAnsi="Arial" w:cs="Arial"/>
          <w:lang w:val="en-GB"/>
        </w:rPr>
      </w:pPr>
    </w:p>
    <w:p w14:paraId="2136117A" w14:textId="77777777" w:rsidR="00337796" w:rsidRPr="00FE1B56" w:rsidRDefault="00337796" w:rsidP="00337796">
      <w:pPr>
        <w:pStyle w:val="ListParagraph"/>
        <w:ind w:left="1080"/>
        <w:jc w:val="both"/>
        <w:rPr>
          <w:rFonts w:ascii="Arial" w:hAnsi="Arial" w:cs="Arial"/>
          <w:lang w:val="en-GB"/>
        </w:rPr>
      </w:pPr>
    </w:p>
    <w:p w14:paraId="782D652C" w14:textId="77777777" w:rsidR="009372A9" w:rsidRPr="00FE1B56" w:rsidRDefault="00C51FA4" w:rsidP="00C51FA4">
      <w:pPr>
        <w:rPr>
          <w:rFonts w:ascii="Arial" w:hAnsi="Arial" w:cs="Arial"/>
          <w:b/>
          <w:bCs/>
          <w:lang w:val="en-GB"/>
        </w:rPr>
      </w:pPr>
      <w:r w:rsidRPr="00FE1B56">
        <w:rPr>
          <w:rFonts w:ascii="Arial" w:hAnsi="Arial" w:cs="Arial"/>
          <w:b/>
          <w:bCs/>
          <w:lang w:val="en-GB"/>
        </w:rPr>
        <w:t>4.</w:t>
      </w:r>
      <w:r w:rsidRPr="00FE1B56">
        <w:rPr>
          <w:rFonts w:ascii="Arial" w:hAnsi="Arial" w:cs="Arial"/>
          <w:b/>
          <w:bCs/>
          <w:lang w:val="en-GB"/>
        </w:rPr>
        <w:tab/>
        <w:t xml:space="preserve">Awareness </w:t>
      </w:r>
      <w:r w:rsidRPr="00FE1B56">
        <w:rPr>
          <w:rFonts w:ascii="Arial" w:hAnsi="Arial" w:cs="Arial"/>
          <w:b/>
          <w:bCs/>
          <w:lang w:val="en-GB"/>
        </w:rPr>
        <w:tab/>
      </w:r>
    </w:p>
    <w:p w14:paraId="2D5F9F28" w14:textId="28817F99" w:rsidR="00BD63AC" w:rsidRPr="00FE1B56" w:rsidRDefault="00C51FA4" w:rsidP="00BD63AC">
      <w:pPr>
        <w:jc w:val="both"/>
        <w:rPr>
          <w:rFonts w:ascii="Arial" w:hAnsi="Arial" w:cs="Arial"/>
          <w:lang w:val="en-GB"/>
        </w:rPr>
      </w:pPr>
      <w:r w:rsidRPr="00FE1B56">
        <w:rPr>
          <w:rFonts w:ascii="Arial" w:hAnsi="Arial" w:cs="Arial"/>
          <w:lang w:val="en-GB"/>
        </w:rPr>
        <w:t xml:space="preserve">The GRM will be publicized among stakeholder groups such as the affected communities, government agencies, workers, and civil society organizations. </w:t>
      </w:r>
    </w:p>
    <w:p w14:paraId="41C0009B" w14:textId="77777777" w:rsidR="00C51FA4" w:rsidRPr="00FE1B56" w:rsidRDefault="00C51FA4" w:rsidP="00C51FA4">
      <w:pPr>
        <w:rPr>
          <w:rFonts w:ascii="Arial" w:hAnsi="Arial" w:cs="Arial"/>
          <w:b/>
          <w:bCs/>
          <w:lang w:val="en-GB"/>
        </w:rPr>
      </w:pPr>
      <w:r w:rsidRPr="00FE1B56">
        <w:rPr>
          <w:rFonts w:ascii="Arial" w:hAnsi="Arial" w:cs="Arial"/>
          <w:b/>
          <w:bCs/>
          <w:lang w:val="en-GB"/>
        </w:rPr>
        <w:t>5.</w:t>
      </w:r>
      <w:r w:rsidRPr="00FE1B56">
        <w:rPr>
          <w:rFonts w:ascii="Arial" w:hAnsi="Arial" w:cs="Arial"/>
          <w:b/>
          <w:bCs/>
          <w:lang w:val="en-GB"/>
        </w:rPr>
        <w:tab/>
        <w:t>Grievance Management Procedures</w:t>
      </w:r>
    </w:p>
    <w:p w14:paraId="3435ECD6" w14:textId="3E447C46" w:rsidR="00C51FA4" w:rsidRPr="00FE1B56" w:rsidRDefault="00C51FA4" w:rsidP="004B1383">
      <w:pPr>
        <w:rPr>
          <w:rFonts w:ascii="Arial" w:hAnsi="Arial" w:cs="Arial"/>
          <w:lang w:val="en-GB"/>
        </w:rPr>
      </w:pPr>
      <w:r w:rsidRPr="00FE1B56">
        <w:rPr>
          <w:rFonts w:ascii="Arial" w:hAnsi="Arial" w:cs="Arial"/>
          <w:lang w:val="en-GB"/>
        </w:rPr>
        <w:t>The GRM will be implemented through the following procedure:</w:t>
      </w:r>
    </w:p>
    <w:p w14:paraId="13CBA230" w14:textId="766E4848" w:rsidR="00C51FA4" w:rsidRPr="00FE1B56" w:rsidRDefault="00C51FA4" w:rsidP="00BD63AC">
      <w:pPr>
        <w:pStyle w:val="ListParagraph"/>
        <w:numPr>
          <w:ilvl w:val="0"/>
          <w:numId w:val="15"/>
        </w:numPr>
        <w:jc w:val="both"/>
        <w:rPr>
          <w:rFonts w:ascii="Arial" w:hAnsi="Arial" w:cs="Arial"/>
          <w:lang w:val="en-GB"/>
        </w:rPr>
      </w:pPr>
      <w:r w:rsidRPr="00FE1B56">
        <w:rPr>
          <w:rFonts w:ascii="Arial" w:hAnsi="Arial" w:cs="Arial"/>
          <w:lang w:val="en-GB"/>
        </w:rPr>
        <w:t xml:space="preserve">The Project Implementation Unit (PIU), through the Designated Officer, </w:t>
      </w:r>
      <w:r w:rsidR="00915D9F" w:rsidRPr="00FE1B56">
        <w:rPr>
          <w:rFonts w:ascii="Arial" w:hAnsi="Arial" w:cs="Arial"/>
          <w:lang w:val="en-GB"/>
        </w:rPr>
        <w:t>will register</w:t>
      </w:r>
      <w:r w:rsidRPr="00FE1B56">
        <w:rPr>
          <w:rFonts w:ascii="Arial" w:hAnsi="Arial" w:cs="Arial"/>
          <w:lang w:val="en-GB"/>
        </w:rPr>
        <w:t xml:space="preserve"> </w:t>
      </w:r>
      <w:r w:rsidR="00915D9F" w:rsidRPr="00FE1B56">
        <w:rPr>
          <w:rFonts w:ascii="Arial" w:hAnsi="Arial" w:cs="Arial"/>
          <w:lang w:val="en-GB"/>
        </w:rPr>
        <w:t>and acknowledge</w:t>
      </w:r>
      <w:r w:rsidRPr="00FE1B56">
        <w:rPr>
          <w:rFonts w:ascii="Arial" w:hAnsi="Arial" w:cs="Arial"/>
          <w:lang w:val="en-GB"/>
        </w:rPr>
        <w:t xml:space="preserve"> receipt of a complaint and may request for additional information if required</w:t>
      </w:r>
      <w:r w:rsidR="00C80F2D" w:rsidRPr="00FE1B56">
        <w:rPr>
          <w:rFonts w:ascii="Arial" w:hAnsi="Arial" w:cs="Arial"/>
          <w:lang w:val="en-GB"/>
        </w:rPr>
        <w:t xml:space="preserve">. Acknowledgement will be </w:t>
      </w:r>
      <w:r w:rsidR="00B328CE" w:rsidRPr="00FE1B56">
        <w:rPr>
          <w:rFonts w:ascii="Arial" w:hAnsi="Arial" w:cs="Arial"/>
          <w:lang w:val="en-GB"/>
        </w:rPr>
        <w:t>submitted to the complainant within 3 days of receipt of complaint</w:t>
      </w:r>
      <w:r w:rsidRPr="00FE1B56">
        <w:rPr>
          <w:rFonts w:ascii="Arial" w:hAnsi="Arial" w:cs="Arial"/>
          <w:lang w:val="en-GB"/>
        </w:rPr>
        <w:t>;</w:t>
      </w:r>
    </w:p>
    <w:p w14:paraId="0619DA1E" w14:textId="538E7F7B" w:rsidR="00C51FA4" w:rsidRPr="00FE1B56" w:rsidRDefault="00B45023" w:rsidP="00BD63AC">
      <w:pPr>
        <w:pStyle w:val="ListParagraph"/>
        <w:numPr>
          <w:ilvl w:val="0"/>
          <w:numId w:val="15"/>
        </w:numPr>
        <w:jc w:val="both"/>
        <w:rPr>
          <w:rFonts w:ascii="Arial" w:hAnsi="Arial" w:cs="Arial"/>
          <w:lang w:val="en-GB"/>
        </w:rPr>
      </w:pPr>
      <w:r w:rsidRPr="00FE1B56">
        <w:rPr>
          <w:rFonts w:ascii="Arial" w:hAnsi="Arial" w:cs="Arial"/>
          <w:lang w:val="en-GB"/>
        </w:rPr>
        <w:t>The PIU</w:t>
      </w:r>
      <w:r w:rsidR="00C51FA4" w:rsidRPr="00FE1B56">
        <w:rPr>
          <w:rFonts w:ascii="Arial" w:hAnsi="Arial" w:cs="Arial"/>
          <w:lang w:val="en-GB"/>
        </w:rPr>
        <w:t xml:space="preserve">, through the Designated </w:t>
      </w:r>
      <w:r w:rsidR="00915D9F" w:rsidRPr="00FE1B56">
        <w:rPr>
          <w:rFonts w:ascii="Arial" w:hAnsi="Arial" w:cs="Arial"/>
          <w:lang w:val="en-GB"/>
        </w:rPr>
        <w:t>Officer,</w:t>
      </w:r>
      <w:r w:rsidR="00C51FA4" w:rsidRPr="00FE1B56">
        <w:rPr>
          <w:rFonts w:ascii="Arial" w:hAnsi="Arial" w:cs="Arial"/>
          <w:lang w:val="en-GB"/>
        </w:rPr>
        <w:t xml:space="preserve"> will review the received complaint and decide on the next course of action on how it may be resolved amicably through providing relevant clarification and information or commencing alternate dispute resolution mechanisms such as conciliation, </w:t>
      </w:r>
      <w:r w:rsidR="00915D9F" w:rsidRPr="00FE1B56">
        <w:rPr>
          <w:rFonts w:ascii="Arial" w:hAnsi="Arial" w:cs="Arial"/>
          <w:lang w:val="en-GB"/>
        </w:rPr>
        <w:t>mediation or</w:t>
      </w:r>
      <w:r w:rsidR="00C51FA4" w:rsidRPr="00FE1B56">
        <w:rPr>
          <w:rFonts w:ascii="Arial" w:hAnsi="Arial" w:cs="Arial"/>
          <w:lang w:val="en-GB"/>
        </w:rPr>
        <w:t xml:space="preserve"> any other </w:t>
      </w:r>
      <w:r w:rsidR="00915D9F" w:rsidRPr="00FE1B56">
        <w:rPr>
          <w:rFonts w:ascii="Arial" w:hAnsi="Arial" w:cs="Arial"/>
          <w:lang w:val="en-GB"/>
        </w:rPr>
        <w:t>means.</w:t>
      </w:r>
    </w:p>
    <w:p w14:paraId="28D159BC" w14:textId="3AFBE391" w:rsidR="00C51FA4" w:rsidRPr="00FE1B56" w:rsidRDefault="00C51FA4" w:rsidP="00BD63AC">
      <w:pPr>
        <w:pStyle w:val="ListParagraph"/>
        <w:numPr>
          <w:ilvl w:val="0"/>
          <w:numId w:val="15"/>
        </w:numPr>
        <w:jc w:val="both"/>
        <w:rPr>
          <w:rFonts w:ascii="Arial" w:hAnsi="Arial" w:cs="Arial"/>
          <w:lang w:val="en-GB"/>
        </w:rPr>
      </w:pPr>
      <w:r w:rsidRPr="00FE1B56">
        <w:rPr>
          <w:rFonts w:ascii="Arial" w:hAnsi="Arial" w:cs="Arial"/>
          <w:lang w:val="en-GB"/>
        </w:rPr>
        <w:t xml:space="preserve">Depending on the severity of the complaint, a grievance committee </w:t>
      </w:r>
      <w:r w:rsidR="00B45023" w:rsidRPr="00FE1B56">
        <w:rPr>
          <w:rFonts w:ascii="Arial" w:hAnsi="Arial" w:cs="Arial"/>
          <w:lang w:val="en-GB"/>
        </w:rPr>
        <w:t>may be</w:t>
      </w:r>
      <w:r w:rsidRPr="00FE1B56">
        <w:rPr>
          <w:rFonts w:ascii="Arial" w:hAnsi="Arial" w:cs="Arial"/>
          <w:lang w:val="en-GB"/>
        </w:rPr>
        <w:t xml:space="preserve"> constituted by the Secretary General, with terms of reference and clear timelines</w:t>
      </w:r>
      <w:r w:rsidR="001E3548" w:rsidRPr="00FE1B56">
        <w:rPr>
          <w:rFonts w:ascii="Arial" w:hAnsi="Arial" w:cs="Arial"/>
          <w:lang w:val="en-GB"/>
        </w:rPr>
        <w:t xml:space="preserve"> within 10 </w:t>
      </w:r>
      <w:r w:rsidR="00054D86" w:rsidRPr="00FE1B56">
        <w:rPr>
          <w:rFonts w:ascii="Arial" w:hAnsi="Arial" w:cs="Arial"/>
          <w:lang w:val="en-GB"/>
        </w:rPr>
        <w:t>days after receipt of complaint</w:t>
      </w:r>
      <w:r w:rsidRPr="00FE1B56">
        <w:rPr>
          <w:rFonts w:ascii="Arial" w:hAnsi="Arial" w:cs="Arial"/>
          <w:lang w:val="en-GB"/>
        </w:rPr>
        <w:t xml:space="preserve">; </w:t>
      </w:r>
    </w:p>
    <w:p w14:paraId="026C5AEA" w14:textId="3D68021B" w:rsidR="00C51FA4" w:rsidRPr="00FE1B56" w:rsidRDefault="00C51FA4" w:rsidP="00BD63AC">
      <w:pPr>
        <w:pStyle w:val="ListParagraph"/>
        <w:numPr>
          <w:ilvl w:val="0"/>
          <w:numId w:val="15"/>
        </w:numPr>
        <w:jc w:val="both"/>
        <w:rPr>
          <w:rFonts w:ascii="Arial" w:hAnsi="Arial" w:cs="Arial"/>
          <w:lang w:val="en-GB"/>
        </w:rPr>
      </w:pPr>
      <w:r w:rsidRPr="00FE1B56">
        <w:rPr>
          <w:rFonts w:ascii="Arial" w:hAnsi="Arial" w:cs="Arial"/>
          <w:lang w:val="en-GB"/>
        </w:rPr>
        <w:t>The complainant will be notified of the case status;</w:t>
      </w:r>
    </w:p>
    <w:p w14:paraId="11E87FC7" w14:textId="3676D8F8" w:rsidR="00C51FA4" w:rsidRPr="00FE1B56" w:rsidRDefault="00C51FA4" w:rsidP="00BD63AC">
      <w:pPr>
        <w:pStyle w:val="ListParagraph"/>
        <w:numPr>
          <w:ilvl w:val="0"/>
          <w:numId w:val="15"/>
        </w:numPr>
        <w:jc w:val="both"/>
        <w:rPr>
          <w:rFonts w:ascii="Arial" w:hAnsi="Arial" w:cs="Arial"/>
          <w:lang w:val="en-GB"/>
        </w:rPr>
      </w:pPr>
      <w:r w:rsidRPr="00FE1B56">
        <w:rPr>
          <w:rFonts w:ascii="Arial" w:hAnsi="Arial" w:cs="Arial"/>
          <w:lang w:val="en-GB"/>
        </w:rPr>
        <w:t xml:space="preserve">The proposed solution shall be communicated to the complainant within 15 working days from the receipt of the complaint; </w:t>
      </w:r>
    </w:p>
    <w:p w14:paraId="1F7AB4B0" w14:textId="0DF4DB46" w:rsidR="00C51FA4" w:rsidRPr="00FE1B56" w:rsidRDefault="00C51FA4" w:rsidP="00BD63AC">
      <w:pPr>
        <w:pStyle w:val="ListParagraph"/>
        <w:numPr>
          <w:ilvl w:val="0"/>
          <w:numId w:val="15"/>
        </w:numPr>
        <w:jc w:val="both"/>
        <w:rPr>
          <w:rFonts w:ascii="Arial" w:hAnsi="Arial" w:cs="Arial"/>
          <w:lang w:val="en-GB"/>
        </w:rPr>
      </w:pPr>
      <w:r w:rsidRPr="00FE1B56">
        <w:rPr>
          <w:rFonts w:ascii="Arial" w:hAnsi="Arial" w:cs="Arial"/>
          <w:lang w:val="en-GB"/>
        </w:rPr>
        <w:t xml:space="preserve">If the solution is acceptable to the complainant, then the PIU will implement the solution and resolve the issue; </w:t>
      </w:r>
    </w:p>
    <w:p w14:paraId="417281AE" w14:textId="058CB3D9" w:rsidR="00C51FA4" w:rsidRPr="00FE1B56" w:rsidRDefault="00C51FA4" w:rsidP="00BD63AC">
      <w:pPr>
        <w:pStyle w:val="ListParagraph"/>
        <w:numPr>
          <w:ilvl w:val="0"/>
          <w:numId w:val="15"/>
        </w:numPr>
        <w:jc w:val="both"/>
        <w:rPr>
          <w:rFonts w:ascii="Arial" w:hAnsi="Arial" w:cs="Arial"/>
          <w:lang w:val="en-GB"/>
        </w:rPr>
      </w:pPr>
      <w:r w:rsidRPr="00FE1B56">
        <w:rPr>
          <w:rFonts w:ascii="Arial" w:hAnsi="Arial" w:cs="Arial"/>
          <w:lang w:val="en-GB"/>
        </w:rPr>
        <w:t xml:space="preserve">If the solution is not acceptable to the complainant, the PIU shall </w:t>
      </w:r>
      <w:r w:rsidR="002205F9" w:rsidRPr="00FE1B56">
        <w:rPr>
          <w:rFonts w:ascii="Arial" w:hAnsi="Arial" w:cs="Arial"/>
          <w:lang w:val="en-GB"/>
        </w:rPr>
        <w:t>escalate the</w:t>
      </w:r>
      <w:r w:rsidRPr="00FE1B56">
        <w:rPr>
          <w:rFonts w:ascii="Arial" w:hAnsi="Arial" w:cs="Arial"/>
          <w:lang w:val="en-GB"/>
        </w:rPr>
        <w:t xml:space="preserve"> issue to management within COMESA Secretariat for issuance of a resolution within 21 working days; and</w:t>
      </w:r>
    </w:p>
    <w:p w14:paraId="68A23C1E" w14:textId="572E1757" w:rsidR="00C51FA4" w:rsidRPr="00FE1B56" w:rsidRDefault="00C51FA4" w:rsidP="00BD63AC">
      <w:pPr>
        <w:pStyle w:val="ListParagraph"/>
        <w:numPr>
          <w:ilvl w:val="0"/>
          <w:numId w:val="15"/>
        </w:numPr>
        <w:jc w:val="both"/>
        <w:rPr>
          <w:rFonts w:ascii="Arial" w:hAnsi="Arial" w:cs="Arial"/>
          <w:lang w:val="en-GB"/>
        </w:rPr>
      </w:pPr>
      <w:r w:rsidRPr="00FE1B56">
        <w:rPr>
          <w:rFonts w:ascii="Arial" w:hAnsi="Arial" w:cs="Arial"/>
          <w:lang w:val="en-GB"/>
        </w:rPr>
        <w:t xml:space="preserve">If </w:t>
      </w:r>
      <w:r w:rsidR="002B391E" w:rsidRPr="00FE1B56">
        <w:rPr>
          <w:rFonts w:ascii="Arial" w:hAnsi="Arial" w:cs="Arial"/>
          <w:lang w:val="en-GB"/>
        </w:rPr>
        <w:t>no response</w:t>
      </w:r>
      <w:r w:rsidRPr="00FE1B56">
        <w:rPr>
          <w:rFonts w:ascii="Arial" w:hAnsi="Arial" w:cs="Arial"/>
          <w:lang w:val="en-GB"/>
        </w:rPr>
        <w:t xml:space="preserve"> </w:t>
      </w:r>
      <w:r w:rsidR="00915D9F" w:rsidRPr="00FE1B56">
        <w:rPr>
          <w:rFonts w:ascii="Arial" w:hAnsi="Arial" w:cs="Arial"/>
          <w:lang w:val="en-GB"/>
        </w:rPr>
        <w:t>has been</w:t>
      </w:r>
      <w:r w:rsidRPr="00FE1B56">
        <w:rPr>
          <w:rFonts w:ascii="Arial" w:hAnsi="Arial" w:cs="Arial"/>
          <w:lang w:val="en-GB"/>
        </w:rPr>
        <w:t xml:space="preserve"> received by the complainant within the </w:t>
      </w:r>
      <w:r w:rsidR="002205F9" w:rsidRPr="00FE1B56">
        <w:rPr>
          <w:rFonts w:ascii="Arial" w:hAnsi="Arial" w:cs="Arial"/>
          <w:lang w:val="en-GB"/>
        </w:rPr>
        <w:t>prescribed time</w:t>
      </w:r>
      <w:r w:rsidR="003C5706" w:rsidRPr="00FE1B56">
        <w:rPr>
          <w:rFonts w:ascii="Arial" w:hAnsi="Arial" w:cs="Arial"/>
          <w:lang w:val="en-GB"/>
        </w:rPr>
        <w:t xml:space="preserve"> frame</w:t>
      </w:r>
      <w:r w:rsidRPr="00FE1B56">
        <w:rPr>
          <w:rFonts w:ascii="Arial" w:hAnsi="Arial" w:cs="Arial"/>
          <w:lang w:val="en-GB"/>
        </w:rPr>
        <w:t>, the complainant may escalate the complaint to the Secretary General’s Office</w:t>
      </w:r>
      <w:r w:rsidR="003C5706" w:rsidRPr="00FE1B56">
        <w:rPr>
          <w:rFonts w:ascii="Arial" w:hAnsi="Arial" w:cs="Arial"/>
          <w:lang w:val="en-GB"/>
        </w:rPr>
        <w:t xml:space="preserve"> via email </w:t>
      </w:r>
      <w:r w:rsidR="004469B8" w:rsidRPr="00FE1B56">
        <w:rPr>
          <w:rFonts w:ascii="Arial" w:hAnsi="Arial" w:cs="Arial"/>
          <w:lang w:val="en-GB"/>
        </w:rPr>
        <w:t>communication at</w:t>
      </w:r>
      <w:r w:rsidRPr="00FE1B56">
        <w:rPr>
          <w:rFonts w:ascii="Arial" w:hAnsi="Arial" w:cs="Arial"/>
          <w:lang w:val="en-GB"/>
        </w:rPr>
        <w:t xml:space="preserve"> secgen@comesa.int.</w:t>
      </w:r>
    </w:p>
    <w:p w14:paraId="3B26B3CA" w14:textId="23365E4B" w:rsidR="00C51FA4" w:rsidRPr="00FE1B56" w:rsidRDefault="00C51FA4" w:rsidP="00C51FA4">
      <w:pPr>
        <w:rPr>
          <w:rFonts w:ascii="Arial" w:hAnsi="Arial" w:cs="Arial"/>
          <w:lang w:val="en-GB"/>
        </w:rPr>
      </w:pPr>
      <w:r w:rsidRPr="00FE1B56">
        <w:rPr>
          <w:rFonts w:ascii="Arial" w:hAnsi="Arial" w:cs="Arial"/>
          <w:lang w:val="en-GB"/>
        </w:rPr>
        <w:t>The following are the contact details for submission of complaints:</w:t>
      </w:r>
    </w:p>
    <w:p w14:paraId="6DCC8F24" w14:textId="7C3ABDD5" w:rsidR="00765378" w:rsidRPr="00FE1B56" w:rsidRDefault="00C51FA4" w:rsidP="00BD6960">
      <w:pPr>
        <w:ind w:left="720"/>
        <w:rPr>
          <w:rFonts w:ascii="Arial" w:hAnsi="Arial" w:cs="Arial"/>
          <w:lang w:val="en-GB"/>
        </w:rPr>
      </w:pPr>
      <w:r w:rsidRPr="00FE1B56">
        <w:rPr>
          <w:rFonts w:ascii="Arial" w:hAnsi="Arial" w:cs="Arial"/>
          <w:lang w:val="en-GB"/>
        </w:rPr>
        <w:t xml:space="preserve">Email : </w:t>
      </w:r>
      <w:hyperlink r:id="rId10" w:history="1">
        <w:r w:rsidR="00BD6960" w:rsidRPr="00FE1B56">
          <w:rPr>
            <w:rStyle w:val="Hyperlink"/>
            <w:rFonts w:ascii="Arial" w:hAnsi="Arial" w:cs="Arial"/>
            <w:lang w:val="en-GB"/>
          </w:rPr>
          <w:t>GRMASCENT@comesa.int</w:t>
        </w:r>
      </w:hyperlink>
    </w:p>
    <w:p w14:paraId="7133A6C1" w14:textId="426C3437" w:rsidR="00C51FA4" w:rsidRPr="00FE1B56" w:rsidRDefault="00C51FA4" w:rsidP="00765378">
      <w:pPr>
        <w:ind w:left="720"/>
        <w:rPr>
          <w:rFonts w:ascii="Arial" w:hAnsi="Arial" w:cs="Arial"/>
          <w:lang w:val="en-GB"/>
        </w:rPr>
      </w:pPr>
      <w:r w:rsidRPr="00FE1B56">
        <w:rPr>
          <w:rFonts w:ascii="Arial" w:hAnsi="Arial" w:cs="Arial"/>
          <w:lang w:val="en-GB"/>
        </w:rPr>
        <w:t>Phone:</w:t>
      </w:r>
      <w:r w:rsidR="009F177E" w:rsidRPr="00FE1B56">
        <w:rPr>
          <w:rFonts w:ascii="Arial" w:hAnsi="Arial" w:cs="Arial"/>
          <w:lang w:val="en-GB"/>
        </w:rPr>
        <w:t xml:space="preserve"> +260 211</w:t>
      </w:r>
      <w:r w:rsidR="00753F4F" w:rsidRPr="00FE1B56">
        <w:rPr>
          <w:rFonts w:ascii="Arial" w:hAnsi="Arial" w:cs="Arial"/>
          <w:lang w:val="en-GB"/>
        </w:rPr>
        <w:t xml:space="preserve"> 229725/32</w:t>
      </w:r>
      <w:r w:rsidR="00041CA9">
        <w:rPr>
          <w:rFonts w:ascii="Arial" w:hAnsi="Arial" w:cs="Arial"/>
          <w:lang w:val="en-GB"/>
        </w:rPr>
        <w:t xml:space="preserve"> (Project Manager, ASCENT)</w:t>
      </w:r>
    </w:p>
    <w:p w14:paraId="0F5A4878" w14:textId="5523165E" w:rsidR="00C51FA4" w:rsidRPr="00FE1B56" w:rsidRDefault="00C51FA4" w:rsidP="009D13D9">
      <w:pPr>
        <w:ind w:left="720"/>
        <w:rPr>
          <w:rFonts w:ascii="Arial" w:hAnsi="Arial" w:cs="Arial"/>
          <w:lang w:val="en-GB"/>
        </w:rPr>
      </w:pPr>
      <w:r w:rsidRPr="00FE1B56">
        <w:rPr>
          <w:rFonts w:ascii="Arial" w:hAnsi="Arial" w:cs="Arial"/>
          <w:lang w:val="en-GB"/>
        </w:rPr>
        <w:t>Physical Address: COMESA Secretariat, P.O. Box 30051, Infrastructure Division, Ben Bella Road, Lusaka, Zambia</w:t>
      </w:r>
    </w:p>
    <w:p w14:paraId="0807FCFB" w14:textId="77777777" w:rsidR="00610418" w:rsidRPr="00FE1B56" w:rsidRDefault="00C51FA4" w:rsidP="00C51FA4">
      <w:pPr>
        <w:rPr>
          <w:rFonts w:ascii="Arial" w:hAnsi="Arial" w:cs="Arial"/>
          <w:b/>
          <w:bCs/>
          <w:lang w:val="en-GB"/>
        </w:rPr>
      </w:pPr>
      <w:r w:rsidRPr="00FE1B56">
        <w:rPr>
          <w:rFonts w:ascii="Arial" w:hAnsi="Arial" w:cs="Arial"/>
          <w:b/>
          <w:bCs/>
          <w:lang w:val="en-GB"/>
        </w:rPr>
        <w:t>6.</w:t>
      </w:r>
      <w:r w:rsidRPr="00FE1B56">
        <w:rPr>
          <w:rFonts w:ascii="Arial" w:hAnsi="Arial" w:cs="Arial"/>
          <w:b/>
          <w:bCs/>
          <w:lang w:val="en-GB"/>
        </w:rPr>
        <w:tab/>
        <w:t>Communication channels</w:t>
      </w:r>
      <w:r w:rsidRPr="00FE1B56">
        <w:rPr>
          <w:rFonts w:ascii="Arial" w:hAnsi="Arial" w:cs="Arial"/>
          <w:b/>
          <w:bCs/>
          <w:lang w:val="en-GB"/>
        </w:rPr>
        <w:tab/>
      </w:r>
    </w:p>
    <w:p w14:paraId="159AE070" w14:textId="5FBF4941" w:rsidR="00C51FA4" w:rsidRPr="00FE1B56" w:rsidRDefault="00C51FA4" w:rsidP="00BD63AC">
      <w:pPr>
        <w:jc w:val="both"/>
        <w:rPr>
          <w:rFonts w:ascii="Arial" w:hAnsi="Arial" w:cs="Arial"/>
          <w:lang w:val="en-GB"/>
        </w:rPr>
      </w:pPr>
      <w:r w:rsidRPr="00FE1B56">
        <w:rPr>
          <w:rFonts w:ascii="Arial" w:hAnsi="Arial" w:cs="Arial"/>
          <w:lang w:val="en-GB"/>
        </w:rPr>
        <w:t xml:space="preserve">Communication channels for the GRM include: a web portal/email </w:t>
      </w:r>
      <w:r w:rsidR="00610418" w:rsidRPr="00FE1B56">
        <w:rPr>
          <w:rFonts w:ascii="Arial" w:hAnsi="Arial" w:cs="Arial"/>
          <w:lang w:val="en-GB"/>
        </w:rPr>
        <w:t>address to</w:t>
      </w:r>
      <w:r w:rsidRPr="00FE1B56">
        <w:rPr>
          <w:rFonts w:ascii="Arial" w:hAnsi="Arial" w:cs="Arial"/>
          <w:lang w:val="en-GB"/>
        </w:rPr>
        <w:t xml:space="preserve"> allow citizens, residents, and corporations to submit their enquiries, complaints and suggestions to the </w:t>
      </w:r>
      <w:r w:rsidR="009D13D9" w:rsidRPr="00FE1B56">
        <w:rPr>
          <w:rFonts w:ascii="Arial" w:hAnsi="Arial" w:cs="Arial"/>
          <w:lang w:val="en-GB"/>
        </w:rPr>
        <w:t>project at</w:t>
      </w:r>
      <w:r w:rsidRPr="00FE1B56">
        <w:rPr>
          <w:rFonts w:ascii="Arial" w:hAnsi="Arial" w:cs="Arial"/>
          <w:lang w:val="en-GB"/>
        </w:rPr>
        <w:t xml:space="preserve"> any time.</w:t>
      </w:r>
    </w:p>
    <w:p w14:paraId="05A3352C" w14:textId="281EAA6D" w:rsidR="00337796" w:rsidRPr="00FE1B56" w:rsidRDefault="00C51FA4" w:rsidP="00BD63AC">
      <w:pPr>
        <w:jc w:val="both"/>
        <w:rPr>
          <w:rFonts w:ascii="Arial" w:hAnsi="Arial" w:cs="Arial"/>
          <w:lang w:val="en-GB"/>
        </w:rPr>
      </w:pPr>
      <w:r w:rsidRPr="00FE1B56">
        <w:rPr>
          <w:rFonts w:ascii="Arial" w:hAnsi="Arial" w:cs="Arial"/>
          <w:lang w:val="en-GB"/>
        </w:rPr>
        <w:t xml:space="preserve">Complaints, </w:t>
      </w:r>
      <w:r w:rsidR="009F5460" w:rsidRPr="00FE1B56">
        <w:rPr>
          <w:rFonts w:ascii="Arial" w:hAnsi="Arial" w:cs="Arial"/>
          <w:lang w:val="en-GB"/>
        </w:rPr>
        <w:t xml:space="preserve">suggestions </w:t>
      </w:r>
      <w:r w:rsidRPr="00FE1B56">
        <w:rPr>
          <w:rFonts w:ascii="Arial" w:hAnsi="Arial" w:cs="Arial"/>
          <w:lang w:val="en-GB"/>
        </w:rPr>
        <w:t xml:space="preserve">and compliments can be submitted in person and via email and postal mail. Queries can be submitted via COMESA telephone line. </w:t>
      </w:r>
    </w:p>
    <w:p w14:paraId="68150B42" w14:textId="77777777" w:rsidR="00C51FA4" w:rsidRPr="00FE1B56" w:rsidRDefault="00C51FA4" w:rsidP="00C51FA4">
      <w:pPr>
        <w:rPr>
          <w:rFonts w:ascii="Arial" w:hAnsi="Arial" w:cs="Arial"/>
          <w:b/>
          <w:bCs/>
          <w:lang w:val="en-GB"/>
        </w:rPr>
      </w:pPr>
      <w:r w:rsidRPr="00FE1B56">
        <w:rPr>
          <w:rFonts w:ascii="Arial" w:hAnsi="Arial" w:cs="Arial"/>
          <w:b/>
          <w:bCs/>
          <w:lang w:val="en-GB"/>
        </w:rPr>
        <w:t>7.</w:t>
      </w:r>
      <w:r w:rsidRPr="00FE1B56">
        <w:rPr>
          <w:rFonts w:ascii="Arial" w:hAnsi="Arial" w:cs="Arial"/>
          <w:b/>
          <w:bCs/>
          <w:lang w:val="en-GB"/>
        </w:rPr>
        <w:tab/>
        <w:t>Appeal</w:t>
      </w:r>
      <w:r w:rsidRPr="00FE1B56">
        <w:rPr>
          <w:rFonts w:ascii="Arial" w:hAnsi="Arial" w:cs="Arial"/>
          <w:b/>
          <w:bCs/>
          <w:lang w:val="en-GB"/>
        </w:rPr>
        <w:tab/>
      </w:r>
    </w:p>
    <w:p w14:paraId="4ACADC75" w14:textId="2DCD2C92" w:rsidR="00C51FA4" w:rsidRPr="00FE1B56" w:rsidRDefault="00C51FA4" w:rsidP="00BD63AC">
      <w:pPr>
        <w:jc w:val="both"/>
        <w:rPr>
          <w:rFonts w:ascii="Arial" w:hAnsi="Arial" w:cs="Arial"/>
          <w:lang w:val="en-GB"/>
        </w:rPr>
      </w:pPr>
      <w:r w:rsidRPr="00FE1B56">
        <w:rPr>
          <w:rFonts w:ascii="Arial" w:hAnsi="Arial" w:cs="Arial"/>
          <w:lang w:val="en-GB"/>
        </w:rPr>
        <w:t xml:space="preserve">If the complainant is not satisfied with </w:t>
      </w:r>
      <w:r w:rsidR="00610418" w:rsidRPr="00FE1B56">
        <w:rPr>
          <w:rFonts w:ascii="Arial" w:hAnsi="Arial" w:cs="Arial"/>
          <w:lang w:val="en-GB"/>
        </w:rPr>
        <w:t>the resolution</w:t>
      </w:r>
      <w:r w:rsidRPr="00FE1B56">
        <w:rPr>
          <w:rFonts w:ascii="Arial" w:hAnsi="Arial" w:cs="Arial"/>
          <w:lang w:val="en-GB"/>
        </w:rPr>
        <w:t xml:space="preserve"> proposed by the COMESA </w:t>
      </w:r>
      <w:r w:rsidR="001E3C33" w:rsidRPr="00FE1B56">
        <w:rPr>
          <w:rFonts w:ascii="Arial" w:hAnsi="Arial" w:cs="Arial"/>
          <w:lang w:val="en-GB"/>
        </w:rPr>
        <w:t>S</w:t>
      </w:r>
      <w:r w:rsidRPr="00FE1B56">
        <w:rPr>
          <w:rFonts w:ascii="Arial" w:hAnsi="Arial" w:cs="Arial"/>
          <w:lang w:val="en-GB"/>
        </w:rPr>
        <w:t xml:space="preserve">ecretariat, he/she can file an appeal to the Secretary General within 14 days </w:t>
      </w:r>
      <w:r w:rsidR="00FC5C1C" w:rsidRPr="00FE1B56">
        <w:rPr>
          <w:rFonts w:ascii="Arial" w:hAnsi="Arial" w:cs="Arial"/>
          <w:lang w:val="en-GB"/>
        </w:rPr>
        <w:t xml:space="preserve">of receipt of the proposed resolution </w:t>
      </w:r>
      <w:r w:rsidR="00D83FB9" w:rsidRPr="00FE1B56">
        <w:rPr>
          <w:rFonts w:ascii="Arial" w:hAnsi="Arial" w:cs="Arial"/>
          <w:lang w:val="en-GB"/>
        </w:rPr>
        <w:t xml:space="preserve">and the Secretary </w:t>
      </w:r>
      <w:r w:rsidR="002B391E" w:rsidRPr="00FE1B56">
        <w:rPr>
          <w:rFonts w:ascii="Arial" w:hAnsi="Arial" w:cs="Arial"/>
          <w:lang w:val="en-GB"/>
        </w:rPr>
        <w:t>General shall</w:t>
      </w:r>
      <w:r w:rsidRPr="00FE1B56">
        <w:rPr>
          <w:rFonts w:ascii="Arial" w:hAnsi="Arial" w:cs="Arial"/>
          <w:lang w:val="en-GB"/>
        </w:rPr>
        <w:t xml:space="preserve"> provide a decision within 10 working days. </w:t>
      </w:r>
    </w:p>
    <w:p w14:paraId="761C746A" w14:textId="2631F7A6" w:rsidR="002B391E" w:rsidRPr="00FE1B56" w:rsidRDefault="00C51FA4" w:rsidP="00BD63AC">
      <w:pPr>
        <w:jc w:val="both"/>
        <w:rPr>
          <w:rFonts w:ascii="Arial" w:hAnsi="Arial" w:cs="Arial"/>
          <w:lang w:val="en-GB"/>
        </w:rPr>
      </w:pPr>
      <w:r w:rsidRPr="00FE1B56">
        <w:rPr>
          <w:rFonts w:ascii="Arial" w:hAnsi="Arial" w:cs="Arial"/>
          <w:lang w:val="en-GB"/>
        </w:rPr>
        <w:t>Any party that is not satisfied with the decision of the Secretary General may refer the matter to the Court of Justice within three (3) months of the decision. The decision by the COMESA Court of Justice shall be final and binding upon the parties.</w:t>
      </w:r>
    </w:p>
    <w:p w14:paraId="19E691B2" w14:textId="6FE9ED86" w:rsidR="00C51FA4" w:rsidRPr="00FE1B56" w:rsidRDefault="00C51FA4" w:rsidP="00BD63AC">
      <w:pPr>
        <w:jc w:val="both"/>
        <w:rPr>
          <w:rFonts w:ascii="Arial" w:hAnsi="Arial" w:cs="Arial"/>
          <w:b/>
          <w:bCs/>
          <w:lang w:val="en-GB"/>
        </w:rPr>
      </w:pPr>
      <w:r w:rsidRPr="00FE1B56">
        <w:rPr>
          <w:rFonts w:ascii="Arial" w:hAnsi="Arial" w:cs="Arial"/>
          <w:b/>
          <w:bCs/>
          <w:lang w:val="en-GB"/>
        </w:rPr>
        <w:t>8.</w:t>
      </w:r>
      <w:r w:rsidRPr="00FE1B56">
        <w:rPr>
          <w:rFonts w:ascii="Arial" w:hAnsi="Arial" w:cs="Arial"/>
          <w:b/>
          <w:bCs/>
          <w:lang w:val="en-GB"/>
        </w:rPr>
        <w:tab/>
      </w:r>
      <w:r w:rsidR="00C14C89" w:rsidRPr="00FE1B56">
        <w:rPr>
          <w:rFonts w:ascii="Arial" w:hAnsi="Arial" w:cs="Arial"/>
          <w:b/>
          <w:bCs/>
          <w:lang w:val="en-GB"/>
        </w:rPr>
        <w:t xml:space="preserve">Sexual Exploitation Abuse </w:t>
      </w:r>
      <w:r w:rsidRPr="00FE1B56">
        <w:rPr>
          <w:rFonts w:ascii="Arial" w:hAnsi="Arial" w:cs="Arial"/>
          <w:b/>
          <w:bCs/>
          <w:lang w:val="en-GB"/>
        </w:rPr>
        <w:t>/</w:t>
      </w:r>
      <w:r w:rsidR="00C14C89" w:rsidRPr="00FE1B56">
        <w:rPr>
          <w:rFonts w:ascii="Arial" w:hAnsi="Arial" w:cs="Arial"/>
          <w:b/>
          <w:bCs/>
          <w:lang w:val="en-GB"/>
        </w:rPr>
        <w:t xml:space="preserve">Sexual </w:t>
      </w:r>
      <w:r w:rsidR="002B391E" w:rsidRPr="00FE1B56">
        <w:rPr>
          <w:rFonts w:ascii="Arial" w:hAnsi="Arial" w:cs="Arial"/>
          <w:b/>
          <w:bCs/>
          <w:lang w:val="en-GB"/>
        </w:rPr>
        <w:t>Harassment Grievance</w:t>
      </w:r>
      <w:r w:rsidRPr="00FE1B56">
        <w:rPr>
          <w:rFonts w:ascii="Arial" w:hAnsi="Arial" w:cs="Arial"/>
          <w:b/>
          <w:bCs/>
          <w:lang w:val="en-GB"/>
        </w:rPr>
        <w:t xml:space="preserve"> Mechanism </w:t>
      </w:r>
    </w:p>
    <w:p w14:paraId="3D700EF0" w14:textId="218454FD" w:rsidR="00C51FA4" w:rsidRPr="00FE1B56" w:rsidRDefault="00C51FA4" w:rsidP="00BD63AC">
      <w:pPr>
        <w:jc w:val="both"/>
        <w:rPr>
          <w:rFonts w:ascii="Arial" w:hAnsi="Arial" w:cs="Arial"/>
          <w:lang w:val="en-GB"/>
        </w:rPr>
      </w:pPr>
      <w:r w:rsidRPr="00FE1B56">
        <w:rPr>
          <w:rFonts w:ascii="Arial" w:hAnsi="Arial" w:cs="Arial"/>
          <w:lang w:val="en-GB"/>
        </w:rPr>
        <w:t>Given that most GBV cases at</w:t>
      </w:r>
      <w:r w:rsidR="0046340A" w:rsidRPr="00FE1B56">
        <w:rPr>
          <w:rFonts w:ascii="Arial" w:hAnsi="Arial" w:cs="Arial"/>
          <w:lang w:val="en-GB"/>
        </w:rPr>
        <w:t xml:space="preserve"> the</w:t>
      </w:r>
      <w:r w:rsidRPr="00FE1B56">
        <w:rPr>
          <w:rFonts w:ascii="Arial" w:hAnsi="Arial" w:cs="Arial"/>
          <w:lang w:val="en-GB"/>
        </w:rPr>
        <w:t xml:space="preserve"> workplace are not reported because of the fear of victimization, anonymous reporting channels will be provided as part of ASCENT grievance communication points to encourage reporting of </w:t>
      </w:r>
      <w:r w:rsidR="00926F55" w:rsidRPr="00FE1B56">
        <w:rPr>
          <w:rFonts w:ascii="Arial" w:hAnsi="Arial" w:cs="Arial"/>
          <w:lang w:val="en-GB"/>
        </w:rPr>
        <w:t>Sexual</w:t>
      </w:r>
      <w:r w:rsidR="00CB5B95" w:rsidRPr="00FE1B56">
        <w:rPr>
          <w:rFonts w:ascii="Arial" w:hAnsi="Arial" w:cs="Arial"/>
          <w:lang w:val="en-GB"/>
        </w:rPr>
        <w:t xml:space="preserve"> </w:t>
      </w:r>
      <w:r w:rsidR="00926F55" w:rsidRPr="00FE1B56">
        <w:rPr>
          <w:rFonts w:ascii="Arial" w:hAnsi="Arial" w:cs="Arial"/>
          <w:lang w:val="en-GB"/>
        </w:rPr>
        <w:t xml:space="preserve">Exploitation </w:t>
      </w:r>
      <w:r w:rsidR="00CB5B95" w:rsidRPr="00FE1B56">
        <w:rPr>
          <w:rFonts w:ascii="Arial" w:hAnsi="Arial" w:cs="Arial"/>
          <w:lang w:val="en-GB"/>
        </w:rPr>
        <w:t>Abuse/Sexual Harassment (</w:t>
      </w:r>
      <w:r w:rsidRPr="00FE1B56">
        <w:rPr>
          <w:rFonts w:ascii="Arial" w:hAnsi="Arial" w:cs="Arial"/>
          <w:lang w:val="en-GB"/>
        </w:rPr>
        <w:t>SEA/SH</w:t>
      </w:r>
      <w:r w:rsidR="00CB5B95" w:rsidRPr="00FE1B56">
        <w:rPr>
          <w:rFonts w:ascii="Arial" w:hAnsi="Arial" w:cs="Arial"/>
          <w:lang w:val="en-GB"/>
        </w:rPr>
        <w:t>)</w:t>
      </w:r>
      <w:r w:rsidRPr="00FE1B56">
        <w:rPr>
          <w:rFonts w:ascii="Arial" w:hAnsi="Arial" w:cs="Arial"/>
          <w:lang w:val="en-GB"/>
        </w:rPr>
        <w:t xml:space="preserve"> related cases. When such a case is reported, the complainant shall be provided with information about the available services </w:t>
      </w:r>
      <w:r w:rsidR="007109D8" w:rsidRPr="00FE1B56">
        <w:rPr>
          <w:rFonts w:ascii="Arial" w:hAnsi="Arial" w:cs="Arial"/>
          <w:lang w:val="en-GB"/>
        </w:rPr>
        <w:t>including confidentially</w:t>
      </w:r>
      <w:r w:rsidRPr="00FE1B56">
        <w:rPr>
          <w:rFonts w:ascii="Arial" w:hAnsi="Arial" w:cs="Arial"/>
          <w:lang w:val="en-GB"/>
        </w:rPr>
        <w:t xml:space="preserve"> appropriate medical</w:t>
      </w:r>
      <w:r w:rsidR="003F51DC" w:rsidRPr="00FE1B56">
        <w:rPr>
          <w:rFonts w:ascii="Arial" w:hAnsi="Arial" w:cs="Arial"/>
          <w:lang w:val="en-GB"/>
        </w:rPr>
        <w:t>,</w:t>
      </w:r>
      <w:r w:rsidRPr="00FE1B56">
        <w:rPr>
          <w:rFonts w:ascii="Arial" w:hAnsi="Arial" w:cs="Arial"/>
          <w:lang w:val="en-GB"/>
        </w:rPr>
        <w:t xml:space="preserve"> psychological support, emergency accommodation, and any other necessary support services as appropriate including legal assistance. The Social Safeguard Specialist shall refer all SEA/SH survivors to relevant GBV service providers in the entire referral pathway. When a case of that nature is reported, the </w:t>
      </w:r>
      <w:r w:rsidR="0046340A" w:rsidRPr="00FE1B56">
        <w:rPr>
          <w:rFonts w:ascii="Arial" w:hAnsi="Arial" w:cs="Arial"/>
          <w:lang w:val="en-GB"/>
        </w:rPr>
        <w:t xml:space="preserve">Social </w:t>
      </w:r>
      <w:r w:rsidRPr="00FE1B56">
        <w:rPr>
          <w:rFonts w:ascii="Arial" w:hAnsi="Arial" w:cs="Arial"/>
          <w:lang w:val="en-GB"/>
        </w:rPr>
        <w:t>Safeguard Specialist will record the case with the following limited information: the nature of the incident, the age and sex of the complainant, and whether the survivor was referred to a service provider.</w:t>
      </w:r>
    </w:p>
    <w:p w14:paraId="0EF9ECA6" w14:textId="6BB63D09" w:rsidR="00C51FA4" w:rsidRPr="00FE1B56" w:rsidRDefault="00C51FA4" w:rsidP="00BD63AC">
      <w:pPr>
        <w:jc w:val="both"/>
        <w:rPr>
          <w:rFonts w:ascii="Arial" w:hAnsi="Arial" w:cs="Arial"/>
          <w:b/>
          <w:bCs/>
          <w:lang w:val="en-GB"/>
        </w:rPr>
      </w:pPr>
      <w:r w:rsidRPr="00FE1B56">
        <w:rPr>
          <w:rFonts w:ascii="Arial" w:hAnsi="Arial" w:cs="Arial"/>
          <w:lang w:val="en-GB"/>
        </w:rPr>
        <w:t xml:space="preserve">The ASCENT MPA grievance committee will review all cases referred to it to determine and agree upon a course of action for handling and resolving the case. The case will be </w:t>
      </w:r>
      <w:r w:rsidR="002B391E" w:rsidRPr="00FE1B56">
        <w:rPr>
          <w:rFonts w:ascii="Arial" w:hAnsi="Arial" w:cs="Arial"/>
          <w:lang w:val="en-GB"/>
        </w:rPr>
        <w:t>reviewed,</w:t>
      </w:r>
      <w:r w:rsidRPr="00FE1B56">
        <w:rPr>
          <w:rFonts w:ascii="Arial" w:hAnsi="Arial" w:cs="Arial"/>
          <w:lang w:val="en-GB"/>
        </w:rPr>
        <w:t xml:space="preserve"> and appropriate disciplinary action </w:t>
      </w:r>
      <w:r w:rsidR="0046340A" w:rsidRPr="00FE1B56">
        <w:rPr>
          <w:rFonts w:ascii="Arial" w:hAnsi="Arial" w:cs="Arial"/>
          <w:lang w:val="en-GB"/>
        </w:rPr>
        <w:t xml:space="preserve">may be </w:t>
      </w:r>
      <w:r w:rsidRPr="00FE1B56">
        <w:rPr>
          <w:rFonts w:ascii="Arial" w:hAnsi="Arial" w:cs="Arial"/>
          <w:lang w:val="en-GB"/>
        </w:rPr>
        <w:t xml:space="preserve">taken in accordance with the employer’s code of conduct and national legislation. Disciplinary actions may include </w:t>
      </w:r>
      <w:r w:rsidR="0046340A" w:rsidRPr="00FE1B56">
        <w:rPr>
          <w:rFonts w:ascii="Arial" w:hAnsi="Arial" w:cs="Arial"/>
          <w:lang w:val="en-GB"/>
        </w:rPr>
        <w:t xml:space="preserve">verbal </w:t>
      </w:r>
      <w:r w:rsidRPr="00FE1B56">
        <w:rPr>
          <w:rFonts w:ascii="Arial" w:hAnsi="Arial" w:cs="Arial"/>
          <w:lang w:val="en-GB"/>
        </w:rPr>
        <w:t xml:space="preserve">warning, </w:t>
      </w:r>
      <w:r w:rsidR="0046340A" w:rsidRPr="00FE1B56">
        <w:rPr>
          <w:rFonts w:ascii="Arial" w:hAnsi="Arial" w:cs="Arial"/>
          <w:lang w:val="en-GB"/>
        </w:rPr>
        <w:t xml:space="preserve">written </w:t>
      </w:r>
      <w:r w:rsidRPr="00FE1B56">
        <w:rPr>
          <w:rFonts w:ascii="Arial" w:hAnsi="Arial" w:cs="Arial"/>
          <w:lang w:val="en-GB"/>
        </w:rPr>
        <w:t>warning, loss of salary, suspension, or termination of employment. A survivor may continue to receive support from the appropriate GBV service providers while the case is being handled by the employer.</w:t>
      </w:r>
    </w:p>
    <w:p w14:paraId="0F67A8A0" w14:textId="11E1ADD9" w:rsidR="00156A80" w:rsidRPr="00FE1B56" w:rsidRDefault="00C51FA4" w:rsidP="00C51FA4">
      <w:pPr>
        <w:rPr>
          <w:rFonts w:ascii="Arial" w:hAnsi="Arial" w:cs="Arial"/>
          <w:lang w:val="en-GB"/>
        </w:rPr>
      </w:pPr>
      <w:r w:rsidRPr="00FE1B56">
        <w:rPr>
          <w:rFonts w:ascii="Arial" w:hAnsi="Arial" w:cs="Arial"/>
          <w:b/>
          <w:bCs/>
          <w:lang w:val="en-GB"/>
        </w:rPr>
        <w:t>9.</w:t>
      </w:r>
      <w:r w:rsidRPr="00FE1B56">
        <w:rPr>
          <w:rFonts w:ascii="Arial" w:hAnsi="Arial" w:cs="Arial"/>
          <w:b/>
          <w:bCs/>
          <w:lang w:val="en-GB"/>
        </w:rPr>
        <w:tab/>
        <w:t xml:space="preserve">World Bank </w:t>
      </w:r>
      <w:r w:rsidR="00550869" w:rsidRPr="00FE1B56">
        <w:rPr>
          <w:rFonts w:ascii="Arial" w:hAnsi="Arial" w:cs="Arial"/>
          <w:b/>
          <w:bCs/>
          <w:lang w:val="en-GB"/>
        </w:rPr>
        <w:t>Grievance Redress</w:t>
      </w:r>
      <w:r w:rsidRPr="00FE1B56">
        <w:rPr>
          <w:rFonts w:ascii="Arial" w:hAnsi="Arial" w:cs="Arial"/>
          <w:b/>
          <w:bCs/>
          <w:lang w:val="en-GB"/>
        </w:rPr>
        <w:t xml:space="preserve"> Service</w:t>
      </w:r>
      <w:r w:rsidRPr="00FE1B56">
        <w:rPr>
          <w:rFonts w:ascii="Arial" w:hAnsi="Arial" w:cs="Arial"/>
          <w:lang w:val="en-GB"/>
        </w:rPr>
        <w:tab/>
      </w:r>
    </w:p>
    <w:p w14:paraId="24F85F84" w14:textId="76A41286" w:rsidR="00C51FA4" w:rsidRPr="00FE1B56" w:rsidRDefault="00C51FA4" w:rsidP="00BD63AC">
      <w:pPr>
        <w:jc w:val="both"/>
        <w:rPr>
          <w:rFonts w:ascii="Arial" w:hAnsi="Arial" w:cs="Arial"/>
          <w:lang w:val="en-GB"/>
        </w:rPr>
      </w:pPr>
      <w:r w:rsidRPr="00FE1B56">
        <w:rPr>
          <w:rFonts w:ascii="Arial" w:hAnsi="Arial" w:cs="Arial"/>
          <w:lang w:val="en-GB"/>
        </w:rPr>
        <w:t xml:space="preserve">Communities and individuals who believe that they are adversely affected by a Project supported by the World Bank may submit complaints to existing Project-level grievance mechanisms, and other country/regional level grievance redress systems, or the Bank’s Grievance Redress Service (GRS). The GRS ensures that complaints received are promptly reviewed to address Project-related concerns. Project affected communities and individuals may submit their complaint to the Bank’s independent Accountability Mechanism (AM). The AM houses the Inspection Panel, which determines whether harm occurred, or could occur, because of Bank non-compliance with its policies and procedures, and the Dispute Resolution Service, which provides communities and borrowers with the opportunity to address complaints through dispute resolution. Complaints may be submitted to the AM at any time after concerns have been brought directly to the attention of Bank Management and after Management has been given an opportunity to respond. For information on how to submit complaints to the Bank’s Grievance Redress Service (GRS), visit </w:t>
      </w:r>
      <w:hyperlink r:id="rId11" w:history="1">
        <w:r w:rsidR="00F81C1C" w:rsidRPr="00FE1B56">
          <w:rPr>
            <w:rStyle w:val="Hyperlink"/>
            <w:rFonts w:ascii="Arial" w:hAnsi="Arial" w:cs="Arial"/>
          </w:rPr>
          <w:t>http://www.worldbank.org/GRS</w:t>
        </w:r>
      </w:hyperlink>
      <w:r w:rsidRPr="00FE1B56">
        <w:rPr>
          <w:rFonts w:ascii="Arial" w:hAnsi="Arial" w:cs="Arial"/>
          <w:lang w:val="en-GB"/>
        </w:rPr>
        <w:t>.</w:t>
      </w:r>
    </w:p>
    <w:p w14:paraId="1A4D9AEA" w14:textId="77777777" w:rsidR="007B30D2" w:rsidRPr="00FE1B56" w:rsidRDefault="00C51FA4" w:rsidP="0046340A">
      <w:pPr>
        <w:jc w:val="both"/>
        <w:rPr>
          <w:rFonts w:ascii="Arial" w:hAnsi="Arial" w:cs="Arial"/>
        </w:rPr>
      </w:pPr>
      <w:r w:rsidRPr="00FE1B56">
        <w:rPr>
          <w:rFonts w:ascii="Arial" w:hAnsi="Arial" w:cs="Arial"/>
          <w:lang w:val="en-GB"/>
        </w:rPr>
        <w:t xml:space="preserve">For information on how to submit complaints to the Bank’s Accountability Mechanism, visit </w:t>
      </w:r>
      <w:hyperlink r:id="rId12" w:history="1">
        <w:r w:rsidR="007B30D2" w:rsidRPr="00FE1B56">
          <w:rPr>
            <w:rStyle w:val="Hyperlink"/>
            <w:rFonts w:ascii="Arial" w:hAnsi="Arial" w:cs="Arial"/>
          </w:rPr>
          <w:t>https://accountability.worldbank.org</w:t>
        </w:r>
      </w:hyperlink>
      <w:r w:rsidR="007B30D2" w:rsidRPr="00FE1B56">
        <w:rPr>
          <w:rStyle w:val="Hyperlink"/>
          <w:rFonts w:ascii="Arial" w:hAnsi="Arial" w:cs="Arial"/>
        </w:rPr>
        <w:t xml:space="preserve"> </w:t>
      </w:r>
      <w:r w:rsidR="007B30D2" w:rsidRPr="00FE1B56">
        <w:rPr>
          <w:rFonts w:ascii="Arial" w:hAnsi="Arial" w:cs="Arial"/>
        </w:rPr>
        <w:t>.</w:t>
      </w:r>
    </w:p>
    <w:p w14:paraId="6775222B" w14:textId="3AAE39DD" w:rsidR="00C51FA4" w:rsidRPr="00FE1B56" w:rsidRDefault="00C51FA4" w:rsidP="00C51FA4">
      <w:pPr>
        <w:rPr>
          <w:rFonts w:ascii="Arial" w:hAnsi="Arial" w:cs="Arial"/>
          <w:lang w:val="en-GB"/>
        </w:rPr>
      </w:pPr>
    </w:p>
    <w:p w14:paraId="12565243" w14:textId="77777777" w:rsidR="00071B44" w:rsidRPr="00FE1B56" w:rsidRDefault="00071B44">
      <w:pPr>
        <w:rPr>
          <w:rFonts w:ascii="Arial" w:hAnsi="Arial" w:cs="Arial"/>
        </w:rPr>
      </w:pPr>
    </w:p>
    <w:sectPr w:rsidR="00071B44" w:rsidRPr="00FE1B56" w:rsidSect="00983DA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374A" w14:textId="77777777" w:rsidR="00FE17BA" w:rsidRDefault="00FE17BA" w:rsidP="00CA201E">
      <w:pPr>
        <w:spacing w:after="0" w:line="240" w:lineRule="auto"/>
      </w:pPr>
      <w:r>
        <w:separator/>
      </w:r>
    </w:p>
  </w:endnote>
  <w:endnote w:type="continuationSeparator" w:id="0">
    <w:p w14:paraId="23D892DC" w14:textId="77777777" w:rsidR="00FE17BA" w:rsidRDefault="00FE17BA" w:rsidP="00CA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C5C5" w14:textId="59220542" w:rsidR="00253FA3" w:rsidRDefault="00253FA3">
    <w:pPr>
      <w:pStyle w:val="Footer"/>
      <w:jc w:val="center"/>
    </w:pPr>
  </w:p>
  <w:p w14:paraId="2248EFB9" w14:textId="77777777" w:rsidR="00253FA3" w:rsidRDefault="00253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638370"/>
      <w:docPartObj>
        <w:docPartGallery w:val="Page Numbers (Bottom of Page)"/>
        <w:docPartUnique/>
      </w:docPartObj>
    </w:sdtPr>
    <w:sdtEndPr/>
    <w:sdtContent>
      <w:sdt>
        <w:sdtPr>
          <w:id w:val="1728636285"/>
          <w:docPartObj>
            <w:docPartGallery w:val="Page Numbers (Top of Page)"/>
            <w:docPartUnique/>
          </w:docPartObj>
        </w:sdtPr>
        <w:sdtEndPr/>
        <w:sdtContent>
          <w:p w14:paraId="5E4B0705" w14:textId="40830575" w:rsidR="00983DA2" w:rsidRDefault="00983D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095748">
              <w:rPr>
                <w:b/>
                <w:bCs/>
                <w:sz w:val="24"/>
                <w:szCs w:val="24"/>
              </w:rPr>
              <w:t>4</w:t>
            </w:r>
          </w:p>
        </w:sdtContent>
      </w:sdt>
    </w:sdtContent>
  </w:sdt>
  <w:p w14:paraId="20A9C384" w14:textId="77777777" w:rsidR="00253FA3" w:rsidRDefault="00253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425F7" w14:textId="77777777" w:rsidR="00FE17BA" w:rsidRDefault="00FE17BA" w:rsidP="00CA201E">
      <w:pPr>
        <w:spacing w:after="0" w:line="240" w:lineRule="auto"/>
      </w:pPr>
      <w:r>
        <w:separator/>
      </w:r>
    </w:p>
  </w:footnote>
  <w:footnote w:type="continuationSeparator" w:id="0">
    <w:p w14:paraId="121846E7" w14:textId="77777777" w:rsidR="00FE17BA" w:rsidRDefault="00FE17BA" w:rsidP="00CA2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456"/>
    <w:multiLevelType w:val="hybridMultilevel"/>
    <w:tmpl w:val="B5448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C4687"/>
    <w:multiLevelType w:val="hybridMultilevel"/>
    <w:tmpl w:val="CC5EDBF8"/>
    <w:lvl w:ilvl="0" w:tplc="D384F01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6E70E1"/>
    <w:multiLevelType w:val="hybridMultilevel"/>
    <w:tmpl w:val="C6F42222"/>
    <w:lvl w:ilvl="0" w:tplc="EA0C81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7E3347"/>
    <w:multiLevelType w:val="hybridMultilevel"/>
    <w:tmpl w:val="E7C2885C"/>
    <w:lvl w:ilvl="0" w:tplc="D384F01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C92703"/>
    <w:multiLevelType w:val="hybridMultilevel"/>
    <w:tmpl w:val="5FEEB55A"/>
    <w:lvl w:ilvl="0" w:tplc="D8B08F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1F5A1D"/>
    <w:multiLevelType w:val="hybridMultilevel"/>
    <w:tmpl w:val="CDC455C8"/>
    <w:lvl w:ilvl="0" w:tplc="D384F014">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2F644950"/>
    <w:multiLevelType w:val="hybridMultilevel"/>
    <w:tmpl w:val="E29CF6CE"/>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1456120"/>
    <w:multiLevelType w:val="hybridMultilevel"/>
    <w:tmpl w:val="8B4C7D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596755"/>
    <w:multiLevelType w:val="hybridMultilevel"/>
    <w:tmpl w:val="81A64BBC"/>
    <w:lvl w:ilvl="0" w:tplc="4210C41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427422A0"/>
    <w:multiLevelType w:val="hybridMultilevel"/>
    <w:tmpl w:val="1D3CF4FE"/>
    <w:lvl w:ilvl="0" w:tplc="D384F014">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49981DD2"/>
    <w:multiLevelType w:val="hybridMultilevel"/>
    <w:tmpl w:val="02D85A18"/>
    <w:lvl w:ilvl="0" w:tplc="B7002814">
      <w:start w:val="1"/>
      <w:numFmt w:val="lowerLetter"/>
      <w:lvlText w:val="(%1)"/>
      <w:lvlJc w:val="left"/>
      <w:pPr>
        <w:ind w:left="1080" w:hanging="360"/>
      </w:pPr>
      <w:rPr>
        <w:rFonts w:ascii="Arial" w:eastAsia="Times New Roman" w:hAnsi="Arial" w:cs="Arial" w:hint="default"/>
        <w:w w:val="100"/>
        <w:sz w:val="22"/>
        <w:szCs w:val="22"/>
        <w:lang w:val="en-US" w:eastAsia="en-US" w:bidi="ar-SA"/>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4E84675C"/>
    <w:multiLevelType w:val="hybridMultilevel"/>
    <w:tmpl w:val="77C43254"/>
    <w:lvl w:ilvl="0" w:tplc="05EEE7A6">
      <w:start w:val="1"/>
      <w:numFmt w:val="lowerLetter"/>
      <w:lvlText w:val="(%1)"/>
      <w:lvlJc w:val="left"/>
      <w:pPr>
        <w:ind w:left="1080" w:hanging="360"/>
      </w:pPr>
      <w:rPr>
        <w:rFonts w:ascii="Arial" w:eastAsia="Times New Roman" w:hAnsi="Arial" w:cs="Arial" w:hint="default"/>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4EA5AC0"/>
    <w:multiLevelType w:val="hybridMultilevel"/>
    <w:tmpl w:val="7BD661DE"/>
    <w:lvl w:ilvl="0" w:tplc="D384F01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639087E"/>
    <w:multiLevelType w:val="hybridMultilevel"/>
    <w:tmpl w:val="10D6218C"/>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3AC0121"/>
    <w:multiLevelType w:val="hybridMultilevel"/>
    <w:tmpl w:val="B382019A"/>
    <w:lvl w:ilvl="0" w:tplc="9C66715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07945849">
    <w:abstractNumId w:val="0"/>
  </w:num>
  <w:num w:numId="2" w16cid:durableId="1510170287">
    <w:abstractNumId w:val="6"/>
  </w:num>
  <w:num w:numId="3" w16cid:durableId="319701744">
    <w:abstractNumId w:val="9"/>
  </w:num>
  <w:num w:numId="4" w16cid:durableId="1775906619">
    <w:abstractNumId w:val="5"/>
  </w:num>
  <w:num w:numId="5" w16cid:durableId="998925333">
    <w:abstractNumId w:val="14"/>
  </w:num>
  <w:num w:numId="6" w16cid:durableId="1911887956">
    <w:abstractNumId w:val="1"/>
  </w:num>
  <w:num w:numId="7" w16cid:durableId="1610821546">
    <w:abstractNumId w:val="12"/>
  </w:num>
  <w:num w:numId="8" w16cid:durableId="374232856">
    <w:abstractNumId w:val="3"/>
  </w:num>
  <w:num w:numId="9" w16cid:durableId="1015499573">
    <w:abstractNumId w:val="2"/>
  </w:num>
  <w:num w:numId="10" w16cid:durableId="2098742238">
    <w:abstractNumId w:val="13"/>
  </w:num>
  <w:num w:numId="11" w16cid:durableId="1459101926">
    <w:abstractNumId w:val="10"/>
  </w:num>
  <w:num w:numId="12" w16cid:durableId="1715538778">
    <w:abstractNumId w:val="8"/>
  </w:num>
  <w:num w:numId="13" w16cid:durableId="1066342654">
    <w:abstractNumId w:val="4"/>
  </w:num>
  <w:num w:numId="14" w16cid:durableId="460271589">
    <w:abstractNumId w:val="7"/>
  </w:num>
  <w:num w:numId="15" w16cid:durableId="1967201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84"/>
    <w:rsid w:val="000018F7"/>
    <w:rsid w:val="0000633A"/>
    <w:rsid w:val="00014251"/>
    <w:rsid w:val="00031918"/>
    <w:rsid w:val="00035152"/>
    <w:rsid w:val="00041CA9"/>
    <w:rsid w:val="00042A9A"/>
    <w:rsid w:val="00051439"/>
    <w:rsid w:val="00052649"/>
    <w:rsid w:val="00054D86"/>
    <w:rsid w:val="0005781B"/>
    <w:rsid w:val="00057D0E"/>
    <w:rsid w:val="00062D86"/>
    <w:rsid w:val="0006548C"/>
    <w:rsid w:val="000661FF"/>
    <w:rsid w:val="00066A39"/>
    <w:rsid w:val="00071B44"/>
    <w:rsid w:val="000721B0"/>
    <w:rsid w:val="000769CC"/>
    <w:rsid w:val="00080215"/>
    <w:rsid w:val="00083554"/>
    <w:rsid w:val="000906C4"/>
    <w:rsid w:val="00094D61"/>
    <w:rsid w:val="00095748"/>
    <w:rsid w:val="00095ECA"/>
    <w:rsid w:val="00096584"/>
    <w:rsid w:val="000B358A"/>
    <w:rsid w:val="000B7E84"/>
    <w:rsid w:val="000C1D78"/>
    <w:rsid w:val="000C367F"/>
    <w:rsid w:val="000C46AC"/>
    <w:rsid w:val="000C4918"/>
    <w:rsid w:val="000D22EB"/>
    <w:rsid w:val="000E78D7"/>
    <w:rsid w:val="000F195D"/>
    <w:rsid w:val="000F1EEB"/>
    <w:rsid w:val="000F26F0"/>
    <w:rsid w:val="000F29E6"/>
    <w:rsid w:val="000F7B23"/>
    <w:rsid w:val="00103BD7"/>
    <w:rsid w:val="001247AE"/>
    <w:rsid w:val="0012624B"/>
    <w:rsid w:val="0014263D"/>
    <w:rsid w:val="00150879"/>
    <w:rsid w:val="00156A80"/>
    <w:rsid w:val="0016055E"/>
    <w:rsid w:val="00174B8D"/>
    <w:rsid w:val="00181D14"/>
    <w:rsid w:val="0018307E"/>
    <w:rsid w:val="0018558F"/>
    <w:rsid w:val="00190BD5"/>
    <w:rsid w:val="00195CB7"/>
    <w:rsid w:val="00195D22"/>
    <w:rsid w:val="001A0457"/>
    <w:rsid w:val="001A4E26"/>
    <w:rsid w:val="001B20BB"/>
    <w:rsid w:val="001D107D"/>
    <w:rsid w:val="001D34DB"/>
    <w:rsid w:val="001D3EAE"/>
    <w:rsid w:val="001E3548"/>
    <w:rsid w:val="001E3C33"/>
    <w:rsid w:val="00204195"/>
    <w:rsid w:val="00211D42"/>
    <w:rsid w:val="002142D4"/>
    <w:rsid w:val="00216BD5"/>
    <w:rsid w:val="002205F9"/>
    <w:rsid w:val="0022258F"/>
    <w:rsid w:val="002275FC"/>
    <w:rsid w:val="00253FA3"/>
    <w:rsid w:val="002543CD"/>
    <w:rsid w:val="002577AE"/>
    <w:rsid w:val="00260BBE"/>
    <w:rsid w:val="002675C4"/>
    <w:rsid w:val="0027185B"/>
    <w:rsid w:val="002749C8"/>
    <w:rsid w:val="00274C9D"/>
    <w:rsid w:val="0028594B"/>
    <w:rsid w:val="002A379B"/>
    <w:rsid w:val="002A5460"/>
    <w:rsid w:val="002B0176"/>
    <w:rsid w:val="002B391E"/>
    <w:rsid w:val="002C0FCD"/>
    <w:rsid w:val="002D2C96"/>
    <w:rsid w:val="002E4933"/>
    <w:rsid w:val="002E7B1F"/>
    <w:rsid w:val="002F0319"/>
    <w:rsid w:val="002F5321"/>
    <w:rsid w:val="002F6C69"/>
    <w:rsid w:val="00301B7B"/>
    <w:rsid w:val="00303482"/>
    <w:rsid w:val="00312228"/>
    <w:rsid w:val="003362DB"/>
    <w:rsid w:val="00337796"/>
    <w:rsid w:val="00364B14"/>
    <w:rsid w:val="00364C86"/>
    <w:rsid w:val="00365AD6"/>
    <w:rsid w:val="00371D56"/>
    <w:rsid w:val="00377CFB"/>
    <w:rsid w:val="003821AE"/>
    <w:rsid w:val="00385D5B"/>
    <w:rsid w:val="003B3190"/>
    <w:rsid w:val="003B787B"/>
    <w:rsid w:val="003C0E45"/>
    <w:rsid w:val="003C20B3"/>
    <w:rsid w:val="003C5706"/>
    <w:rsid w:val="003D1E67"/>
    <w:rsid w:val="003F0E40"/>
    <w:rsid w:val="003F22AE"/>
    <w:rsid w:val="003F4296"/>
    <w:rsid w:val="003F51DC"/>
    <w:rsid w:val="00416FAA"/>
    <w:rsid w:val="00420B82"/>
    <w:rsid w:val="00421A84"/>
    <w:rsid w:val="00433409"/>
    <w:rsid w:val="00446303"/>
    <w:rsid w:val="004469B8"/>
    <w:rsid w:val="004509D1"/>
    <w:rsid w:val="0046340A"/>
    <w:rsid w:val="00477D22"/>
    <w:rsid w:val="00482E6F"/>
    <w:rsid w:val="00485971"/>
    <w:rsid w:val="0049490C"/>
    <w:rsid w:val="00495E1F"/>
    <w:rsid w:val="004B1383"/>
    <w:rsid w:val="004B7E3C"/>
    <w:rsid w:val="004C0B49"/>
    <w:rsid w:val="004D214B"/>
    <w:rsid w:val="004D6933"/>
    <w:rsid w:val="004E2A70"/>
    <w:rsid w:val="004F52C4"/>
    <w:rsid w:val="005000BF"/>
    <w:rsid w:val="005052B3"/>
    <w:rsid w:val="005063C4"/>
    <w:rsid w:val="005151FC"/>
    <w:rsid w:val="00516D4E"/>
    <w:rsid w:val="00517645"/>
    <w:rsid w:val="00524A7F"/>
    <w:rsid w:val="0052652A"/>
    <w:rsid w:val="00527960"/>
    <w:rsid w:val="00544263"/>
    <w:rsid w:val="00550869"/>
    <w:rsid w:val="005767E2"/>
    <w:rsid w:val="0057784F"/>
    <w:rsid w:val="00577AE6"/>
    <w:rsid w:val="00577DCF"/>
    <w:rsid w:val="0058278E"/>
    <w:rsid w:val="005866F5"/>
    <w:rsid w:val="00590E72"/>
    <w:rsid w:val="005A6E59"/>
    <w:rsid w:val="005B69AC"/>
    <w:rsid w:val="005B6B24"/>
    <w:rsid w:val="005B70E4"/>
    <w:rsid w:val="005C3236"/>
    <w:rsid w:val="005C639F"/>
    <w:rsid w:val="005D20AD"/>
    <w:rsid w:val="005F04EA"/>
    <w:rsid w:val="00603FBE"/>
    <w:rsid w:val="00610418"/>
    <w:rsid w:val="00610F0F"/>
    <w:rsid w:val="00637FD0"/>
    <w:rsid w:val="00660F91"/>
    <w:rsid w:val="006622EB"/>
    <w:rsid w:val="00672D8E"/>
    <w:rsid w:val="00676B26"/>
    <w:rsid w:val="00694D61"/>
    <w:rsid w:val="00696399"/>
    <w:rsid w:val="0069648E"/>
    <w:rsid w:val="006C33AA"/>
    <w:rsid w:val="006C5AC8"/>
    <w:rsid w:val="006D6E90"/>
    <w:rsid w:val="006E071D"/>
    <w:rsid w:val="006E2234"/>
    <w:rsid w:val="006E326B"/>
    <w:rsid w:val="006F55C3"/>
    <w:rsid w:val="00706E85"/>
    <w:rsid w:val="007109D8"/>
    <w:rsid w:val="007267D9"/>
    <w:rsid w:val="007339A1"/>
    <w:rsid w:val="00740547"/>
    <w:rsid w:val="007538D8"/>
    <w:rsid w:val="00753F4F"/>
    <w:rsid w:val="00756DB8"/>
    <w:rsid w:val="00763DFB"/>
    <w:rsid w:val="00765378"/>
    <w:rsid w:val="007659AB"/>
    <w:rsid w:val="007666DF"/>
    <w:rsid w:val="0076775D"/>
    <w:rsid w:val="00793729"/>
    <w:rsid w:val="007A11DD"/>
    <w:rsid w:val="007B30D2"/>
    <w:rsid w:val="007B4CEF"/>
    <w:rsid w:val="007E0DE0"/>
    <w:rsid w:val="007E2BAA"/>
    <w:rsid w:val="007E761C"/>
    <w:rsid w:val="00807D65"/>
    <w:rsid w:val="00812458"/>
    <w:rsid w:val="00815112"/>
    <w:rsid w:val="00816B40"/>
    <w:rsid w:val="00820D6D"/>
    <w:rsid w:val="00836652"/>
    <w:rsid w:val="00841542"/>
    <w:rsid w:val="008455DB"/>
    <w:rsid w:val="00852E35"/>
    <w:rsid w:val="00864CF9"/>
    <w:rsid w:val="008848F1"/>
    <w:rsid w:val="008917D1"/>
    <w:rsid w:val="00892303"/>
    <w:rsid w:val="008C03CB"/>
    <w:rsid w:val="008C3A2A"/>
    <w:rsid w:val="008D0D3D"/>
    <w:rsid w:val="008D523F"/>
    <w:rsid w:val="008D62ED"/>
    <w:rsid w:val="008F072A"/>
    <w:rsid w:val="008F0A23"/>
    <w:rsid w:val="0090018A"/>
    <w:rsid w:val="00914160"/>
    <w:rsid w:val="00915C3A"/>
    <w:rsid w:val="00915CFF"/>
    <w:rsid w:val="00915D9F"/>
    <w:rsid w:val="009208CB"/>
    <w:rsid w:val="00926F55"/>
    <w:rsid w:val="00930517"/>
    <w:rsid w:val="009372A9"/>
    <w:rsid w:val="0096033C"/>
    <w:rsid w:val="00977A81"/>
    <w:rsid w:val="00980BB2"/>
    <w:rsid w:val="00983BBB"/>
    <w:rsid w:val="00983DA2"/>
    <w:rsid w:val="009846A2"/>
    <w:rsid w:val="009A40D8"/>
    <w:rsid w:val="009B1AD1"/>
    <w:rsid w:val="009B20BA"/>
    <w:rsid w:val="009C12B9"/>
    <w:rsid w:val="009D13D9"/>
    <w:rsid w:val="009D7B2D"/>
    <w:rsid w:val="009E3BC9"/>
    <w:rsid w:val="009F177E"/>
    <w:rsid w:val="009F5460"/>
    <w:rsid w:val="009F76EB"/>
    <w:rsid w:val="00A04348"/>
    <w:rsid w:val="00A13241"/>
    <w:rsid w:val="00A3286B"/>
    <w:rsid w:val="00A36F72"/>
    <w:rsid w:val="00A64F35"/>
    <w:rsid w:val="00A6532F"/>
    <w:rsid w:val="00A6768F"/>
    <w:rsid w:val="00A702DA"/>
    <w:rsid w:val="00A830C3"/>
    <w:rsid w:val="00A842AC"/>
    <w:rsid w:val="00A86419"/>
    <w:rsid w:val="00A96826"/>
    <w:rsid w:val="00AA438B"/>
    <w:rsid w:val="00AA4EB6"/>
    <w:rsid w:val="00AA50C4"/>
    <w:rsid w:val="00AA69C3"/>
    <w:rsid w:val="00AB5B61"/>
    <w:rsid w:val="00AE2083"/>
    <w:rsid w:val="00B00FD2"/>
    <w:rsid w:val="00B10FF5"/>
    <w:rsid w:val="00B21DB2"/>
    <w:rsid w:val="00B328CE"/>
    <w:rsid w:val="00B354F6"/>
    <w:rsid w:val="00B41D30"/>
    <w:rsid w:val="00B44E8F"/>
    <w:rsid w:val="00B45023"/>
    <w:rsid w:val="00B5571A"/>
    <w:rsid w:val="00B7262A"/>
    <w:rsid w:val="00B7318E"/>
    <w:rsid w:val="00B80F7F"/>
    <w:rsid w:val="00B84339"/>
    <w:rsid w:val="00B844AB"/>
    <w:rsid w:val="00B84AC1"/>
    <w:rsid w:val="00B85F0C"/>
    <w:rsid w:val="00B87DEF"/>
    <w:rsid w:val="00B906CE"/>
    <w:rsid w:val="00B948B6"/>
    <w:rsid w:val="00B977E8"/>
    <w:rsid w:val="00BB172A"/>
    <w:rsid w:val="00BB2308"/>
    <w:rsid w:val="00BC76F2"/>
    <w:rsid w:val="00BC7AF9"/>
    <w:rsid w:val="00BD63AC"/>
    <w:rsid w:val="00BD6960"/>
    <w:rsid w:val="00C0361E"/>
    <w:rsid w:val="00C13D40"/>
    <w:rsid w:val="00C14C89"/>
    <w:rsid w:val="00C21DAA"/>
    <w:rsid w:val="00C31902"/>
    <w:rsid w:val="00C461D6"/>
    <w:rsid w:val="00C51FA4"/>
    <w:rsid w:val="00C5602E"/>
    <w:rsid w:val="00C61F1C"/>
    <w:rsid w:val="00C671F7"/>
    <w:rsid w:val="00C760D4"/>
    <w:rsid w:val="00C80F2D"/>
    <w:rsid w:val="00C85479"/>
    <w:rsid w:val="00CA0FA3"/>
    <w:rsid w:val="00CA201E"/>
    <w:rsid w:val="00CB5B95"/>
    <w:rsid w:val="00CE0484"/>
    <w:rsid w:val="00CE1477"/>
    <w:rsid w:val="00CE54AB"/>
    <w:rsid w:val="00D04F2C"/>
    <w:rsid w:val="00D0529A"/>
    <w:rsid w:val="00D141DF"/>
    <w:rsid w:val="00D16A56"/>
    <w:rsid w:val="00D273B3"/>
    <w:rsid w:val="00D3470A"/>
    <w:rsid w:val="00D3630F"/>
    <w:rsid w:val="00D36398"/>
    <w:rsid w:val="00D41C73"/>
    <w:rsid w:val="00D51308"/>
    <w:rsid w:val="00D83FB9"/>
    <w:rsid w:val="00D847C7"/>
    <w:rsid w:val="00D86F23"/>
    <w:rsid w:val="00D97381"/>
    <w:rsid w:val="00DD4BA1"/>
    <w:rsid w:val="00DD74D2"/>
    <w:rsid w:val="00DF2F79"/>
    <w:rsid w:val="00DF6068"/>
    <w:rsid w:val="00E12CE0"/>
    <w:rsid w:val="00E22E4E"/>
    <w:rsid w:val="00E27420"/>
    <w:rsid w:val="00E30BBF"/>
    <w:rsid w:val="00E526A2"/>
    <w:rsid w:val="00E53427"/>
    <w:rsid w:val="00E748D9"/>
    <w:rsid w:val="00E9782A"/>
    <w:rsid w:val="00EB4279"/>
    <w:rsid w:val="00EC2257"/>
    <w:rsid w:val="00EC7E07"/>
    <w:rsid w:val="00EE519F"/>
    <w:rsid w:val="00EE59FC"/>
    <w:rsid w:val="00EF00C7"/>
    <w:rsid w:val="00EF4687"/>
    <w:rsid w:val="00F00268"/>
    <w:rsid w:val="00F16B45"/>
    <w:rsid w:val="00F17ED0"/>
    <w:rsid w:val="00F21AA6"/>
    <w:rsid w:val="00F340E1"/>
    <w:rsid w:val="00F3509B"/>
    <w:rsid w:val="00F461AC"/>
    <w:rsid w:val="00F46312"/>
    <w:rsid w:val="00F56A93"/>
    <w:rsid w:val="00F6093B"/>
    <w:rsid w:val="00F70A8F"/>
    <w:rsid w:val="00F71251"/>
    <w:rsid w:val="00F81C1C"/>
    <w:rsid w:val="00FB674E"/>
    <w:rsid w:val="00FC08CB"/>
    <w:rsid w:val="00FC5C1C"/>
    <w:rsid w:val="00FE17BA"/>
    <w:rsid w:val="00FE1B56"/>
    <w:rsid w:val="00FE5726"/>
    <w:rsid w:val="00FF4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A920C"/>
  <w15:chartTrackingRefBased/>
  <w15:docId w15:val="{2CEB60A7-153C-4BA3-9A82-DD376225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3236"/>
    <w:rPr>
      <w:sz w:val="16"/>
      <w:szCs w:val="16"/>
    </w:rPr>
  </w:style>
  <w:style w:type="paragraph" w:styleId="CommentText">
    <w:name w:val="annotation text"/>
    <w:basedOn w:val="Normal"/>
    <w:link w:val="CommentTextChar"/>
    <w:uiPriority w:val="99"/>
    <w:unhideWhenUsed/>
    <w:rsid w:val="005C3236"/>
    <w:pPr>
      <w:spacing w:line="240" w:lineRule="auto"/>
    </w:pPr>
    <w:rPr>
      <w:sz w:val="20"/>
      <w:szCs w:val="20"/>
    </w:rPr>
  </w:style>
  <w:style w:type="character" w:customStyle="1" w:styleId="CommentTextChar">
    <w:name w:val="Comment Text Char"/>
    <w:basedOn w:val="DefaultParagraphFont"/>
    <w:link w:val="CommentText"/>
    <w:uiPriority w:val="99"/>
    <w:rsid w:val="005C3236"/>
    <w:rPr>
      <w:sz w:val="20"/>
      <w:szCs w:val="20"/>
    </w:rPr>
  </w:style>
  <w:style w:type="paragraph" w:styleId="CommentSubject">
    <w:name w:val="annotation subject"/>
    <w:basedOn w:val="CommentText"/>
    <w:next w:val="CommentText"/>
    <w:link w:val="CommentSubjectChar"/>
    <w:uiPriority w:val="99"/>
    <w:semiHidden/>
    <w:unhideWhenUsed/>
    <w:rsid w:val="005C3236"/>
    <w:rPr>
      <w:b/>
      <w:bCs/>
    </w:rPr>
  </w:style>
  <w:style w:type="character" w:customStyle="1" w:styleId="CommentSubjectChar">
    <w:name w:val="Comment Subject Char"/>
    <w:basedOn w:val="CommentTextChar"/>
    <w:link w:val="CommentSubject"/>
    <w:uiPriority w:val="99"/>
    <w:semiHidden/>
    <w:rsid w:val="005C3236"/>
    <w:rPr>
      <w:b/>
      <w:bCs/>
      <w:sz w:val="20"/>
      <w:szCs w:val="20"/>
    </w:rPr>
  </w:style>
  <w:style w:type="character" w:styleId="Hyperlink">
    <w:name w:val="Hyperlink"/>
    <w:basedOn w:val="DefaultParagraphFont"/>
    <w:uiPriority w:val="99"/>
    <w:unhideWhenUsed/>
    <w:rsid w:val="00740547"/>
    <w:rPr>
      <w:color w:val="0563C1" w:themeColor="hyperlink"/>
      <w:u w:val="single"/>
    </w:rPr>
  </w:style>
  <w:style w:type="character" w:styleId="UnresolvedMention">
    <w:name w:val="Unresolved Mention"/>
    <w:basedOn w:val="DefaultParagraphFont"/>
    <w:uiPriority w:val="99"/>
    <w:semiHidden/>
    <w:unhideWhenUsed/>
    <w:rsid w:val="00740547"/>
    <w:rPr>
      <w:color w:val="605E5C"/>
      <w:shd w:val="clear" w:color="auto" w:fill="E1DFDD"/>
    </w:rPr>
  </w:style>
  <w:style w:type="table" w:styleId="TableGrid">
    <w:name w:val="Table Grid"/>
    <w:basedOn w:val="TableNormal"/>
    <w:uiPriority w:val="39"/>
    <w:rsid w:val="0076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201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A201E"/>
    <w:rPr>
      <w:rFonts w:ascii="Times New Roman" w:eastAsia="Times New Roman" w:hAnsi="Times New Roman" w:cs="Times New Roman"/>
      <w:sz w:val="20"/>
      <w:szCs w:val="20"/>
      <w:lang w:val="en-US"/>
    </w:rPr>
  </w:style>
  <w:style w:type="character" w:styleId="FootnoteReference">
    <w:name w:val="footnote reference"/>
    <w:aliases w:val="16 Point,Superscript 6 Point,ftref,Footnote Reference Number,Footnote Reference_LVL6,Footnote Reference_LVL61,Footnote Reference_LVL62,Footnote Reference_LVL63,Footnote Reference_LVL64,Знак сноски-FN,referencia nota al pie,Ref,SUPERS"/>
    <w:basedOn w:val="DefaultParagraphFont"/>
    <w:link w:val="BVIfnrChar"/>
    <w:uiPriority w:val="99"/>
    <w:unhideWhenUsed/>
    <w:qFormat/>
    <w:rsid w:val="00CA201E"/>
    <w:rPr>
      <w:vertAlign w:val="superscript"/>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CA201E"/>
    <w:pPr>
      <w:spacing w:line="240" w:lineRule="exact"/>
    </w:pPr>
    <w:rPr>
      <w:vertAlign w:val="superscript"/>
    </w:rPr>
  </w:style>
  <w:style w:type="paragraph" w:styleId="Revision">
    <w:name w:val="Revision"/>
    <w:hidden/>
    <w:uiPriority w:val="99"/>
    <w:semiHidden/>
    <w:rsid w:val="00174B8D"/>
    <w:pPr>
      <w:spacing w:after="0" w:line="240" w:lineRule="auto"/>
    </w:pPr>
  </w:style>
  <w:style w:type="paragraph" w:styleId="ListParagraph">
    <w:name w:val="List Paragraph"/>
    <w:basedOn w:val="Normal"/>
    <w:uiPriority w:val="34"/>
    <w:qFormat/>
    <w:rsid w:val="00031918"/>
    <w:pPr>
      <w:ind w:left="720"/>
      <w:contextualSpacing/>
    </w:pPr>
  </w:style>
  <w:style w:type="character" w:customStyle="1" w:styleId="cf01">
    <w:name w:val="cf01"/>
    <w:basedOn w:val="DefaultParagraphFont"/>
    <w:rsid w:val="001A4E26"/>
    <w:rPr>
      <w:rFonts w:ascii="Segoe UI" w:hAnsi="Segoe UI" w:cs="Segoe UI" w:hint="default"/>
      <w:sz w:val="18"/>
      <w:szCs w:val="18"/>
    </w:rPr>
  </w:style>
  <w:style w:type="paragraph" w:styleId="Header">
    <w:name w:val="header"/>
    <w:basedOn w:val="Normal"/>
    <w:link w:val="HeaderChar"/>
    <w:uiPriority w:val="99"/>
    <w:unhideWhenUsed/>
    <w:rsid w:val="00816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B40"/>
  </w:style>
  <w:style w:type="paragraph" w:styleId="Footer">
    <w:name w:val="footer"/>
    <w:basedOn w:val="Normal"/>
    <w:link w:val="FooterChar"/>
    <w:uiPriority w:val="99"/>
    <w:unhideWhenUsed/>
    <w:rsid w:val="00816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14103">
      <w:bodyDiv w:val="1"/>
      <w:marLeft w:val="0"/>
      <w:marRight w:val="0"/>
      <w:marTop w:val="0"/>
      <w:marBottom w:val="0"/>
      <w:divBdr>
        <w:top w:val="none" w:sz="0" w:space="0" w:color="auto"/>
        <w:left w:val="none" w:sz="0" w:space="0" w:color="auto"/>
        <w:bottom w:val="none" w:sz="0" w:space="0" w:color="auto"/>
        <w:right w:val="none" w:sz="0" w:space="0" w:color="auto"/>
      </w:divBdr>
    </w:div>
    <w:div w:id="179459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ountability.worldban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G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MASCENT@comesa.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928B-B4A8-4C02-9ED2-5FD21559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Elginaid</dc:creator>
  <cp:keywords/>
  <dc:description/>
  <cp:lastModifiedBy>Malama Chileshe</cp:lastModifiedBy>
  <cp:revision>24</cp:revision>
  <dcterms:created xsi:type="dcterms:W3CDTF">2024-04-03T09:32:00Z</dcterms:created>
  <dcterms:modified xsi:type="dcterms:W3CDTF">2024-04-03T15:57:00Z</dcterms:modified>
</cp:coreProperties>
</file>