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A3EE" w14:textId="77777777" w:rsidR="00B366CD" w:rsidRPr="00022B4C" w:rsidRDefault="00B366CD" w:rsidP="00D53185">
      <w:pPr>
        <w:rPr>
          <w:b/>
          <w:bCs/>
          <w:szCs w:val="22"/>
        </w:rPr>
      </w:pPr>
    </w:p>
    <w:p w14:paraId="0EB4A8F2" w14:textId="77777777"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szCs w:val="22"/>
          <w:lang w:eastAsia="x-none"/>
        </w:rPr>
      </w:pPr>
    </w:p>
    <w:p w14:paraId="43C20A54" w14:textId="77777777" w:rsidR="00B366CD" w:rsidRPr="00022B4C" w:rsidRDefault="00B366CD" w:rsidP="003D1ADC">
      <w:pPr>
        <w:pBdr>
          <w:top w:val="thinThickSmallGap" w:sz="24" w:space="1" w:color="auto"/>
          <w:left w:val="thinThickSmallGap" w:sz="24" w:space="4" w:color="auto"/>
          <w:bottom w:val="thickThinSmallGap" w:sz="24" w:space="1" w:color="auto"/>
          <w:right w:val="thickThinSmallGap" w:sz="24" w:space="4" w:color="auto"/>
        </w:pBdr>
        <w:jc w:val="center"/>
        <w:rPr>
          <w:szCs w:val="22"/>
          <w:lang w:eastAsia="x-none"/>
        </w:rPr>
      </w:pPr>
      <w:r w:rsidRPr="00022B4C">
        <w:rPr>
          <w:noProof/>
          <w:szCs w:val="22"/>
          <w:lang w:bidi="ar-SA"/>
        </w:rPr>
        <w:drawing>
          <wp:inline distT="0" distB="0" distL="0" distR="0" wp14:anchorId="39237C93" wp14:editId="216EEB12">
            <wp:extent cx="971550" cy="97155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9006987" w14:textId="0FEAA3E6"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szCs w:val="22"/>
        </w:rPr>
      </w:pPr>
    </w:p>
    <w:p w14:paraId="379E6E9F" w14:textId="47EB947F" w:rsidR="0009757D" w:rsidRPr="00022B4C" w:rsidRDefault="0009757D"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szCs w:val="22"/>
        </w:rPr>
      </w:pPr>
    </w:p>
    <w:p w14:paraId="33AC9BDD" w14:textId="77777777" w:rsidR="0009757D" w:rsidRPr="00022B4C" w:rsidRDefault="0009757D"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szCs w:val="22"/>
        </w:rPr>
      </w:pPr>
    </w:p>
    <w:p w14:paraId="1FDD590E" w14:textId="77777777" w:rsidR="00B366CD" w:rsidRPr="00022B4C" w:rsidRDefault="00B366CD" w:rsidP="003D1ADC">
      <w:pPr>
        <w:pBdr>
          <w:top w:val="thinThickSmallGap" w:sz="24" w:space="1" w:color="auto"/>
          <w:left w:val="thinThickSmallGap" w:sz="24" w:space="4" w:color="auto"/>
          <w:bottom w:val="thickThinSmallGap" w:sz="24" w:space="1" w:color="auto"/>
          <w:right w:val="thickThinSmallGap" w:sz="24" w:space="4" w:color="auto"/>
        </w:pBdr>
        <w:jc w:val="center"/>
        <w:rPr>
          <w:rFonts w:eastAsia="Calibri"/>
          <w:b/>
          <w:szCs w:val="22"/>
        </w:rPr>
      </w:pPr>
      <w:r w:rsidRPr="00022B4C">
        <w:rPr>
          <w:rFonts w:eastAsia="Calibri"/>
          <w:b/>
          <w:szCs w:val="22"/>
        </w:rPr>
        <w:t>COMMON MARKET FOR EASTERN AND</w:t>
      </w:r>
    </w:p>
    <w:p w14:paraId="09AE2F0D" w14:textId="77777777" w:rsidR="00B366CD" w:rsidRPr="00022B4C" w:rsidRDefault="00B366CD" w:rsidP="003D1ADC">
      <w:pPr>
        <w:pBdr>
          <w:top w:val="thinThickSmallGap" w:sz="24" w:space="1" w:color="auto"/>
          <w:left w:val="thinThickSmallGap" w:sz="24" w:space="4" w:color="auto"/>
          <w:bottom w:val="thickThinSmallGap" w:sz="24" w:space="1" w:color="auto"/>
          <w:right w:val="thickThinSmallGap" w:sz="24" w:space="4" w:color="auto"/>
        </w:pBdr>
        <w:jc w:val="center"/>
        <w:rPr>
          <w:rFonts w:eastAsia="Calibri"/>
          <w:b/>
          <w:szCs w:val="22"/>
        </w:rPr>
      </w:pPr>
      <w:r w:rsidRPr="00022B4C">
        <w:rPr>
          <w:rFonts w:eastAsia="Calibri"/>
          <w:b/>
          <w:szCs w:val="22"/>
        </w:rPr>
        <w:t>SOUTHERN AFRICA</w:t>
      </w:r>
    </w:p>
    <w:p w14:paraId="7A4FCBB4" w14:textId="77777777"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6246AB41" w14:textId="4F380B91"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3420A08E" w14:textId="77777777" w:rsidR="0009757D" w:rsidRPr="00022B4C" w:rsidRDefault="0009757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4C24C7FC" w14:textId="77777777"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681E9A2E" w14:textId="790DB9B0" w:rsidR="00F50356" w:rsidRPr="00022B4C" w:rsidRDefault="00F50356"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6A443C5D" w14:textId="77777777"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56CCBB50" w14:textId="50512159"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5379327D" w14:textId="6B92D979" w:rsidR="00ED24D2" w:rsidRPr="00022B4C" w:rsidRDefault="00ED24D2"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7BADDEA8" w14:textId="5843BBDB" w:rsidR="00ED24D2" w:rsidRPr="00022B4C" w:rsidRDefault="00ED24D2"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398A9EE5" w14:textId="15FE84F8" w:rsidR="00ED24D2" w:rsidRPr="00022B4C" w:rsidRDefault="00ED24D2"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7C0DE01C" w14:textId="77777777" w:rsidR="00ED24D2" w:rsidRPr="00022B4C" w:rsidRDefault="00ED24D2" w:rsidP="00D53185">
      <w:pPr>
        <w:pBdr>
          <w:top w:val="thinThickSmallGap" w:sz="24" w:space="1" w:color="auto"/>
          <w:left w:val="thinThickSmallGap" w:sz="24" w:space="4" w:color="auto"/>
          <w:bottom w:val="thickThinSmallGap" w:sz="24" w:space="1" w:color="auto"/>
          <w:right w:val="thickThinSmallGap" w:sz="24" w:space="4" w:color="auto"/>
        </w:pBdr>
        <w:ind w:left="0" w:firstLine="0"/>
        <w:rPr>
          <w:rFonts w:eastAsia="Calibri"/>
          <w:b/>
          <w:bCs/>
          <w:szCs w:val="22"/>
        </w:rPr>
      </w:pPr>
    </w:p>
    <w:p w14:paraId="75A73680" w14:textId="2B055119" w:rsidR="00B366CD" w:rsidRPr="00022B4C" w:rsidRDefault="00422C84" w:rsidP="00ED0A45">
      <w:pPr>
        <w:pBdr>
          <w:top w:val="thinThickSmallGap" w:sz="24" w:space="1" w:color="auto"/>
          <w:left w:val="thinThickSmallGap" w:sz="24" w:space="4" w:color="auto"/>
          <w:bottom w:val="thickThinSmallGap" w:sz="24" w:space="1" w:color="auto"/>
          <w:right w:val="thickThinSmallGap" w:sz="24" w:space="4" w:color="auto"/>
        </w:pBdr>
        <w:jc w:val="center"/>
        <w:rPr>
          <w:rFonts w:eastAsia="Calibri"/>
          <w:b/>
          <w:bCs/>
          <w:szCs w:val="22"/>
        </w:rPr>
      </w:pPr>
      <w:r>
        <w:rPr>
          <w:rFonts w:eastAsia="Calibri"/>
          <w:b/>
          <w:bCs/>
          <w:szCs w:val="22"/>
        </w:rPr>
        <w:t>CA</w:t>
      </w:r>
      <w:r w:rsidR="00ED0A45">
        <w:rPr>
          <w:rFonts w:eastAsia="Calibri"/>
          <w:b/>
          <w:bCs/>
          <w:szCs w:val="22"/>
        </w:rPr>
        <w:t xml:space="preserve">LL FOR APPLICATION FOR THE POSITION OF </w:t>
      </w:r>
      <w:r w:rsidR="00ED0A45" w:rsidRPr="00ED0A45">
        <w:rPr>
          <w:rFonts w:eastAsia="Calibri"/>
          <w:b/>
          <w:bCs/>
          <w:szCs w:val="22"/>
        </w:rPr>
        <w:t xml:space="preserve">ENERGY POLICY  AND REGULATORY SPECIALIST UNDER  </w:t>
      </w:r>
      <w:r w:rsidR="00AF60A9">
        <w:rPr>
          <w:rFonts w:eastAsia="Calibri"/>
          <w:b/>
          <w:bCs/>
          <w:szCs w:val="22"/>
        </w:rPr>
        <w:t xml:space="preserve">THE </w:t>
      </w:r>
      <w:r w:rsidR="00ED0A45" w:rsidRPr="00ED0A45">
        <w:rPr>
          <w:rFonts w:eastAsia="Calibri"/>
          <w:b/>
          <w:bCs/>
          <w:szCs w:val="22"/>
        </w:rPr>
        <w:t>ACCELERATING SUSTAINABLE AND CLEAN   ENERGY ACCESS TRANSFORMATION (ASCENT) PROGRAM</w:t>
      </w:r>
    </w:p>
    <w:p w14:paraId="0472C4EA" w14:textId="05D08AF4" w:rsidR="0009757D" w:rsidRPr="00022B4C" w:rsidRDefault="0009757D" w:rsidP="003D1ADC">
      <w:pPr>
        <w:pBdr>
          <w:top w:val="thinThickSmallGap" w:sz="24" w:space="1" w:color="auto"/>
          <w:left w:val="thinThickSmallGap" w:sz="24" w:space="4" w:color="auto"/>
          <w:bottom w:val="thickThinSmallGap" w:sz="24" w:space="1" w:color="auto"/>
          <w:right w:val="thickThinSmallGap" w:sz="24" w:space="4" w:color="auto"/>
        </w:pBdr>
        <w:tabs>
          <w:tab w:val="left" w:pos="3975"/>
        </w:tabs>
        <w:jc w:val="center"/>
        <w:rPr>
          <w:rFonts w:eastAsia="Calibri"/>
          <w:b/>
          <w:bCs/>
          <w:szCs w:val="22"/>
        </w:rPr>
      </w:pPr>
    </w:p>
    <w:p w14:paraId="2C6F76E7" w14:textId="77777777" w:rsidR="0009757D" w:rsidRPr="00022B4C" w:rsidRDefault="0009757D" w:rsidP="003D1ADC">
      <w:pPr>
        <w:pBdr>
          <w:top w:val="thinThickSmallGap" w:sz="24" w:space="1" w:color="auto"/>
          <w:left w:val="thinThickSmallGap" w:sz="24" w:space="4" w:color="auto"/>
          <w:bottom w:val="thickThinSmallGap" w:sz="24" w:space="1" w:color="auto"/>
          <w:right w:val="thickThinSmallGap" w:sz="24" w:space="4" w:color="auto"/>
        </w:pBdr>
        <w:tabs>
          <w:tab w:val="left" w:pos="3975"/>
        </w:tabs>
        <w:jc w:val="center"/>
        <w:rPr>
          <w:rFonts w:eastAsia="Calibri"/>
          <w:b/>
          <w:bCs/>
          <w:szCs w:val="22"/>
        </w:rPr>
      </w:pPr>
    </w:p>
    <w:p w14:paraId="2AE2BDB8" w14:textId="77777777" w:rsidR="00B366CD" w:rsidRPr="00022B4C" w:rsidRDefault="00B366CD" w:rsidP="003D1ADC">
      <w:pPr>
        <w:pBdr>
          <w:top w:val="thinThickSmallGap" w:sz="24" w:space="1" w:color="auto"/>
          <w:left w:val="thinThickSmallGap" w:sz="24" w:space="4" w:color="auto"/>
          <w:bottom w:val="thickThinSmallGap" w:sz="24" w:space="1" w:color="auto"/>
          <w:right w:val="thickThinSmallGap" w:sz="24" w:space="4" w:color="auto"/>
        </w:pBdr>
        <w:tabs>
          <w:tab w:val="left" w:pos="3975"/>
        </w:tabs>
        <w:jc w:val="center"/>
        <w:rPr>
          <w:rFonts w:eastAsia="Calibri"/>
          <w:b/>
          <w:bCs/>
          <w:szCs w:val="22"/>
        </w:rPr>
      </w:pPr>
    </w:p>
    <w:p w14:paraId="0A544FF2" w14:textId="56656194" w:rsidR="00B366CD" w:rsidRPr="00022B4C" w:rsidRDefault="00AF60A9" w:rsidP="003D1ADC">
      <w:pPr>
        <w:pBdr>
          <w:top w:val="thinThickSmallGap" w:sz="24" w:space="1" w:color="auto"/>
          <w:left w:val="thinThickSmallGap" w:sz="24" w:space="4" w:color="auto"/>
          <w:bottom w:val="thickThinSmallGap" w:sz="24" w:space="1" w:color="auto"/>
          <w:right w:val="thickThinSmallGap" w:sz="24" w:space="4" w:color="auto"/>
        </w:pBdr>
        <w:jc w:val="center"/>
        <w:rPr>
          <w:rFonts w:eastAsia="Calibri"/>
          <w:b/>
          <w:szCs w:val="22"/>
        </w:rPr>
      </w:pPr>
      <w:r>
        <w:rPr>
          <w:rFonts w:eastAsia="Calibri"/>
          <w:b/>
          <w:szCs w:val="22"/>
        </w:rPr>
        <w:t xml:space="preserve">DECEMBER </w:t>
      </w:r>
      <w:r w:rsidR="00EB5FD9" w:rsidRPr="00022B4C">
        <w:rPr>
          <w:rFonts w:eastAsia="Calibri"/>
          <w:b/>
          <w:szCs w:val="22"/>
        </w:rPr>
        <w:t>202</w:t>
      </w:r>
      <w:r>
        <w:rPr>
          <w:rFonts w:eastAsia="Calibri"/>
          <w:b/>
          <w:szCs w:val="22"/>
        </w:rPr>
        <w:t>5</w:t>
      </w:r>
    </w:p>
    <w:p w14:paraId="5F8B9C74" w14:textId="77777777"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09FDE80F" w14:textId="77777777"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szCs w:val="22"/>
        </w:rPr>
      </w:pPr>
    </w:p>
    <w:p w14:paraId="6CBC39B9" w14:textId="77777777"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0BFF69D8" w14:textId="77777777"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66F63C01" w14:textId="1ACB296D"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ind w:left="0" w:firstLine="0"/>
        <w:rPr>
          <w:rFonts w:eastAsia="Calibri"/>
          <w:szCs w:val="22"/>
        </w:rPr>
      </w:pPr>
    </w:p>
    <w:p w14:paraId="7F00F257" w14:textId="77777777" w:rsidR="00987834" w:rsidRPr="00022B4C" w:rsidRDefault="00987834" w:rsidP="00D53185">
      <w:pPr>
        <w:pBdr>
          <w:top w:val="thinThickSmallGap" w:sz="24" w:space="1" w:color="auto"/>
          <w:left w:val="thinThickSmallGap" w:sz="24" w:space="4" w:color="auto"/>
          <w:bottom w:val="thickThinSmallGap" w:sz="24" w:space="1" w:color="auto"/>
          <w:right w:val="thickThinSmallGap" w:sz="24" w:space="4" w:color="auto"/>
        </w:pBdr>
        <w:ind w:left="0" w:firstLine="0"/>
        <w:rPr>
          <w:rFonts w:eastAsia="Calibri"/>
          <w:szCs w:val="22"/>
        </w:rPr>
      </w:pPr>
    </w:p>
    <w:p w14:paraId="0F68EB73" w14:textId="44D97CC9" w:rsidR="00B366CD" w:rsidRPr="00022B4C" w:rsidRDefault="00B366C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66950CB9" w14:textId="738565BD" w:rsidR="0009757D" w:rsidRPr="00022B4C" w:rsidRDefault="0009757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5F9D0788" w14:textId="0D0FC0CF" w:rsidR="0009757D" w:rsidRPr="00022B4C" w:rsidRDefault="0009757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306482B7" w14:textId="7FD647B8" w:rsidR="0009757D" w:rsidRPr="00022B4C" w:rsidRDefault="0009757D" w:rsidP="00D53185">
      <w:pPr>
        <w:pBdr>
          <w:top w:val="thinThickSmallGap" w:sz="24" w:space="1" w:color="auto"/>
          <w:left w:val="thinThickSmallGap" w:sz="24" w:space="4" w:color="auto"/>
          <w:bottom w:val="thickThinSmallGap" w:sz="24" w:space="1" w:color="auto"/>
          <w:right w:val="thickThinSmallGap" w:sz="24" w:space="4" w:color="auto"/>
        </w:pBdr>
        <w:rPr>
          <w:rFonts w:eastAsia="Calibri"/>
          <w:szCs w:val="22"/>
        </w:rPr>
      </w:pPr>
    </w:p>
    <w:p w14:paraId="6FBDA806" w14:textId="77777777" w:rsidR="00C3626A" w:rsidRPr="00022B4C" w:rsidRDefault="00C3626A"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186AF548" w14:textId="77777777" w:rsidR="00C3626A" w:rsidRPr="00022B4C" w:rsidRDefault="00C3626A"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p>
    <w:p w14:paraId="20EC7D2C" w14:textId="779A8E4E" w:rsidR="00B366CD" w:rsidRPr="00022B4C" w:rsidRDefault="001F1BD5" w:rsidP="00D53185">
      <w:pPr>
        <w:pBdr>
          <w:top w:val="thinThickSmallGap" w:sz="24" w:space="1" w:color="auto"/>
          <w:left w:val="thinThickSmallGap" w:sz="24" w:space="4" w:color="auto"/>
          <w:bottom w:val="thickThinSmallGap" w:sz="24" w:space="1" w:color="auto"/>
          <w:right w:val="thickThinSmallGap" w:sz="24" w:space="4" w:color="auto"/>
        </w:pBdr>
        <w:rPr>
          <w:rFonts w:eastAsia="Calibri"/>
          <w:b/>
          <w:bCs/>
          <w:szCs w:val="22"/>
        </w:rPr>
      </w:pPr>
      <w:r>
        <w:rPr>
          <w:rFonts w:eastAsia="Calibri"/>
          <w:b/>
          <w:bCs/>
          <w:szCs w:val="22"/>
        </w:rPr>
        <w:t>ASCENT/COM/HR/SS</w:t>
      </w:r>
    </w:p>
    <w:p w14:paraId="2B8AC206" w14:textId="77777777" w:rsidR="00B366CD" w:rsidRPr="00022B4C" w:rsidRDefault="00B366CD" w:rsidP="00D53185">
      <w:pPr>
        <w:rPr>
          <w:b/>
          <w:bCs/>
          <w:szCs w:val="22"/>
        </w:rPr>
      </w:pPr>
    </w:p>
    <w:p w14:paraId="05422D23" w14:textId="77777777" w:rsidR="00B366CD" w:rsidRDefault="00B366CD" w:rsidP="00D53185">
      <w:pPr>
        <w:ind w:left="0" w:firstLine="0"/>
        <w:rPr>
          <w:b/>
          <w:bCs/>
          <w:szCs w:val="22"/>
        </w:rPr>
      </w:pPr>
    </w:p>
    <w:p w14:paraId="09FAB9C1" w14:textId="77777777" w:rsidR="00F176A8" w:rsidRDefault="00F176A8" w:rsidP="00D53185">
      <w:pPr>
        <w:ind w:left="0" w:firstLine="0"/>
        <w:rPr>
          <w:b/>
          <w:bCs/>
          <w:szCs w:val="22"/>
        </w:rPr>
      </w:pPr>
    </w:p>
    <w:p w14:paraId="1E85F3F1" w14:textId="77777777" w:rsidR="00F176A8" w:rsidRDefault="00F176A8" w:rsidP="00D53185">
      <w:pPr>
        <w:ind w:left="0" w:firstLine="0"/>
        <w:rPr>
          <w:b/>
          <w:bCs/>
          <w:szCs w:val="22"/>
        </w:rPr>
      </w:pPr>
    </w:p>
    <w:p w14:paraId="683C5E58" w14:textId="77777777" w:rsidR="00F176A8" w:rsidRPr="00FE5CD3" w:rsidRDefault="00F176A8" w:rsidP="00D53185">
      <w:pPr>
        <w:ind w:left="0" w:firstLine="0"/>
        <w:rPr>
          <w:b/>
          <w:bCs/>
          <w:szCs w:val="22"/>
        </w:rPr>
      </w:pPr>
    </w:p>
    <w:p w14:paraId="5F1B8355" w14:textId="77777777" w:rsidR="00F176A8" w:rsidRPr="00FE5CD3" w:rsidRDefault="00F176A8" w:rsidP="00D53185">
      <w:pPr>
        <w:ind w:left="0" w:firstLine="0"/>
        <w:rPr>
          <w:b/>
          <w:bCs/>
          <w:szCs w:val="22"/>
        </w:rPr>
      </w:pPr>
    </w:p>
    <w:p w14:paraId="56CA39BB" w14:textId="77777777" w:rsidR="00B366CD" w:rsidRPr="00FE5CD3" w:rsidRDefault="00B366CD" w:rsidP="00C0275D">
      <w:pPr>
        <w:pStyle w:val="ListParagraph"/>
        <w:numPr>
          <w:ilvl w:val="0"/>
          <w:numId w:val="2"/>
        </w:numPr>
        <w:ind w:hanging="720"/>
        <w:rPr>
          <w:b/>
          <w:bCs/>
          <w:szCs w:val="22"/>
        </w:rPr>
      </w:pPr>
      <w:r w:rsidRPr="00FE5CD3">
        <w:rPr>
          <w:b/>
          <w:bCs/>
          <w:szCs w:val="22"/>
        </w:rPr>
        <w:lastRenderedPageBreak/>
        <w:t>INTRODUCTION</w:t>
      </w:r>
    </w:p>
    <w:p w14:paraId="2715A69B" w14:textId="77777777" w:rsidR="00B366CD" w:rsidRPr="00FE5CD3" w:rsidRDefault="00B366CD" w:rsidP="00D53185">
      <w:pPr>
        <w:rPr>
          <w:b/>
          <w:bCs/>
          <w:szCs w:val="22"/>
        </w:rPr>
      </w:pPr>
    </w:p>
    <w:p w14:paraId="42E32171" w14:textId="77777777" w:rsidR="00AC131D" w:rsidRPr="00FE5CD3" w:rsidRDefault="00B366CD" w:rsidP="00D53185">
      <w:pPr>
        <w:ind w:left="25" w:right="0"/>
        <w:rPr>
          <w:szCs w:val="22"/>
        </w:rPr>
      </w:pPr>
      <w:r w:rsidRPr="00FE5CD3">
        <w:rPr>
          <w:szCs w:val="22"/>
        </w:rPr>
        <w:t xml:space="preserve">The </w:t>
      </w:r>
      <w:r w:rsidR="00AC131D" w:rsidRPr="00FE5CD3">
        <w:rPr>
          <w:szCs w:val="22"/>
        </w:rPr>
        <w:t xml:space="preserve">Common Market for Eastern and Southern Africa (COMESA) is a regional integration grouping of 21 African States which have agreed to promote regional integration through trade development and transport facilitation. COMESA has also established </w:t>
      </w:r>
      <w:proofErr w:type="gramStart"/>
      <w:r w:rsidR="00AC131D" w:rsidRPr="00FE5CD3">
        <w:rPr>
          <w:szCs w:val="22"/>
        </w:rPr>
        <w:t>a number of</w:t>
      </w:r>
      <w:proofErr w:type="gramEnd"/>
      <w:r w:rsidR="00AC131D" w:rsidRPr="00FE5CD3">
        <w:rPr>
          <w:szCs w:val="22"/>
        </w:rPr>
        <w:t xml:space="preserve"> institutions to support integration. </w:t>
      </w:r>
    </w:p>
    <w:p w14:paraId="1E86C90A" w14:textId="77777777" w:rsidR="00AC131D" w:rsidRPr="00FE5CD3" w:rsidRDefault="00AC131D" w:rsidP="00D53185">
      <w:pPr>
        <w:spacing w:after="0" w:line="259" w:lineRule="auto"/>
        <w:ind w:left="0" w:right="0" w:firstLine="0"/>
        <w:rPr>
          <w:szCs w:val="22"/>
        </w:rPr>
      </w:pPr>
      <w:r w:rsidRPr="00FE5CD3">
        <w:rPr>
          <w:szCs w:val="22"/>
        </w:rPr>
        <w:t xml:space="preserve"> </w:t>
      </w:r>
    </w:p>
    <w:p w14:paraId="1D75C9C6" w14:textId="7F9A270F" w:rsidR="0035180B" w:rsidRPr="00BC3F7F" w:rsidRDefault="00835AD8" w:rsidP="00D53185">
      <w:pPr>
        <w:spacing w:after="182" w:line="249" w:lineRule="auto"/>
        <w:ind w:right="7" w:firstLine="0"/>
        <w:rPr>
          <w:bCs/>
          <w:szCs w:val="22"/>
        </w:rPr>
      </w:pPr>
      <w:r w:rsidRPr="00BC3F7F">
        <w:rPr>
          <w:rFonts w:eastAsia="Calibri"/>
          <w:bCs/>
          <w:szCs w:val="22"/>
        </w:rPr>
        <w:t xml:space="preserve">The Accelerating Sustainable and Clean Energy Access Transformation (ASCENT) Program is an ambitious leap toward universal energy access and the clean energy transition in the Eastern and Southern Africa (AFE) region, home to 656 million people. </w:t>
      </w:r>
      <w:r w:rsidRPr="00BC3F7F">
        <w:rPr>
          <w:bCs/>
          <w:szCs w:val="22"/>
        </w:rPr>
        <w:t>ASCENT presents</w:t>
      </w:r>
      <w:r w:rsidRPr="00BC3F7F">
        <w:rPr>
          <w:rFonts w:eastAsia="Calibri"/>
          <w:bCs/>
          <w:szCs w:val="22"/>
        </w:rPr>
        <w:t xml:space="preserve"> </w:t>
      </w:r>
      <w:r w:rsidRPr="00BC3F7F">
        <w:rPr>
          <w:bCs/>
          <w:szCs w:val="22"/>
        </w:rPr>
        <w:t>a programmatic framework for the World Bank to support acceleration of access to electricity in AFE, which utilizes the Multiphase Programmatic Approach (MPA)</w:t>
      </w:r>
      <w:r w:rsidR="005637F8" w:rsidRPr="00BC3F7F">
        <w:rPr>
          <w:bCs/>
          <w:szCs w:val="22"/>
        </w:rPr>
        <w:t xml:space="preserve">. </w:t>
      </w:r>
      <w:r w:rsidRPr="00BC3F7F">
        <w:rPr>
          <w:bCs/>
          <w:szCs w:val="22"/>
        </w:rPr>
        <w:t xml:space="preserve"> </w:t>
      </w:r>
      <w:r w:rsidR="00F530E0" w:rsidRPr="00BC3F7F">
        <w:rPr>
          <w:bCs/>
          <w:szCs w:val="22"/>
        </w:rPr>
        <w:t xml:space="preserve">The </w:t>
      </w:r>
      <w:r w:rsidR="0035180B" w:rsidRPr="00BC3F7F">
        <w:rPr>
          <w:rFonts w:eastAsia="Calibri"/>
          <w:bCs/>
          <w:szCs w:val="22"/>
        </w:rPr>
        <w:t>Project activities are based on known technologies and business and implementation models.</w:t>
      </w:r>
      <w:r w:rsidR="0035180B" w:rsidRPr="00BC3F7F">
        <w:rPr>
          <w:bCs/>
          <w:szCs w:val="22"/>
        </w:rPr>
        <w:t xml:space="preserve"> Grid electrification will use well-established technologies and methods. The typical investments will include extensions and strengthening of low-voltage (LV) and medium-voltage (MV) lines, substations, transformers, and service drops. The projects may finance ready boards and internal wiring to increase affordability of connections, as well as appliances and productive-use equipment. Country-specific projects may also include variable renewable energy (VRE) integration investments and equipment, including battery storage. Financing of large-scale transmission is not expected; however, on case-by-case basis</w:t>
      </w:r>
      <w:r w:rsidR="005D1197" w:rsidRPr="00BC3F7F">
        <w:rPr>
          <w:bCs/>
          <w:szCs w:val="22"/>
        </w:rPr>
        <w:t xml:space="preserve">.  </w:t>
      </w:r>
      <w:r w:rsidR="0035180B" w:rsidRPr="00BC3F7F">
        <w:rPr>
          <w:bCs/>
          <w:szCs w:val="22"/>
        </w:rPr>
        <w:t xml:space="preserve"> </w:t>
      </w:r>
    </w:p>
    <w:p w14:paraId="3D208159" w14:textId="77777777" w:rsidR="00AB7A00" w:rsidRPr="00FE5CD3" w:rsidRDefault="00AB7A00" w:rsidP="00AB7A00">
      <w:pPr>
        <w:numPr>
          <w:ilvl w:val="0"/>
          <w:numId w:val="2"/>
        </w:numPr>
        <w:spacing w:after="160" w:line="278" w:lineRule="auto"/>
        <w:ind w:right="0" w:hanging="720"/>
        <w:contextualSpacing/>
        <w:jc w:val="left"/>
        <w:rPr>
          <w:rFonts w:eastAsia="Aptos"/>
          <w:b/>
          <w:bCs/>
          <w:color w:val="auto"/>
          <w:szCs w:val="22"/>
          <w:lang w:bidi="ar-SA"/>
        </w:rPr>
      </w:pPr>
      <w:r w:rsidRPr="00FE5CD3">
        <w:rPr>
          <w:rFonts w:eastAsia="Aptos"/>
          <w:b/>
          <w:bCs/>
          <w:color w:val="auto"/>
          <w:szCs w:val="22"/>
          <w:lang w:bidi="ar-SA"/>
        </w:rPr>
        <w:t>PROJECT BACKGROUND:</w:t>
      </w:r>
    </w:p>
    <w:p w14:paraId="230EFFE9" w14:textId="77777777" w:rsidR="00AB7A00" w:rsidRPr="00FE5CD3" w:rsidRDefault="00AB7A00" w:rsidP="00AB7A00">
      <w:pPr>
        <w:spacing w:after="160" w:line="259" w:lineRule="auto"/>
        <w:ind w:left="720" w:right="0" w:firstLine="0"/>
        <w:contextualSpacing/>
        <w:jc w:val="left"/>
        <w:rPr>
          <w:rFonts w:eastAsia="Aptos"/>
          <w:b/>
          <w:bCs/>
          <w:color w:val="auto"/>
          <w:szCs w:val="22"/>
          <w:lang w:bidi="ar-SA"/>
        </w:rPr>
      </w:pPr>
    </w:p>
    <w:p w14:paraId="117C598D" w14:textId="77777777" w:rsidR="00AB7A00" w:rsidRPr="00FE5CD3" w:rsidRDefault="00AB7A00" w:rsidP="00AB7A00">
      <w:pPr>
        <w:spacing w:after="160" w:line="259" w:lineRule="auto"/>
        <w:ind w:left="0" w:right="0" w:firstLine="0"/>
        <w:jc w:val="mediumKashida"/>
        <w:rPr>
          <w:rFonts w:eastAsia="Aptos"/>
          <w:color w:val="auto"/>
          <w:szCs w:val="22"/>
          <w:lang w:bidi="ar-SA"/>
        </w:rPr>
      </w:pPr>
      <w:r w:rsidRPr="00FE5CD3">
        <w:rPr>
          <w:rFonts w:eastAsia="Aptos"/>
          <w:color w:val="auto"/>
          <w:szCs w:val="22"/>
          <w:lang w:bidi="ar-SA"/>
        </w:rPr>
        <w:t>ASCENT is a multi-year, multi-billion-dollar program aimed at scaling-up energy access in Eastern and Southern Africa. It leverages the strengths of the entire World Bank Group (IDA, IFC, MIGA) and facilitates collaboration with development partners, the private sector, climate and impact financiers, governments, utilities, and energy service providers, as well as beneficiary communities.</w:t>
      </w:r>
    </w:p>
    <w:p w14:paraId="6A8429C5" w14:textId="713E6A1C" w:rsidR="00AB7A00" w:rsidRPr="00FE5CD3" w:rsidRDefault="00AB7A00" w:rsidP="00AB7A00">
      <w:pPr>
        <w:spacing w:after="160" w:line="259" w:lineRule="auto"/>
        <w:ind w:left="0" w:right="0" w:firstLine="0"/>
        <w:jc w:val="mediumKashida"/>
        <w:rPr>
          <w:rFonts w:eastAsia="Aptos"/>
          <w:color w:val="auto"/>
          <w:szCs w:val="22"/>
          <w:lang w:bidi="ar-SA"/>
        </w:rPr>
      </w:pPr>
      <w:r w:rsidRPr="00FE5CD3">
        <w:rPr>
          <w:rFonts w:eastAsia="Aptos"/>
          <w:color w:val="auto"/>
          <w:szCs w:val="22"/>
          <w:lang w:bidi="ar-SA"/>
        </w:rPr>
        <w:t>The ASCENT project key features include the provision of access to electricity to 100 million people, access to clean cooking to 20 million people, $5 billion financing envelope with a goal to mobilize an additional $10 billion from public and private sources and covering 20</w:t>
      </w:r>
      <w:r w:rsidR="003C723C" w:rsidRPr="00FE5CD3">
        <w:rPr>
          <w:rFonts w:eastAsia="Aptos"/>
          <w:color w:val="auto"/>
          <w:szCs w:val="22"/>
          <w:lang w:bidi="ar-SA"/>
        </w:rPr>
        <w:t xml:space="preserve"> plus</w:t>
      </w:r>
      <w:r w:rsidRPr="00FE5CD3">
        <w:rPr>
          <w:rFonts w:eastAsia="Aptos"/>
          <w:color w:val="auto"/>
          <w:szCs w:val="22"/>
          <w:lang w:bidi="ar-SA"/>
        </w:rPr>
        <w:t xml:space="preserve"> countries in Eastern </w:t>
      </w:r>
      <w:r w:rsidR="003C723C" w:rsidRPr="00FE5CD3">
        <w:rPr>
          <w:rFonts w:eastAsia="Aptos"/>
          <w:color w:val="auto"/>
          <w:szCs w:val="22"/>
          <w:lang w:bidi="ar-SA"/>
        </w:rPr>
        <w:t xml:space="preserve">and </w:t>
      </w:r>
      <w:r w:rsidRPr="00FE5CD3">
        <w:rPr>
          <w:rFonts w:eastAsia="Aptos"/>
          <w:color w:val="auto"/>
          <w:szCs w:val="22"/>
          <w:lang w:bidi="ar-SA"/>
        </w:rPr>
        <w:t>Southern Africa within a 7-year (FY24-30) timeframe.</w:t>
      </w:r>
    </w:p>
    <w:p w14:paraId="6B436991" w14:textId="77777777" w:rsidR="00AB7A00" w:rsidRPr="00FE5CD3" w:rsidRDefault="00AB7A00" w:rsidP="00AB7A00">
      <w:pPr>
        <w:spacing w:after="160" w:line="259" w:lineRule="auto"/>
        <w:ind w:left="0" w:right="0" w:firstLine="0"/>
        <w:jc w:val="mediumKashida"/>
        <w:rPr>
          <w:rFonts w:eastAsia="Aptos"/>
          <w:color w:val="auto"/>
          <w:szCs w:val="22"/>
          <w:lang w:bidi="ar-SA"/>
        </w:rPr>
      </w:pPr>
      <w:r w:rsidRPr="00FE5CD3">
        <w:rPr>
          <w:rFonts w:eastAsia="Aptos"/>
          <w:color w:val="auto"/>
          <w:szCs w:val="22"/>
          <w:lang w:bidi="ar-SA"/>
        </w:rPr>
        <w:t>Therefore, the ASCENT Project aims to accelerate sustainable and clean energy access transformation in Eastern and Southern Africa focusing on three key pillars:</w:t>
      </w:r>
    </w:p>
    <w:p w14:paraId="1435DB4F" w14:textId="7A27417F" w:rsidR="00AB7A00" w:rsidRPr="00FE5CD3" w:rsidRDefault="00AB7A00" w:rsidP="00683E20">
      <w:pPr>
        <w:numPr>
          <w:ilvl w:val="0"/>
          <w:numId w:val="9"/>
        </w:numPr>
        <w:spacing w:after="160" w:line="259" w:lineRule="auto"/>
        <w:ind w:right="0"/>
        <w:jc w:val="mediumKashida"/>
        <w:rPr>
          <w:rFonts w:eastAsia="Aptos"/>
          <w:color w:val="auto"/>
          <w:szCs w:val="22"/>
          <w:lang w:bidi="ar-SA"/>
        </w:rPr>
      </w:pPr>
      <w:r w:rsidRPr="00FE5CD3">
        <w:rPr>
          <w:rFonts w:eastAsia="Aptos"/>
          <w:color w:val="auto"/>
          <w:szCs w:val="22"/>
          <w:lang w:bidi="ar-SA"/>
        </w:rPr>
        <w:t xml:space="preserve">Regional and National Platforms to Accelerate Energy </w:t>
      </w:r>
      <w:r w:rsidR="008257CA" w:rsidRPr="00FE5CD3">
        <w:rPr>
          <w:rFonts w:eastAsia="Aptos"/>
          <w:color w:val="auto"/>
          <w:szCs w:val="22"/>
          <w:lang w:bidi="ar-SA"/>
        </w:rPr>
        <w:t>Access.</w:t>
      </w:r>
    </w:p>
    <w:p w14:paraId="712B3472" w14:textId="3E7545E5" w:rsidR="00AB7A00" w:rsidRPr="00FE5CD3" w:rsidRDefault="00AB7A00" w:rsidP="00683E20">
      <w:pPr>
        <w:numPr>
          <w:ilvl w:val="0"/>
          <w:numId w:val="9"/>
        </w:numPr>
        <w:spacing w:after="160" w:line="259" w:lineRule="auto"/>
        <w:ind w:right="0"/>
        <w:jc w:val="mediumKashida"/>
        <w:rPr>
          <w:rFonts w:eastAsia="Aptos"/>
          <w:color w:val="auto"/>
          <w:szCs w:val="22"/>
          <w:lang w:bidi="ar-SA"/>
        </w:rPr>
      </w:pPr>
      <w:r w:rsidRPr="00FE5CD3">
        <w:rPr>
          <w:rFonts w:eastAsia="Aptos"/>
          <w:color w:val="auto"/>
          <w:szCs w:val="22"/>
          <w:lang w:bidi="ar-SA"/>
        </w:rPr>
        <w:t>Expanding Grid-based Electrification</w:t>
      </w:r>
      <w:r w:rsidR="003C723C" w:rsidRPr="00FE5CD3">
        <w:rPr>
          <w:rFonts w:eastAsia="Aptos"/>
          <w:color w:val="auto"/>
          <w:szCs w:val="22"/>
          <w:lang w:bidi="ar-SA"/>
        </w:rPr>
        <w:t>; and</w:t>
      </w:r>
    </w:p>
    <w:p w14:paraId="2187F5F2" w14:textId="2C01912E" w:rsidR="00AB7A00" w:rsidRPr="00FE5CD3" w:rsidRDefault="00AB7A00" w:rsidP="00683E20">
      <w:pPr>
        <w:numPr>
          <w:ilvl w:val="0"/>
          <w:numId w:val="9"/>
        </w:numPr>
        <w:spacing w:after="160" w:line="259" w:lineRule="auto"/>
        <w:ind w:right="0"/>
        <w:jc w:val="mediumKashida"/>
        <w:rPr>
          <w:rFonts w:eastAsia="Aptos"/>
          <w:color w:val="auto"/>
          <w:szCs w:val="22"/>
          <w:lang w:bidi="ar-SA"/>
        </w:rPr>
      </w:pPr>
      <w:r w:rsidRPr="00FE5CD3">
        <w:rPr>
          <w:rFonts w:eastAsia="Aptos"/>
          <w:color w:val="auto"/>
          <w:szCs w:val="22"/>
          <w:lang w:bidi="ar-SA"/>
        </w:rPr>
        <w:t>Scaling Distributed Renewables and Clean Cooking</w:t>
      </w:r>
      <w:r w:rsidR="003C723C" w:rsidRPr="00FE5CD3">
        <w:rPr>
          <w:rFonts w:eastAsia="Aptos"/>
          <w:color w:val="auto"/>
          <w:szCs w:val="22"/>
          <w:lang w:bidi="ar-SA"/>
        </w:rPr>
        <w:t>.</w:t>
      </w:r>
    </w:p>
    <w:p w14:paraId="0FFCD1C3" w14:textId="77F31A8E" w:rsidR="003A49D3" w:rsidRPr="00BC3F7F" w:rsidRDefault="00AB7A00" w:rsidP="00AB7A00">
      <w:pPr>
        <w:spacing w:after="182" w:line="249" w:lineRule="auto"/>
        <w:ind w:right="7" w:firstLine="0"/>
        <w:rPr>
          <w:bCs/>
          <w:szCs w:val="22"/>
        </w:rPr>
      </w:pPr>
      <w:r w:rsidRPr="00FE5CD3">
        <w:rPr>
          <w:rFonts w:eastAsia="Aptos"/>
          <w:color w:val="auto"/>
          <w:szCs w:val="22"/>
          <w:lang w:bidi="ar-SA"/>
        </w:rPr>
        <w:t xml:space="preserve">Funded by the World Bank and implemented by COMESA, the project seeks to </w:t>
      </w:r>
      <w:r w:rsidRPr="00FE5CD3">
        <w:rPr>
          <w:rFonts w:eastAsia="Times New Roman"/>
          <w:color w:val="auto"/>
          <w:szCs w:val="22"/>
          <w:lang w:bidi="ar-SA"/>
        </w:rPr>
        <w:t>create an enabling environment for increasing access to sustainable and clean energy in Eastern and Southern Africa.</w:t>
      </w:r>
    </w:p>
    <w:p w14:paraId="143189E5" w14:textId="77777777" w:rsidR="00AC131D" w:rsidRPr="00FE5CD3" w:rsidRDefault="00AC131D" w:rsidP="00C0275D">
      <w:pPr>
        <w:pStyle w:val="ListParagraph"/>
        <w:numPr>
          <w:ilvl w:val="0"/>
          <w:numId w:val="2"/>
        </w:numPr>
        <w:ind w:hanging="720"/>
        <w:rPr>
          <w:b/>
          <w:bCs/>
          <w:szCs w:val="22"/>
        </w:rPr>
      </w:pPr>
      <w:r w:rsidRPr="00FE5CD3">
        <w:rPr>
          <w:b/>
          <w:bCs/>
          <w:szCs w:val="22"/>
        </w:rPr>
        <w:t>PROJECT IMPLEMENTATION UNIT</w:t>
      </w:r>
    </w:p>
    <w:p w14:paraId="18ACEB11" w14:textId="77777777" w:rsidR="00AC131D" w:rsidRPr="00FE5CD3" w:rsidRDefault="00AC131D" w:rsidP="00D53185">
      <w:pPr>
        <w:ind w:left="0" w:firstLine="0"/>
        <w:rPr>
          <w:szCs w:val="22"/>
        </w:rPr>
      </w:pPr>
    </w:p>
    <w:p w14:paraId="72B5B66B" w14:textId="4BDA2213" w:rsidR="00912648" w:rsidRPr="00FE5CD3" w:rsidRDefault="006079BB" w:rsidP="00D53185">
      <w:pPr>
        <w:pStyle w:val="NoSpacing"/>
        <w:jc w:val="both"/>
        <w:rPr>
          <w:rFonts w:ascii="Arial" w:hAnsi="Arial" w:cs="Arial"/>
        </w:rPr>
      </w:pPr>
      <w:r w:rsidRPr="00FE5CD3">
        <w:rPr>
          <w:rFonts w:ascii="Arial" w:hAnsi="Arial" w:cs="Arial"/>
        </w:rPr>
        <w:t>As part of the</w:t>
      </w:r>
      <w:r w:rsidR="00366FC4" w:rsidRPr="00FE5CD3">
        <w:rPr>
          <w:rFonts w:ascii="Arial" w:hAnsi="Arial" w:cs="Arial"/>
        </w:rPr>
        <w:t xml:space="preserve"> </w:t>
      </w:r>
      <w:r w:rsidR="0091390D" w:rsidRPr="00FE5CD3">
        <w:rPr>
          <w:rFonts w:ascii="Arial" w:hAnsi="Arial" w:cs="Arial"/>
        </w:rPr>
        <w:t>implement</w:t>
      </w:r>
      <w:r w:rsidRPr="00FE5CD3">
        <w:rPr>
          <w:rFonts w:ascii="Arial" w:hAnsi="Arial" w:cs="Arial"/>
        </w:rPr>
        <w:t>ation of</w:t>
      </w:r>
      <w:r w:rsidR="0091390D" w:rsidRPr="00FE5CD3">
        <w:rPr>
          <w:rFonts w:ascii="Arial" w:hAnsi="Arial" w:cs="Arial"/>
        </w:rPr>
        <w:t xml:space="preserve"> the project, COMESA secretariat </w:t>
      </w:r>
      <w:r w:rsidR="00320D3B">
        <w:rPr>
          <w:rFonts w:ascii="Arial" w:hAnsi="Arial" w:cs="Arial"/>
        </w:rPr>
        <w:t>has</w:t>
      </w:r>
      <w:r w:rsidR="0063733D" w:rsidRPr="00FE5CD3">
        <w:rPr>
          <w:rFonts w:ascii="Arial" w:hAnsi="Arial" w:cs="Arial"/>
        </w:rPr>
        <w:t xml:space="preserve"> set up an integrated Project Implementation </w:t>
      </w:r>
      <w:r w:rsidR="00912648" w:rsidRPr="00FE5CD3">
        <w:rPr>
          <w:rFonts w:ascii="Arial" w:hAnsi="Arial" w:cs="Arial"/>
        </w:rPr>
        <w:t xml:space="preserve">Unit </w:t>
      </w:r>
      <w:r w:rsidR="009611DD" w:rsidRPr="00FE5CD3">
        <w:rPr>
          <w:rFonts w:ascii="Arial" w:hAnsi="Arial" w:cs="Arial"/>
        </w:rPr>
        <w:t xml:space="preserve">to </w:t>
      </w:r>
      <w:r w:rsidR="0063733D" w:rsidRPr="00FE5CD3">
        <w:rPr>
          <w:rFonts w:ascii="Arial" w:hAnsi="Arial" w:cs="Arial"/>
        </w:rPr>
        <w:t>support the implementation of the above-mentioned project</w:t>
      </w:r>
      <w:r w:rsidR="00912648" w:rsidRPr="00FE5CD3">
        <w:rPr>
          <w:rFonts w:ascii="Arial" w:hAnsi="Arial" w:cs="Arial"/>
        </w:rPr>
        <w:t xml:space="preserve">. The Unit </w:t>
      </w:r>
      <w:r w:rsidR="00320D3B">
        <w:rPr>
          <w:rFonts w:ascii="Arial" w:hAnsi="Arial" w:cs="Arial"/>
        </w:rPr>
        <w:t>is</w:t>
      </w:r>
      <w:r w:rsidR="00912648" w:rsidRPr="00FE5CD3">
        <w:rPr>
          <w:rFonts w:ascii="Arial" w:hAnsi="Arial" w:cs="Arial"/>
        </w:rPr>
        <w:t xml:space="preserve"> based mainly within the infrastructure with the respective technical experts integrated into respective technical divisions and units at COMESA Secretariat.</w:t>
      </w:r>
    </w:p>
    <w:p w14:paraId="750AD869" w14:textId="77777777" w:rsidR="00912648" w:rsidRPr="00FE5CD3" w:rsidRDefault="00912648" w:rsidP="00D53185">
      <w:pPr>
        <w:pStyle w:val="NoSpacing"/>
        <w:jc w:val="both"/>
        <w:rPr>
          <w:rFonts w:ascii="Arial" w:hAnsi="Arial" w:cs="Arial"/>
        </w:rPr>
      </w:pPr>
    </w:p>
    <w:p w14:paraId="62BAE3C3" w14:textId="106DA0FC" w:rsidR="00C903BC" w:rsidRPr="00C903BC" w:rsidRDefault="00C903BC" w:rsidP="001F4346">
      <w:pPr>
        <w:pStyle w:val="NoSpacing"/>
        <w:jc w:val="both"/>
        <w:rPr>
          <w:rFonts w:ascii="Arial" w:hAnsi="Arial" w:cs="Arial"/>
        </w:rPr>
      </w:pPr>
      <w:r w:rsidRPr="00C903BC">
        <w:rPr>
          <w:rFonts w:ascii="Arial" w:hAnsi="Arial" w:cs="Arial"/>
        </w:rPr>
        <w:lastRenderedPageBreak/>
        <w:t xml:space="preserve">COMESA Secretariat intends to </w:t>
      </w:r>
      <w:r w:rsidR="00CD4503">
        <w:rPr>
          <w:rFonts w:ascii="Arial" w:hAnsi="Arial" w:cs="Arial"/>
        </w:rPr>
        <w:t xml:space="preserve">fill </w:t>
      </w:r>
      <w:r>
        <w:rPr>
          <w:rFonts w:ascii="Arial" w:hAnsi="Arial" w:cs="Arial"/>
        </w:rPr>
        <w:t xml:space="preserve">the </w:t>
      </w:r>
      <w:r w:rsidR="00CD4503">
        <w:rPr>
          <w:rFonts w:ascii="Arial" w:hAnsi="Arial" w:cs="Arial"/>
        </w:rPr>
        <w:t xml:space="preserve">position of </w:t>
      </w:r>
      <w:r w:rsidRPr="00C903BC">
        <w:rPr>
          <w:rFonts w:ascii="Arial" w:hAnsi="Arial" w:cs="Arial"/>
        </w:rPr>
        <w:t xml:space="preserve">Energy Policy and Regulatory </w:t>
      </w:r>
      <w:r w:rsidR="004E55E2">
        <w:rPr>
          <w:rFonts w:ascii="Arial" w:hAnsi="Arial" w:cs="Arial"/>
        </w:rPr>
        <w:t>Expert</w:t>
      </w:r>
      <w:r w:rsidRPr="00C903BC">
        <w:rPr>
          <w:rFonts w:ascii="Arial" w:hAnsi="Arial" w:cs="Arial"/>
        </w:rPr>
        <w:t xml:space="preserve"> for the Project Implementation Unit as described in the job description below</w:t>
      </w:r>
      <w:r w:rsidR="00CD4503">
        <w:rPr>
          <w:rFonts w:ascii="Arial" w:hAnsi="Arial" w:cs="Arial"/>
        </w:rPr>
        <w:t>:</w:t>
      </w:r>
    </w:p>
    <w:p w14:paraId="4FB4DB5C" w14:textId="77777777" w:rsidR="00354A2C" w:rsidRPr="00FE5CD3" w:rsidRDefault="00354A2C" w:rsidP="00D53185">
      <w:pPr>
        <w:pStyle w:val="Default"/>
        <w:tabs>
          <w:tab w:val="left" w:pos="2694"/>
        </w:tabs>
        <w:ind w:left="709" w:hanging="425"/>
        <w:jc w:val="both"/>
        <w:rPr>
          <w:color w:val="auto"/>
          <w:sz w:val="22"/>
          <w:szCs w:val="22"/>
          <w:lang w:val="en-GB" w:bidi="he-IL"/>
        </w:rPr>
      </w:pPr>
    </w:p>
    <w:p w14:paraId="74EEC982" w14:textId="77777777" w:rsidR="00221556" w:rsidRDefault="00221556" w:rsidP="00221556">
      <w:pPr>
        <w:tabs>
          <w:tab w:val="left" w:pos="2694"/>
        </w:tabs>
        <w:spacing w:after="0" w:line="240" w:lineRule="auto"/>
        <w:ind w:right="0"/>
        <w:rPr>
          <w:rFonts w:eastAsia="Times New Roman"/>
          <w:b/>
          <w:color w:val="auto"/>
          <w:sz w:val="24"/>
          <w:lang w:eastAsia="en-ZA" w:bidi="he-IL"/>
        </w:rPr>
      </w:pPr>
    </w:p>
    <w:p w14:paraId="3F80C032" w14:textId="3243FA87" w:rsidR="00221556" w:rsidRPr="00221556" w:rsidRDefault="00221556" w:rsidP="00221556">
      <w:pPr>
        <w:pStyle w:val="ListParagraph"/>
        <w:numPr>
          <w:ilvl w:val="0"/>
          <w:numId w:val="2"/>
        </w:numPr>
        <w:ind w:hanging="720"/>
        <w:rPr>
          <w:rFonts w:eastAsia="Times New Roman"/>
          <w:b/>
          <w:color w:val="auto"/>
          <w:sz w:val="24"/>
          <w:lang w:eastAsia="en-ZA" w:bidi="he-IL"/>
        </w:rPr>
      </w:pPr>
      <w:r w:rsidRPr="00221556">
        <w:rPr>
          <w:rFonts w:eastAsia="Times New Roman"/>
          <w:b/>
          <w:color w:val="auto"/>
          <w:sz w:val="24"/>
          <w:lang w:eastAsia="en-ZA" w:bidi="he-IL"/>
        </w:rPr>
        <w:t xml:space="preserve">JOB DESCRIPTION </w:t>
      </w:r>
    </w:p>
    <w:p w14:paraId="4033BD7B" w14:textId="77777777" w:rsidR="003E760A" w:rsidRDefault="003E760A" w:rsidP="00AD2EF9">
      <w:pPr>
        <w:tabs>
          <w:tab w:val="left" w:pos="2694"/>
        </w:tabs>
        <w:spacing w:after="0" w:line="240" w:lineRule="auto"/>
        <w:ind w:left="0" w:right="0" w:firstLine="0"/>
        <w:rPr>
          <w:rFonts w:eastAsia="Times New Roman"/>
          <w:b/>
          <w:color w:val="auto"/>
          <w:sz w:val="24"/>
          <w:lang w:val="en-GB" w:eastAsia="en-ZA" w:bidi="he-IL"/>
        </w:rPr>
      </w:pPr>
    </w:p>
    <w:p w14:paraId="36BB65D9" w14:textId="77777777" w:rsidR="003E760A" w:rsidRDefault="003E760A" w:rsidP="00AD2EF9">
      <w:pPr>
        <w:tabs>
          <w:tab w:val="left" w:pos="2694"/>
        </w:tabs>
        <w:spacing w:after="0" w:line="240" w:lineRule="auto"/>
        <w:ind w:left="0" w:right="0" w:firstLine="0"/>
        <w:rPr>
          <w:rFonts w:eastAsia="Times New Roman"/>
          <w:b/>
          <w:color w:val="auto"/>
          <w:sz w:val="24"/>
          <w:lang w:val="en-GB" w:eastAsia="en-ZA" w:bidi="he-IL"/>
        </w:rPr>
      </w:pPr>
    </w:p>
    <w:p w14:paraId="6583F4B0" w14:textId="1BF8E6CF" w:rsidR="00AD2EF9" w:rsidRPr="00AD2EF9" w:rsidRDefault="00AD2EF9" w:rsidP="00AD2EF9">
      <w:pPr>
        <w:tabs>
          <w:tab w:val="left" w:pos="2694"/>
        </w:tabs>
        <w:spacing w:after="0" w:line="240" w:lineRule="auto"/>
        <w:ind w:left="0" w:right="0" w:firstLine="0"/>
        <w:rPr>
          <w:rFonts w:eastAsia="Times New Roman"/>
          <w:b/>
          <w:color w:val="auto"/>
          <w:sz w:val="24"/>
          <w:lang w:val="en-GB" w:eastAsia="en-ZA" w:bidi="he-IL"/>
        </w:rPr>
      </w:pPr>
      <w:r w:rsidRPr="00AD2EF9">
        <w:rPr>
          <w:rFonts w:eastAsia="Times New Roman"/>
          <w:b/>
          <w:color w:val="auto"/>
          <w:sz w:val="24"/>
          <w:lang w:val="en-GB" w:eastAsia="en-ZA" w:bidi="he-IL"/>
        </w:rPr>
        <w:t>JOB TITLE</w:t>
      </w:r>
      <w:r w:rsidRPr="00AD2EF9">
        <w:rPr>
          <w:rFonts w:eastAsia="Times New Roman"/>
          <w:b/>
          <w:color w:val="auto"/>
          <w:sz w:val="24"/>
          <w:lang w:val="en-GB" w:eastAsia="en-ZA" w:bidi="he-IL"/>
        </w:rPr>
        <w:tab/>
        <w:t>:</w:t>
      </w:r>
      <w:r w:rsidRPr="00AD2EF9">
        <w:rPr>
          <w:rFonts w:eastAsia="Times New Roman"/>
          <w:bCs/>
          <w:color w:val="auto"/>
          <w:sz w:val="24"/>
          <w:lang w:val="en-GB" w:eastAsia="en-ZA" w:bidi="he-IL"/>
        </w:rPr>
        <w:tab/>
      </w:r>
      <w:r w:rsidRPr="00AD2EF9">
        <w:rPr>
          <w:rFonts w:eastAsia="Times New Roman"/>
          <w:b/>
          <w:color w:val="auto"/>
          <w:sz w:val="24"/>
          <w:lang w:val="en-GB" w:eastAsia="en-ZA" w:bidi="he-IL"/>
        </w:rPr>
        <w:t>Energy Policy and Regulatory Specialist</w:t>
      </w:r>
    </w:p>
    <w:p w14:paraId="124EE592" w14:textId="77777777" w:rsidR="00AD2EF9" w:rsidRPr="00AD2EF9" w:rsidRDefault="00AD2EF9" w:rsidP="00AD2EF9">
      <w:pPr>
        <w:spacing w:after="0" w:line="240" w:lineRule="auto"/>
        <w:ind w:left="0" w:right="0" w:firstLine="0"/>
        <w:rPr>
          <w:rFonts w:eastAsia="Times New Roman"/>
          <w:color w:val="auto"/>
          <w:sz w:val="24"/>
          <w:lang w:val="en-GB" w:eastAsia="en-ZA" w:bidi="he-IL"/>
        </w:rPr>
      </w:pPr>
    </w:p>
    <w:p w14:paraId="77C9DF83" w14:textId="3064C5A9" w:rsidR="00AD2EF9" w:rsidRDefault="00AD2EF9" w:rsidP="00AD2EF9">
      <w:pPr>
        <w:tabs>
          <w:tab w:val="left" w:pos="2694"/>
        </w:tabs>
        <w:spacing w:after="0" w:line="240" w:lineRule="auto"/>
        <w:ind w:left="0" w:right="0" w:firstLine="0"/>
        <w:rPr>
          <w:rFonts w:eastAsia="Times New Roman"/>
          <w:b/>
          <w:bCs/>
          <w:color w:val="auto"/>
          <w:sz w:val="24"/>
          <w:lang w:val="en-GB" w:eastAsia="en-ZA" w:bidi="he-IL"/>
        </w:rPr>
      </w:pPr>
      <w:bookmarkStart w:id="0" w:name="_Hlk41991828"/>
      <w:r w:rsidRPr="00AD2EF9">
        <w:rPr>
          <w:rFonts w:eastAsia="Times New Roman"/>
          <w:b/>
          <w:color w:val="auto"/>
          <w:sz w:val="24"/>
          <w:lang w:val="en-GB" w:eastAsia="en-ZA" w:bidi="he-IL"/>
        </w:rPr>
        <w:t>GRADE</w:t>
      </w:r>
      <w:r w:rsidRPr="00AD2EF9">
        <w:rPr>
          <w:rFonts w:eastAsia="Times New Roman"/>
          <w:b/>
          <w:color w:val="auto"/>
          <w:sz w:val="24"/>
          <w:lang w:val="en-GB" w:eastAsia="en-ZA" w:bidi="he-IL"/>
        </w:rPr>
        <w:tab/>
        <w:t>:</w:t>
      </w:r>
      <w:r w:rsidRPr="00AD2EF9">
        <w:rPr>
          <w:rFonts w:eastAsia="Times New Roman"/>
          <w:color w:val="auto"/>
          <w:sz w:val="24"/>
          <w:lang w:val="en-GB" w:eastAsia="en-ZA" w:bidi="he-IL"/>
        </w:rPr>
        <w:tab/>
        <w:t xml:space="preserve">Professional Level </w:t>
      </w:r>
    </w:p>
    <w:p w14:paraId="08FFE344" w14:textId="77777777" w:rsidR="00EE3A01" w:rsidRDefault="00EE3A01" w:rsidP="00AD2EF9">
      <w:pPr>
        <w:tabs>
          <w:tab w:val="left" w:pos="2694"/>
        </w:tabs>
        <w:spacing w:after="0" w:line="240" w:lineRule="auto"/>
        <w:ind w:left="0" w:right="0" w:firstLine="0"/>
        <w:rPr>
          <w:rFonts w:eastAsia="Times New Roman"/>
          <w:b/>
          <w:bCs/>
          <w:color w:val="auto"/>
          <w:sz w:val="24"/>
          <w:lang w:val="en-GB" w:eastAsia="en-ZA" w:bidi="he-IL"/>
        </w:rPr>
      </w:pPr>
    </w:p>
    <w:p w14:paraId="2F91D2D6" w14:textId="73284A95" w:rsidR="00EE3A01" w:rsidRPr="00AD2EF9" w:rsidRDefault="00EE3A01" w:rsidP="00405D56">
      <w:pPr>
        <w:spacing w:after="0" w:line="240" w:lineRule="auto"/>
        <w:ind w:left="2790" w:right="0" w:hanging="2790"/>
        <w:rPr>
          <w:rFonts w:eastAsia="Times New Roman"/>
          <w:color w:val="auto"/>
          <w:sz w:val="24"/>
          <w:lang w:val="en-GB" w:eastAsia="en-ZA" w:bidi="he-IL"/>
        </w:rPr>
      </w:pPr>
      <w:r>
        <w:rPr>
          <w:rFonts w:eastAsia="Times New Roman"/>
          <w:b/>
          <w:bCs/>
          <w:color w:val="auto"/>
          <w:sz w:val="24"/>
          <w:lang w:val="en-GB" w:eastAsia="en-ZA" w:bidi="he-IL"/>
        </w:rPr>
        <w:t>REMUNERATION</w:t>
      </w:r>
      <w:r w:rsidR="00EB4342">
        <w:rPr>
          <w:rFonts w:eastAsia="Times New Roman"/>
          <w:b/>
          <w:bCs/>
          <w:color w:val="auto"/>
          <w:sz w:val="24"/>
          <w:lang w:val="en-GB" w:eastAsia="en-ZA" w:bidi="he-IL"/>
        </w:rPr>
        <w:t xml:space="preserve">         </w:t>
      </w:r>
      <w:r w:rsidR="00405D56">
        <w:rPr>
          <w:rFonts w:eastAsia="Times New Roman"/>
          <w:b/>
          <w:bCs/>
          <w:color w:val="auto"/>
          <w:sz w:val="24"/>
          <w:lang w:val="en-GB" w:eastAsia="en-ZA" w:bidi="he-IL"/>
        </w:rPr>
        <w:t xml:space="preserve">   </w:t>
      </w:r>
      <w:r w:rsidR="00EB4342">
        <w:rPr>
          <w:rFonts w:eastAsia="Times New Roman"/>
          <w:b/>
          <w:bCs/>
          <w:color w:val="auto"/>
          <w:sz w:val="24"/>
          <w:lang w:val="en-GB" w:eastAsia="en-ZA" w:bidi="he-IL"/>
        </w:rPr>
        <w:t xml:space="preserve"> </w:t>
      </w:r>
      <w:r>
        <w:rPr>
          <w:rFonts w:eastAsia="Times New Roman"/>
          <w:b/>
          <w:bCs/>
          <w:color w:val="auto"/>
          <w:sz w:val="24"/>
          <w:lang w:val="en-GB" w:eastAsia="en-ZA" w:bidi="he-IL"/>
        </w:rPr>
        <w:t xml:space="preserve">: </w:t>
      </w:r>
      <w:r w:rsidR="002C3A80" w:rsidRPr="219FC6BA">
        <w:rPr>
          <w:snapToGrid w:val="0"/>
          <w:sz w:val="24"/>
        </w:rPr>
        <w:t>United States Dollar</w:t>
      </w:r>
      <w:r w:rsidR="002C3A80">
        <w:rPr>
          <w:snapToGrid w:val="0"/>
          <w:sz w:val="24"/>
        </w:rPr>
        <w:t>s</w:t>
      </w:r>
      <w:r w:rsidR="002C3A80" w:rsidRPr="219FC6BA">
        <w:rPr>
          <w:snapToGrid w:val="0"/>
          <w:sz w:val="24"/>
        </w:rPr>
        <w:t xml:space="preserve"> </w:t>
      </w:r>
      <w:r w:rsidR="002C3A80">
        <w:rPr>
          <w:snapToGrid w:val="0"/>
          <w:sz w:val="24"/>
        </w:rPr>
        <w:t>Seventy</w:t>
      </w:r>
      <w:r w:rsidR="00762FD6">
        <w:rPr>
          <w:snapToGrid w:val="0"/>
          <w:sz w:val="24"/>
        </w:rPr>
        <w:t>-eight</w:t>
      </w:r>
      <w:r w:rsidR="002C3A80" w:rsidRPr="219FC6BA">
        <w:rPr>
          <w:snapToGrid w:val="0"/>
          <w:sz w:val="24"/>
        </w:rPr>
        <w:t xml:space="preserve"> Thousand Only (USD</w:t>
      </w:r>
      <w:r w:rsidR="00762FD6">
        <w:rPr>
          <w:snapToGrid w:val="0"/>
          <w:sz w:val="24"/>
        </w:rPr>
        <w:t>78</w:t>
      </w:r>
      <w:r w:rsidR="002C3A80" w:rsidRPr="219FC6BA">
        <w:rPr>
          <w:snapToGrid w:val="0"/>
          <w:sz w:val="24"/>
        </w:rPr>
        <w:t xml:space="preserve">,000) </w:t>
      </w:r>
      <w:r w:rsidR="00762FD6">
        <w:rPr>
          <w:snapToGrid w:val="0"/>
          <w:sz w:val="24"/>
        </w:rPr>
        <w:t xml:space="preserve">   </w:t>
      </w:r>
      <w:r w:rsidR="002C3A80" w:rsidRPr="219FC6BA">
        <w:rPr>
          <w:snapToGrid w:val="0"/>
          <w:sz w:val="24"/>
        </w:rPr>
        <w:t xml:space="preserve">per </w:t>
      </w:r>
      <w:r w:rsidR="00762FD6">
        <w:rPr>
          <w:snapToGrid w:val="0"/>
          <w:sz w:val="24"/>
        </w:rPr>
        <w:t>Annum</w:t>
      </w:r>
      <w:r w:rsidR="00A016D7">
        <w:rPr>
          <w:snapToGrid w:val="0"/>
          <w:sz w:val="24"/>
        </w:rPr>
        <w:t xml:space="preserve">. </w:t>
      </w:r>
    </w:p>
    <w:p w14:paraId="16909DC0" w14:textId="77777777" w:rsidR="00AD2EF9" w:rsidRPr="00AD2EF9" w:rsidRDefault="00AD2EF9" w:rsidP="00AD2EF9">
      <w:pPr>
        <w:spacing w:after="0" w:line="240" w:lineRule="auto"/>
        <w:ind w:left="0" w:right="0" w:firstLine="0"/>
        <w:rPr>
          <w:rFonts w:eastAsia="Times New Roman"/>
          <w:color w:val="auto"/>
          <w:sz w:val="24"/>
          <w:lang w:val="en-GB" w:eastAsia="en-ZA" w:bidi="he-IL"/>
        </w:rPr>
      </w:pPr>
    </w:p>
    <w:p w14:paraId="45009DA6" w14:textId="18E0B032" w:rsidR="00AD2EF9" w:rsidRPr="00AD2EF9" w:rsidRDefault="00AD2EF9" w:rsidP="00405D56">
      <w:pPr>
        <w:tabs>
          <w:tab w:val="left" w:pos="2694"/>
        </w:tabs>
        <w:spacing w:after="0" w:line="240" w:lineRule="auto"/>
        <w:ind w:left="2880" w:right="0" w:hanging="2880"/>
        <w:rPr>
          <w:rFonts w:eastAsia="Times New Roman"/>
          <w:color w:val="auto"/>
          <w:sz w:val="24"/>
          <w:lang w:val="en-GB" w:eastAsia="en-ZA" w:bidi="he-IL"/>
        </w:rPr>
      </w:pPr>
      <w:r w:rsidRPr="00AD2EF9">
        <w:rPr>
          <w:rFonts w:eastAsia="Times New Roman"/>
          <w:b/>
          <w:color w:val="auto"/>
          <w:sz w:val="24"/>
          <w:lang w:val="en-GB" w:eastAsia="en-ZA" w:bidi="he-IL"/>
        </w:rPr>
        <w:t>PROGRAMME</w:t>
      </w:r>
      <w:r w:rsidR="00405D56">
        <w:rPr>
          <w:rFonts w:eastAsia="Times New Roman"/>
          <w:b/>
          <w:color w:val="auto"/>
          <w:sz w:val="24"/>
          <w:lang w:val="en-GB" w:eastAsia="en-ZA" w:bidi="he-IL"/>
        </w:rPr>
        <w:tab/>
      </w:r>
      <w:r w:rsidRPr="00AD2EF9">
        <w:rPr>
          <w:rFonts w:eastAsia="Times New Roman"/>
          <w:b/>
          <w:color w:val="auto"/>
          <w:sz w:val="24"/>
          <w:lang w:val="en-GB" w:eastAsia="en-ZA" w:bidi="he-IL"/>
        </w:rPr>
        <w:t>:</w:t>
      </w:r>
      <w:r w:rsidRPr="00AD2EF9">
        <w:rPr>
          <w:rFonts w:eastAsia="Times New Roman"/>
          <w:color w:val="auto"/>
          <w:sz w:val="24"/>
          <w:lang w:val="en-GB" w:eastAsia="en-ZA" w:bidi="he-IL"/>
        </w:rPr>
        <w:tab/>
        <w:t xml:space="preserve">Accelerating Sustainable </w:t>
      </w:r>
      <w:r w:rsidR="00DE5436" w:rsidRPr="00AD2EF9">
        <w:rPr>
          <w:rFonts w:eastAsia="Times New Roman"/>
          <w:color w:val="auto"/>
          <w:sz w:val="24"/>
          <w:lang w:val="en-GB" w:eastAsia="en-ZA" w:bidi="he-IL"/>
        </w:rPr>
        <w:t>and</w:t>
      </w:r>
      <w:r w:rsidRPr="00AD2EF9">
        <w:rPr>
          <w:rFonts w:eastAsia="Times New Roman"/>
          <w:color w:val="auto"/>
          <w:sz w:val="24"/>
          <w:lang w:val="en-GB" w:eastAsia="en-ZA" w:bidi="he-IL"/>
        </w:rPr>
        <w:t xml:space="preserve"> Clean   Energy Access </w:t>
      </w:r>
      <w:r w:rsidR="00405D56">
        <w:rPr>
          <w:rFonts w:eastAsia="Times New Roman"/>
          <w:color w:val="auto"/>
          <w:sz w:val="24"/>
          <w:lang w:val="en-GB" w:eastAsia="en-ZA" w:bidi="he-IL"/>
        </w:rPr>
        <w:t xml:space="preserve"> </w:t>
      </w:r>
      <w:r w:rsidRPr="00AD2EF9">
        <w:rPr>
          <w:rFonts w:eastAsia="Times New Roman"/>
          <w:color w:val="auto"/>
          <w:sz w:val="24"/>
          <w:lang w:val="en-GB" w:eastAsia="en-ZA" w:bidi="he-IL"/>
        </w:rPr>
        <w:t>Transformation</w:t>
      </w:r>
    </w:p>
    <w:p w14:paraId="43ACCD69" w14:textId="77777777" w:rsidR="00AD2EF9" w:rsidRPr="00AD2EF9" w:rsidRDefault="00AD2EF9" w:rsidP="00AD2EF9">
      <w:pPr>
        <w:tabs>
          <w:tab w:val="left" w:pos="1985"/>
        </w:tabs>
        <w:spacing w:after="0" w:line="240" w:lineRule="auto"/>
        <w:ind w:left="0" w:right="0" w:firstLine="0"/>
        <w:rPr>
          <w:rFonts w:eastAsia="Times New Roman"/>
          <w:color w:val="auto"/>
          <w:sz w:val="24"/>
          <w:lang w:val="en-GB" w:eastAsia="en-ZA" w:bidi="he-IL"/>
        </w:rPr>
      </w:pPr>
    </w:p>
    <w:p w14:paraId="57510265" w14:textId="77777777" w:rsidR="00AD2EF9" w:rsidRPr="00AD2EF9" w:rsidRDefault="00AD2EF9" w:rsidP="00AD2EF9">
      <w:pPr>
        <w:tabs>
          <w:tab w:val="left" w:pos="2694"/>
        </w:tabs>
        <w:spacing w:after="0" w:line="240" w:lineRule="auto"/>
        <w:ind w:left="2880" w:right="0" w:hanging="2880"/>
        <w:rPr>
          <w:rFonts w:eastAsia="Times New Roman"/>
          <w:color w:val="auto"/>
          <w:sz w:val="24"/>
          <w:lang w:val="en-GB" w:eastAsia="en-ZA" w:bidi="he-IL"/>
        </w:rPr>
      </w:pPr>
      <w:r w:rsidRPr="00AD2EF9">
        <w:rPr>
          <w:rFonts w:eastAsia="Times New Roman"/>
          <w:b/>
          <w:color w:val="auto"/>
          <w:sz w:val="24"/>
          <w:lang w:val="en-GB" w:eastAsia="en-ZA" w:bidi="ar-SA"/>
        </w:rPr>
        <w:t>DUTY STATION</w:t>
      </w:r>
      <w:r w:rsidRPr="00AD2EF9">
        <w:rPr>
          <w:rFonts w:eastAsia="Times New Roman"/>
          <w:b/>
          <w:color w:val="auto"/>
          <w:sz w:val="24"/>
          <w:lang w:val="en-GB" w:eastAsia="en-ZA" w:bidi="ar-SA"/>
        </w:rPr>
        <w:tab/>
        <w:t>:</w:t>
      </w:r>
      <w:r w:rsidRPr="00AD2EF9">
        <w:rPr>
          <w:rFonts w:eastAsia="Times New Roman"/>
          <w:b/>
          <w:color w:val="auto"/>
          <w:sz w:val="24"/>
          <w:lang w:val="en-GB" w:eastAsia="en-ZA" w:bidi="ar-SA"/>
        </w:rPr>
        <w:tab/>
      </w:r>
      <w:r w:rsidRPr="00AD2EF9">
        <w:rPr>
          <w:rFonts w:eastAsia="Times New Roman"/>
          <w:color w:val="auto"/>
          <w:sz w:val="24"/>
          <w:lang w:val="en-GB" w:eastAsia="en-ZA" w:bidi="ar-SA"/>
        </w:rPr>
        <w:t>Infrastructure and Logistics Division, COMESA Secretariat, Lusaka, Zambia</w:t>
      </w:r>
    </w:p>
    <w:p w14:paraId="59D5C0F2" w14:textId="77777777" w:rsidR="00AD2EF9" w:rsidRPr="00AD2EF9" w:rsidRDefault="00AD2EF9" w:rsidP="00AD2EF9">
      <w:pPr>
        <w:spacing w:after="0" w:line="240" w:lineRule="auto"/>
        <w:ind w:left="0" w:right="0" w:firstLine="0"/>
        <w:rPr>
          <w:rFonts w:eastAsia="Times New Roman"/>
          <w:color w:val="auto"/>
          <w:sz w:val="24"/>
          <w:lang w:val="en-GB" w:eastAsia="en-ZA" w:bidi="he-IL"/>
        </w:rPr>
      </w:pPr>
    </w:p>
    <w:p w14:paraId="7857DF19" w14:textId="77777777" w:rsidR="00AD2EF9" w:rsidRPr="00AD2EF9" w:rsidRDefault="00AD2EF9" w:rsidP="00AD2EF9">
      <w:pPr>
        <w:tabs>
          <w:tab w:val="left" w:pos="2694"/>
        </w:tabs>
        <w:spacing w:after="0" w:line="240" w:lineRule="auto"/>
        <w:ind w:left="2880" w:right="0" w:hanging="2880"/>
        <w:rPr>
          <w:rFonts w:eastAsia="Times New Roman"/>
          <w:color w:val="auto"/>
          <w:sz w:val="24"/>
          <w:lang w:val="en-GB" w:eastAsia="en-ZA" w:bidi="he-IL"/>
        </w:rPr>
      </w:pPr>
      <w:r w:rsidRPr="00AD2EF9">
        <w:rPr>
          <w:rFonts w:eastAsia="Calibri"/>
          <w:b/>
          <w:color w:val="auto"/>
          <w:sz w:val="24"/>
          <w:lang w:val="en-GB" w:eastAsia="en-ZA" w:bidi="ar-SA"/>
        </w:rPr>
        <w:t>CONTRACT DURATION</w:t>
      </w:r>
      <w:r w:rsidRPr="00AD2EF9">
        <w:rPr>
          <w:rFonts w:eastAsia="Calibri"/>
          <w:b/>
          <w:color w:val="auto"/>
          <w:sz w:val="24"/>
          <w:lang w:val="en-GB" w:eastAsia="en-ZA" w:bidi="ar-SA"/>
        </w:rPr>
        <w:tab/>
        <w:t>:</w:t>
      </w:r>
      <w:r w:rsidRPr="00AD2EF9">
        <w:rPr>
          <w:rFonts w:eastAsia="Calibri"/>
          <w:b/>
          <w:color w:val="auto"/>
          <w:sz w:val="24"/>
          <w:lang w:val="en-GB" w:eastAsia="en-ZA" w:bidi="ar-SA"/>
        </w:rPr>
        <w:tab/>
      </w:r>
      <w:r w:rsidRPr="00AD2EF9">
        <w:rPr>
          <w:rFonts w:eastAsia="Times New Roman"/>
          <w:color w:val="auto"/>
          <w:sz w:val="24"/>
          <w:lang w:val="en-GB" w:eastAsia="en-ZA" w:bidi="ar-SA"/>
        </w:rPr>
        <w:t>Two (2) years with a possibility of extension subject to availability of funds for continued project implementation and satisfactory performance. The initial contract period shall include a six (6) months probationary period.</w:t>
      </w:r>
    </w:p>
    <w:p w14:paraId="5E16C475" w14:textId="77777777" w:rsidR="00AD2EF9" w:rsidRPr="00AD2EF9" w:rsidRDefault="00AD2EF9" w:rsidP="00AD2EF9">
      <w:pPr>
        <w:spacing w:after="0" w:line="240" w:lineRule="auto"/>
        <w:ind w:left="0" w:right="0" w:firstLine="0"/>
        <w:rPr>
          <w:rFonts w:eastAsia="Times New Roman"/>
          <w:color w:val="auto"/>
          <w:sz w:val="24"/>
          <w:lang w:val="en-GB" w:eastAsia="en-ZA" w:bidi="he-IL"/>
        </w:rPr>
      </w:pPr>
    </w:p>
    <w:p w14:paraId="2A7B9871" w14:textId="77777777" w:rsidR="00AD2EF9" w:rsidRPr="00AD2EF9" w:rsidRDefault="00AD2EF9" w:rsidP="00AD2EF9">
      <w:pPr>
        <w:tabs>
          <w:tab w:val="left" w:pos="2694"/>
        </w:tabs>
        <w:spacing w:after="0" w:line="240" w:lineRule="auto"/>
        <w:ind w:left="2880" w:right="0" w:hanging="2880"/>
        <w:rPr>
          <w:rFonts w:eastAsia="Calibri"/>
          <w:color w:val="auto"/>
          <w:sz w:val="24"/>
          <w:lang w:val="en-GB" w:eastAsia="en-ZA" w:bidi="ar-SA"/>
        </w:rPr>
      </w:pPr>
      <w:r w:rsidRPr="00AD2EF9">
        <w:rPr>
          <w:rFonts w:eastAsia="Times New Roman"/>
          <w:b/>
          <w:color w:val="auto"/>
          <w:sz w:val="24"/>
          <w:lang w:val="en-GB" w:eastAsia="en-ZA" w:bidi="he-IL"/>
        </w:rPr>
        <w:t>REPORTING TO</w:t>
      </w:r>
      <w:r w:rsidRPr="00AD2EF9">
        <w:rPr>
          <w:rFonts w:eastAsia="Times New Roman"/>
          <w:b/>
          <w:color w:val="auto"/>
          <w:sz w:val="24"/>
          <w:lang w:val="en-GB" w:eastAsia="en-ZA" w:bidi="he-IL"/>
        </w:rPr>
        <w:tab/>
        <w:t>:</w:t>
      </w:r>
      <w:r w:rsidRPr="00AD2EF9">
        <w:rPr>
          <w:rFonts w:eastAsia="Times New Roman"/>
          <w:color w:val="auto"/>
          <w:sz w:val="24"/>
          <w:lang w:val="en-GB" w:eastAsia="en-ZA" w:bidi="he-IL"/>
        </w:rPr>
        <w:tab/>
        <w:t>Technical Manager under the overall supervision of  the Project Coordinator.</w:t>
      </w:r>
    </w:p>
    <w:p w14:paraId="6293FC05" w14:textId="77777777" w:rsidR="00AD2EF9" w:rsidRPr="00AD2EF9" w:rsidRDefault="00AD2EF9" w:rsidP="00AD2EF9">
      <w:pPr>
        <w:tabs>
          <w:tab w:val="left" w:pos="2694"/>
        </w:tabs>
        <w:spacing w:after="0" w:line="240" w:lineRule="auto"/>
        <w:ind w:left="2880" w:right="0" w:hanging="2880"/>
        <w:rPr>
          <w:rFonts w:eastAsia="Times New Roman"/>
          <w:color w:val="auto"/>
          <w:sz w:val="24"/>
          <w:lang w:val="en-GB" w:eastAsia="en-ZA" w:bidi="he-IL"/>
        </w:rPr>
      </w:pPr>
    </w:p>
    <w:p w14:paraId="623824E8" w14:textId="77777777" w:rsidR="00AD2EF9" w:rsidRPr="00AD2EF9" w:rsidRDefault="00AD2EF9" w:rsidP="00221556">
      <w:pPr>
        <w:pStyle w:val="ListParagraph"/>
        <w:numPr>
          <w:ilvl w:val="0"/>
          <w:numId w:val="2"/>
        </w:numPr>
        <w:ind w:hanging="720"/>
        <w:rPr>
          <w:rFonts w:eastAsia="Calibri"/>
          <w:b/>
          <w:color w:val="auto"/>
          <w:sz w:val="24"/>
          <w:lang w:bidi="ar-SA"/>
        </w:rPr>
      </w:pPr>
      <w:r w:rsidRPr="00AD2EF9">
        <w:rPr>
          <w:rFonts w:eastAsia="Calibri"/>
          <w:b/>
          <w:color w:val="auto"/>
          <w:sz w:val="24"/>
          <w:lang w:val="en-GB" w:bidi="ar-SA"/>
        </w:rPr>
        <w:t>SCOPE OF WORK</w:t>
      </w:r>
    </w:p>
    <w:p w14:paraId="1EECB100" w14:textId="77777777" w:rsidR="00AD2EF9" w:rsidRPr="00AD2EF9" w:rsidRDefault="00AD2EF9" w:rsidP="00AD2EF9">
      <w:pPr>
        <w:spacing w:after="0" w:line="240" w:lineRule="auto"/>
        <w:ind w:left="0" w:right="0" w:firstLine="0"/>
        <w:rPr>
          <w:rFonts w:eastAsia="Times New Roman"/>
          <w:sz w:val="24"/>
          <w:lang w:val="en-GB" w:bidi="ar-SA"/>
        </w:rPr>
      </w:pPr>
    </w:p>
    <w:p w14:paraId="794F02DF" w14:textId="1D4CFCC9" w:rsidR="00AD2EF9" w:rsidRPr="00AD2EF9" w:rsidRDefault="00AD2EF9" w:rsidP="00AD2EF9">
      <w:pPr>
        <w:widowControl w:val="0"/>
        <w:spacing w:after="0" w:line="240" w:lineRule="auto"/>
        <w:ind w:left="0" w:right="0" w:firstLine="0"/>
        <w:rPr>
          <w:rFonts w:eastAsia="Times New Roman"/>
          <w:color w:val="auto"/>
          <w:sz w:val="24"/>
          <w:lang w:val="en-GB" w:bidi="ar-SA"/>
        </w:rPr>
      </w:pPr>
      <w:r w:rsidRPr="00AD2EF9">
        <w:rPr>
          <w:rFonts w:eastAsia="Times New Roman"/>
          <w:color w:val="auto"/>
          <w:sz w:val="24"/>
          <w:lang w:val="en-GB" w:bidi="ar-SA"/>
        </w:rPr>
        <w:t xml:space="preserve">The role of the Energy Policy and Regulatory </w:t>
      </w:r>
      <w:r w:rsidR="00F4381D" w:rsidRPr="00AD2EF9">
        <w:rPr>
          <w:rFonts w:eastAsia="Times New Roman"/>
          <w:color w:val="auto"/>
          <w:sz w:val="24"/>
          <w:lang w:val="en-GB" w:bidi="ar-SA"/>
        </w:rPr>
        <w:t>Specialist</w:t>
      </w:r>
      <w:r w:rsidRPr="00AD2EF9">
        <w:rPr>
          <w:rFonts w:eastAsia="Times New Roman"/>
          <w:color w:val="auto"/>
          <w:sz w:val="24"/>
          <w:lang w:val="en-GB" w:bidi="ar-SA"/>
        </w:rPr>
        <w:t xml:space="preserve"> will be to provide specialized policy and regulatory expertise to support the implementation of the project components under the COMESA Regional Energy Access Acceleration Platform (REAAP). </w:t>
      </w:r>
      <w:r w:rsidRPr="00AD2EF9">
        <w:rPr>
          <w:rFonts w:eastAsia="Times New Roman"/>
          <w:color w:val="auto"/>
          <w:sz w:val="24"/>
          <w:lang w:val="en-GB" w:eastAsia="da-DK" w:bidi="ar-SA"/>
        </w:rPr>
        <w:t xml:space="preserve">This specialist will facilitate the development and harmonization of enabling policy and regulatory frameworks </w:t>
      </w:r>
      <w:r w:rsidRPr="00AD2EF9">
        <w:rPr>
          <w:rFonts w:eastAsia="Times New Roman"/>
          <w:color w:val="auto"/>
          <w:sz w:val="24"/>
          <w:lang w:val="en-GB" w:bidi="ar-SA"/>
        </w:rPr>
        <w:t>for energy access across ASCENT countries</w:t>
      </w:r>
      <w:r w:rsidRPr="00AD2EF9">
        <w:rPr>
          <w:rFonts w:eastAsia="Times New Roman"/>
          <w:color w:val="auto"/>
          <w:sz w:val="24"/>
          <w:lang w:val="en-GB" w:eastAsia="da-DK" w:bidi="ar-SA"/>
        </w:rPr>
        <w:t xml:space="preserve">, support governments and the private sector with development of investment-ready energy </w:t>
      </w:r>
      <w:r w:rsidR="00DC0C34" w:rsidRPr="00AD2EF9">
        <w:rPr>
          <w:rFonts w:eastAsia="Times New Roman"/>
          <w:color w:val="auto"/>
          <w:sz w:val="24"/>
          <w:lang w:val="en-GB" w:eastAsia="da-DK" w:bidi="ar-SA"/>
        </w:rPr>
        <w:t>projects and</w:t>
      </w:r>
      <w:r w:rsidRPr="00AD2EF9">
        <w:rPr>
          <w:rFonts w:eastAsia="Times New Roman"/>
          <w:color w:val="auto"/>
          <w:sz w:val="24"/>
          <w:lang w:val="en-GB" w:eastAsia="da-DK" w:bidi="ar-SA"/>
        </w:rPr>
        <w:t xml:space="preserve"> promote regional coordination and private sector engagement. </w:t>
      </w:r>
      <w:r w:rsidRPr="00AD2EF9">
        <w:rPr>
          <w:rFonts w:eastAsia="Times New Roman"/>
          <w:color w:val="auto"/>
          <w:sz w:val="24"/>
          <w:lang w:val="en-GB" w:bidi="ar-SA"/>
        </w:rPr>
        <w:t xml:space="preserve">This position also involves active engagement with governments, regulators, private sector actors, and other stakeholders to promote enabling environments for distributed renewable energy, clean cooking, and cross-border energy solutions. </w:t>
      </w:r>
    </w:p>
    <w:p w14:paraId="672E15DA" w14:textId="77777777" w:rsidR="00AD2EF9" w:rsidRPr="00AD2EF9" w:rsidRDefault="00AD2EF9" w:rsidP="00AD2EF9">
      <w:pPr>
        <w:widowControl w:val="0"/>
        <w:spacing w:after="0" w:line="240" w:lineRule="auto"/>
        <w:ind w:left="0" w:right="0" w:firstLine="0"/>
        <w:rPr>
          <w:rFonts w:eastAsia="Times New Roman"/>
          <w:bCs/>
          <w:color w:val="auto"/>
          <w:sz w:val="24"/>
          <w:lang w:val="en-GB" w:bidi="ar-SA"/>
        </w:rPr>
      </w:pPr>
    </w:p>
    <w:p w14:paraId="6E093B50" w14:textId="77777777" w:rsidR="00AD2EF9" w:rsidRPr="00AD2EF9" w:rsidRDefault="00AD2EF9" w:rsidP="00AD2EF9">
      <w:pPr>
        <w:widowControl w:val="0"/>
        <w:spacing w:after="0" w:line="240" w:lineRule="auto"/>
        <w:ind w:left="0" w:right="0" w:firstLine="0"/>
        <w:rPr>
          <w:rFonts w:eastAsia="Times New Roman"/>
          <w:bCs/>
          <w:color w:val="auto"/>
          <w:sz w:val="24"/>
          <w:lang w:val="en-GB" w:bidi="ar-SA"/>
        </w:rPr>
      </w:pPr>
      <w:r w:rsidRPr="00AD2EF9">
        <w:rPr>
          <w:rFonts w:eastAsia="Times New Roman"/>
          <w:bCs/>
          <w:color w:val="auto"/>
          <w:sz w:val="24"/>
          <w:lang w:val="en-GB" w:bidi="ar-SA"/>
        </w:rPr>
        <w:t>Under the overall supervision of the ASCENT Project Coordinator and reporting to the Technical Manager, the Energy Policy and Regulatory Specialist will provide policy and regulatory expertise across multiple components and thematic areas, with a primary focus on supporting the Advisory Support Facility (ASF) and the Project Preparation Facility (PPF):</w:t>
      </w:r>
    </w:p>
    <w:p w14:paraId="73355436" w14:textId="77777777" w:rsidR="00AD2EF9" w:rsidRPr="00AD2EF9" w:rsidRDefault="00AD2EF9" w:rsidP="00AD2EF9">
      <w:pPr>
        <w:widowControl w:val="0"/>
        <w:spacing w:after="0" w:line="240" w:lineRule="auto"/>
        <w:ind w:left="0" w:right="0" w:firstLine="0"/>
        <w:rPr>
          <w:rFonts w:eastAsia="Times New Roman"/>
          <w:bCs/>
          <w:color w:val="auto"/>
          <w:sz w:val="24"/>
          <w:lang w:val="en-GB" w:bidi="ar-SA"/>
        </w:rPr>
      </w:pPr>
    </w:p>
    <w:p w14:paraId="5FEC8809" w14:textId="7B287350" w:rsidR="00AD2EF9" w:rsidRPr="00AD2EF9" w:rsidRDefault="00AD2EF9" w:rsidP="00221556">
      <w:pPr>
        <w:numPr>
          <w:ilvl w:val="0"/>
          <w:numId w:val="48"/>
        </w:numPr>
        <w:suppressAutoHyphens/>
        <w:autoSpaceDN w:val="0"/>
        <w:spacing w:after="160" w:line="240" w:lineRule="auto"/>
        <w:ind w:left="1440" w:right="0" w:hanging="720"/>
        <w:contextualSpacing/>
        <w:textAlignment w:val="baseline"/>
        <w:rPr>
          <w:rFonts w:eastAsia="Calibri"/>
          <w:color w:val="auto"/>
          <w:sz w:val="24"/>
          <w:lang w:bidi="ar-SA"/>
        </w:rPr>
      </w:pPr>
      <w:r w:rsidRPr="00AD2EF9">
        <w:rPr>
          <w:rFonts w:eastAsia="Calibri"/>
          <w:b/>
          <w:bCs/>
          <w:color w:val="auto"/>
          <w:sz w:val="24"/>
          <w:lang w:bidi="ar-SA"/>
        </w:rPr>
        <w:t>Advisory Support Facility (ASF)</w:t>
      </w:r>
      <w:r w:rsidRPr="00AD2EF9">
        <w:rPr>
          <w:rFonts w:eastAsia="Calibri"/>
          <w:color w:val="auto"/>
          <w:sz w:val="24"/>
          <w:lang w:bidi="ar-SA"/>
        </w:rPr>
        <w:t xml:space="preserve">: </w:t>
      </w:r>
      <w:r w:rsidRPr="00AD2EF9">
        <w:rPr>
          <w:rFonts w:eastAsia="Calibri"/>
          <w:bCs/>
          <w:color w:val="auto"/>
          <w:sz w:val="24"/>
          <w:lang w:val="en-GB" w:bidi="ar-SA"/>
        </w:rPr>
        <w:t xml:space="preserve">The Energy Policy and Regulatory Specialist  will </w:t>
      </w:r>
      <w:r w:rsidRPr="00AD2EF9">
        <w:rPr>
          <w:rFonts w:eastAsia="Calibri"/>
          <w:color w:val="auto"/>
          <w:sz w:val="24"/>
          <w:lang w:bidi="ar-SA"/>
        </w:rPr>
        <w:t>support the PIU’s Technical</w:t>
      </w:r>
      <w:r w:rsidRPr="00AD2EF9">
        <w:rPr>
          <w:rFonts w:eastAsia="Calibri"/>
          <w:color w:val="auto"/>
          <w:sz w:val="24"/>
          <w:lang w:val="en-GB" w:bidi="ar-SA"/>
        </w:rPr>
        <w:t xml:space="preserve"> in establishing and operationalizing the ASF, ensuring effective delivery of advisory services to ASCENT </w:t>
      </w:r>
      <w:r w:rsidRPr="00AD2EF9">
        <w:rPr>
          <w:rFonts w:eastAsia="Calibri"/>
          <w:color w:val="auto"/>
          <w:sz w:val="24"/>
          <w:lang w:val="en-GB" w:bidi="ar-SA"/>
        </w:rPr>
        <w:lastRenderedPageBreak/>
        <w:t xml:space="preserve">participating countries. This include designing and implementing ASF processes, supporting the procurement of specialized services, and ensuring that advisory support is tailored to the ASF’s thematic priorities. The Specialist will work closely with government counterparts to provide technical advisory services, conduct policy analysis, and support regulatory reforms aimed at accelerating sustainable and clean energy access. The role also involves facilitating the adoption of best practices, promoting regional harmonization of policy and regulatory frameworks, and organizing capacity-building activities, knowledge exchange events, and stakeholder consultations. These efforts will strengthen institutional capacities and foster collaboration among governments, </w:t>
      </w:r>
      <w:r w:rsidR="00E97611" w:rsidRPr="00AD2EF9">
        <w:rPr>
          <w:rFonts w:eastAsia="Calibri"/>
          <w:color w:val="auto"/>
          <w:sz w:val="24"/>
          <w:lang w:val="en-GB" w:bidi="ar-SA"/>
        </w:rPr>
        <w:t>regulators</w:t>
      </w:r>
      <w:r w:rsidRPr="00AD2EF9">
        <w:rPr>
          <w:rFonts w:eastAsia="Calibri"/>
          <w:color w:val="auto"/>
          <w:sz w:val="24"/>
          <w:lang w:val="en-GB" w:bidi="ar-SA"/>
        </w:rPr>
        <w:t>, private sector, and other stakeholders to create an enabling environment for energy access.</w:t>
      </w:r>
    </w:p>
    <w:p w14:paraId="102BBB2E" w14:textId="77777777" w:rsidR="00AD2EF9" w:rsidRPr="00AD2EF9" w:rsidRDefault="00AD2EF9" w:rsidP="00221556">
      <w:pPr>
        <w:suppressAutoHyphens/>
        <w:autoSpaceDN w:val="0"/>
        <w:spacing w:after="160" w:line="240" w:lineRule="auto"/>
        <w:ind w:left="1440" w:right="0" w:hanging="720"/>
        <w:contextualSpacing/>
        <w:textAlignment w:val="baseline"/>
        <w:rPr>
          <w:rFonts w:eastAsia="Calibri"/>
          <w:color w:val="auto"/>
          <w:sz w:val="24"/>
          <w:lang w:bidi="ar-SA"/>
        </w:rPr>
      </w:pPr>
    </w:p>
    <w:p w14:paraId="78B89B7D" w14:textId="77777777" w:rsidR="00AD2EF9" w:rsidRPr="00DE5436" w:rsidRDefault="00AD2EF9" w:rsidP="00221556">
      <w:pPr>
        <w:numPr>
          <w:ilvl w:val="0"/>
          <w:numId w:val="48"/>
        </w:numPr>
        <w:suppressAutoHyphens/>
        <w:autoSpaceDN w:val="0"/>
        <w:spacing w:after="160" w:line="259" w:lineRule="auto"/>
        <w:ind w:left="1440" w:right="0" w:hanging="720"/>
        <w:contextualSpacing/>
        <w:textAlignment w:val="baseline"/>
        <w:rPr>
          <w:rFonts w:eastAsia="Calibri"/>
          <w:color w:val="auto"/>
          <w:sz w:val="24"/>
          <w:lang w:bidi="ar-SA"/>
        </w:rPr>
      </w:pPr>
      <w:r w:rsidRPr="00AD2EF9">
        <w:rPr>
          <w:rFonts w:eastAsia="Calibri"/>
          <w:b/>
          <w:bCs/>
          <w:color w:val="auto"/>
          <w:sz w:val="24"/>
          <w:lang w:bidi="ar-SA"/>
        </w:rPr>
        <w:t>Project Preparation Facility (PPF):</w:t>
      </w:r>
      <w:r w:rsidRPr="00AD2EF9">
        <w:rPr>
          <w:rFonts w:eastAsia="Calibri"/>
          <w:color w:val="auto"/>
          <w:sz w:val="24"/>
          <w:lang w:bidi="ar-SA"/>
        </w:rPr>
        <w:t xml:space="preserve"> </w:t>
      </w:r>
      <w:r w:rsidRPr="00AD2EF9">
        <w:rPr>
          <w:rFonts w:eastAsia="Calibri"/>
          <w:bCs/>
          <w:color w:val="auto"/>
          <w:sz w:val="24"/>
          <w:lang w:val="en-GB" w:bidi="ar-SA"/>
        </w:rPr>
        <w:t xml:space="preserve">The Energy Policy and Regulatory Specialist   will </w:t>
      </w:r>
      <w:r w:rsidRPr="00AD2EF9">
        <w:rPr>
          <w:rFonts w:eastAsia="Calibri"/>
          <w:color w:val="auto"/>
          <w:sz w:val="24"/>
          <w:lang w:bidi="ar-SA"/>
        </w:rPr>
        <w:t xml:space="preserve">support  the PIU’s Technical Manager in implementation of the PPF subcomponents, (i) project development support to national agencies to prepare investment ready and bankable projects, (ii) cross-border solutions through identification prioritization, and facilitation of  cross-border energy provision among multiple countries, spanning grid connections, on-grid renewable energy, and DRE solutions, as well as clean cooking, with the objective of accelerating energy access in COMESA border areas, (iii) support to private-sector DRE and clean cooking companies to prepare investment ready and bankable private-sector DRE and clean cooking projects. </w:t>
      </w:r>
      <w:r w:rsidRPr="00AD2EF9">
        <w:rPr>
          <w:rFonts w:eastAsia="Calibri"/>
          <w:bCs/>
          <w:color w:val="auto"/>
          <w:sz w:val="24"/>
          <w:lang w:bidi="ar-SA"/>
        </w:rPr>
        <w:t>While the PPF will be managed by a consultant (the “PPF Manager”) and supported by a roster of technical experts, the Energy Policy and Regulatory Specialist will participate in PPF oversight and may take a hands-on role in providing policy and regulatory support for PPF activities.</w:t>
      </w:r>
    </w:p>
    <w:p w14:paraId="2E9C3A8A" w14:textId="77777777" w:rsidR="00DE5436" w:rsidRDefault="00DE5436" w:rsidP="00DE5436">
      <w:pPr>
        <w:pStyle w:val="ListParagraph"/>
        <w:rPr>
          <w:rFonts w:eastAsia="Calibri"/>
          <w:color w:val="auto"/>
          <w:sz w:val="24"/>
          <w:lang w:bidi="ar-SA"/>
        </w:rPr>
      </w:pPr>
    </w:p>
    <w:p w14:paraId="12F07A9B" w14:textId="68DC9455" w:rsidR="00DE5436" w:rsidRPr="00AD2EF9" w:rsidRDefault="00DE5436" w:rsidP="00DE5436">
      <w:pPr>
        <w:pStyle w:val="ListParagraph"/>
        <w:numPr>
          <w:ilvl w:val="0"/>
          <w:numId w:val="2"/>
        </w:numPr>
        <w:ind w:hanging="720"/>
        <w:rPr>
          <w:rFonts w:eastAsia="Calibri"/>
          <w:b/>
          <w:bCs/>
          <w:color w:val="auto"/>
          <w:sz w:val="24"/>
          <w:lang w:bidi="ar-SA"/>
        </w:rPr>
      </w:pPr>
      <w:r w:rsidRPr="00DE5436">
        <w:rPr>
          <w:rFonts w:eastAsia="Calibri"/>
          <w:b/>
          <w:bCs/>
          <w:color w:val="auto"/>
          <w:sz w:val="24"/>
          <w:lang w:bidi="ar-SA"/>
        </w:rPr>
        <w:t>KEY RESPONSIBILITIES</w:t>
      </w:r>
    </w:p>
    <w:p w14:paraId="5D320B10" w14:textId="77777777" w:rsidR="00AD2EF9" w:rsidRPr="00AD2EF9" w:rsidRDefault="00AD2EF9" w:rsidP="00AD2EF9">
      <w:pPr>
        <w:widowControl w:val="0"/>
        <w:spacing w:after="0" w:line="240" w:lineRule="auto"/>
        <w:ind w:left="0" w:right="0" w:firstLine="0"/>
        <w:rPr>
          <w:rFonts w:eastAsia="Times New Roman"/>
          <w:bCs/>
          <w:color w:val="auto"/>
          <w:sz w:val="24"/>
          <w:lang w:val="en-GB" w:bidi="ar-SA"/>
        </w:rPr>
      </w:pPr>
    </w:p>
    <w:p w14:paraId="63DF3A01" w14:textId="77777777" w:rsidR="00AD2EF9" w:rsidRDefault="00AD2EF9" w:rsidP="00DE5436">
      <w:pPr>
        <w:spacing w:after="200" w:line="259" w:lineRule="auto"/>
        <w:ind w:left="0" w:right="0" w:firstLine="0"/>
        <w:contextualSpacing/>
        <w:rPr>
          <w:rFonts w:eastAsia="Calibri"/>
          <w:color w:val="auto"/>
          <w:sz w:val="24"/>
          <w:lang w:bidi="ar-SA"/>
        </w:rPr>
      </w:pPr>
      <w:r w:rsidRPr="00AD2EF9">
        <w:rPr>
          <w:rFonts w:eastAsia="Calibri"/>
          <w:bCs/>
          <w:color w:val="auto"/>
          <w:sz w:val="24"/>
          <w:lang w:bidi="ar-SA"/>
        </w:rPr>
        <w:t xml:space="preserve">The Energy Policy and Regulatory Specialist </w:t>
      </w:r>
      <w:r w:rsidRPr="00AD2EF9">
        <w:rPr>
          <w:rFonts w:eastAsia="Calibri"/>
          <w:color w:val="auto"/>
          <w:sz w:val="24"/>
          <w:lang w:bidi="ar-SA"/>
        </w:rPr>
        <w:t>will have the following key responsibilities to support the successful implementation and scaling of activities under ASF and PPF:</w:t>
      </w:r>
    </w:p>
    <w:p w14:paraId="703A9281" w14:textId="77777777" w:rsidR="0066267A" w:rsidRPr="00AD2EF9" w:rsidRDefault="0066267A" w:rsidP="00DE5436">
      <w:pPr>
        <w:spacing w:after="200" w:line="259" w:lineRule="auto"/>
        <w:ind w:left="0" w:right="0" w:firstLine="0"/>
        <w:contextualSpacing/>
        <w:rPr>
          <w:rFonts w:eastAsia="Calibri"/>
          <w:color w:val="auto"/>
          <w:sz w:val="24"/>
          <w:lang w:bidi="ar-SA"/>
        </w:rPr>
      </w:pPr>
    </w:p>
    <w:p w14:paraId="05C1265D" w14:textId="77777777" w:rsidR="00AD2EF9" w:rsidRPr="002E7087" w:rsidRDefault="00AD2EF9" w:rsidP="002E7087">
      <w:pPr>
        <w:pStyle w:val="ListParagraph"/>
        <w:numPr>
          <w:ilvl w:val="0"/>
          <w:numId w:val="51"/>
        </w:numPr>
        <w:spacing w:after="0" w:line="259" w:lineRule="auto"/>
        <w:ind w:left="1440" w:right="0" w:hanging="720"/>
        <w:rPr>
          <w:rFonts w:eastAsia="Times New Roman"/>
          <w:b/>
          <w:bCs/>
          <w:sz w:val="24"/>
          <w:lang w:val="en-GB" w:bidi="ar-SA"/>
        </w:rPr>
      </w:pPr>
      <w:r w:rsidRPr="002E7087">
        <w:rPr>
          <w:rFonts w:eastAsia="Times New Roman"/>
          <w:b/>
          <w:bCs/>
          <w:sz w:val="24"/>
          <w:lang w:val="en-GB" w:bidi="ar-SA"/>
        </w:rPr>
        <w:t>Policy and Regulatory Framework Development and Harmonization:</w:t>
      </w:r>
    </w:p>
    <w:p w14:paraId="5DE963C6" w14:textId="77777777" w:rsidR="00AD2EF9" w:rsidRPr="00AD2EF9" w:rsidRDefault="00AD2EF9" w:rsidP="00DE5436">
      <w:pPr>
        <w:spacing w:after="0" w:line="240" w:lineRule="auto"/>
        <w:ind w:left="0" w:right="0" w:firstLine="0"/>
        <w:rPr>
          <w:rFonts w:eastAsia="Calibri"/>
          <w:sz w:val="24"/>
          <w:lang w:bidi="ar-SA"/>
        </w:rPr>
      </w:pPr>
    </w:p>
    <w:p w14:paraId="5DA5804A" w14:textId="77777777" w:rsidR="00AD2EF9" w:rsidRPr="00AD2EF9" w:rsidRDefault="00AD2EF9" w:rsidP="002E7087">
      <w:pPr>
        <w:numPr>
          <w:ilvl w:val="0"/>
          <w:numId w:val="49"/>
        </w:numPr>
        <w:spacing w:after="0" w:line="240" w:lineRule="auto"/>
        <w:ind w:left="2160" w:right="0" w:hanging="540"/>
        <w:contextualSpacing/>
        <w:rPr>
          <w:rFonts w:eastAsia="Calibri"/>
          <w:sz w:val="24"/>
          <w:lang w:bidi="ar-SA"/>
        </w:rPr>
      </w:pPr>
      <w:r w:rsidRPr="00AD2EF9">
        <w:rPr>
          <w:rFonts w:eastAsia="Calibri"/>
          <w:sz w:val="24"/>
          <w:lang w:bidi="ar-SA"/>
        </w:rPr>
        <w:t>Lead and facilitate the review, development and harmonization of enabling policy and regulatory frameworks for energy access across ASCENT countries.</w:t>
      </w:r>
    </w:p>
    <w:p w14:paraId="31377D29" w14:textId="77777777" w:rsidR="00AD2EF9" w:rsidRPr="00AD2EF9" w:rsidRDefault="00AD2EF9" w:rsidP="002E7087">
      <w:pPr>
        <w:numPr>
          <w:ilvl w:val="0"/>
          <w:numId w:val="49"/>
        </w:numPr>
        <w:spacing w:after="0" w:line="240" w:lineRule="auto"/>
        <w:ind w:left="2160" w:right="0" w:hanging="540"/>
        <w:contextualSpacing/>
        <w:rPr>
          <w:rFonts w:eastAsia="Calibri"/>
          <w:sz w:val="24"/>
          <w:lang w:bidi="ar-SA"/>
        </w:rPr>
      </w:pPr>
      <w:r w:rsidRPr="00AD2EF9">
        <w:rPr>
          <w:rFonts w:eastAsia="Calibri"/>
          <w:sz w:val="24"/>
          <w:lang w:bidi="ar-SA"/>
        </w:rPr>
        <w:t>Provide technical advisory services to governments on policy analysis, regulatory reforms, and the adoption of best practices to accelerate sustainable and clean energy access, including distributed renewable energy (DRE), clean cooking, and cross-border energy solutions.</w:t>
      </w:r>
    </w:p>
    <w:p w14:paraId="38C96569" w14:textId="77777777" w:rsidR="00AD2EF9" w:rsidRPr="00AD2EF9" w:rsidRDefault="00AD2EF9" w:rsidP="002E7087">
      <w:pPr>
        <w:numPr>
          <w:ilvl w:val="0"/>
          <w:numId w:val="49"/>
        </w:numPr>
        <w:spacing w:after="0" w:line="240" w:lineRule="auto"/>
        <w:ind w:left="2160" w:right="0" w:hanging="540"/>
        <w:contextualSpacing/>
        <w:rPr>
          <w:rFonts w:eastAsia="Calibri"/>
          <w:sz w:val="24"/>
          <w:lang w:bidi="ar-SA"/>
        </w:rPr>
      </w:pPr>
      <w:r w:rsidRPr="00AD2EF9">
        <w:rPr>
          <w:rFonts w:eastAsia="Calibri"/>
          <w:sz w:val="24"/>
          <w:lang w:bidi="ar-SA"/>
        </w:rPr>
        <w:t>Review and contribute to the development of the Terms of Reference for consultancy services related to creating enabling policy and regulatory environment.</w:t>
      </w:r>
    </w:p>
    <w:p w14:paraId="21444CFB" w14:textId="77777777" w:rsidR="00AD2EF9" w:rsidRPr="00AD2EF9" w:rsidRDefault="00AD2EF9" w:rsidP="002E7087">
      <w:pPr>
        <w:numPr>
          <w:ilvl w:val="0"/>
          <w:numId w:val="49"/>
        </w:numPr>
        <w:spacing w:after="0" w:line="240" w:lineRule="auto"/>
        <w:ind w:left="2160" w:right="0" w:hanging="540"/>
        <w:contextualSpacing/>
        <w:rPr>
          <w:rFonts w:eastAsia="Calibri"/>
          <w:sz w:val="24"/>
          <w:lang w:bidi="ar-SA"/>
        </w:rPr>
      </w:pPr>
      <w:r w:rsidRPr="00AD2EF9">
        <w:rPr>
          <w:rFonts w:eastAsia="Calibri"/>
          <w:sz w:val="24"/>
          <w:lang w:bidi="ar-SA"/>
        </w:rPr>
        <w:lastRenderedPageBreak/>
        <w:t>Support the development of studies, reports and other deliverables related to creating enabling policy and regulatory environment across ASCENT countries.</w:t>
      </w:r>
    </w:p>
    <w:p w14:paraId="5449F8DF" w14:textId="77777777" w:rsidR="00AD2EF9" w:rsidRPr="00AD2EF9" w:rsidRDefault="00AD2EF9" w:rsidP="002E7087">
      <w:pPr>
        <w:numPr>
          <w:ilvl w:val="0"/>
          <w:numId w:val="49"/>
        </w:numPr>
        <w:spacing w:after="0" w:line="240" w:lineRule="auto"/>
        <w:ind w:left="2160" w:right="0" w:hanging="540"/>
        <w:contextualSpacing/>
        <w:rPr>
          <w:rFonts w:eastAsia="Calibri"/>
          <w:sz w:val="24"/>
          <w:lang w:bidi="ar-SA"/>
        </w:rPr>
      </w:pPr>
      <w:r w:rsidRPr="00AD2EF9">
        <w:rPr>
          <w:rFonts w:eastAsia="Calibri"/>
          <w:color w:val="auto"/>
          <w:spacing w:val="4"/>
          <w:sz w:val="24"/>
          <w:lang w:bidi="ar-SA"/>
        </w:rPr>
        <w:t xml:space="preserve">Conduct comparative analysis of existing energy policies and regulatory frameworks across ASCENT countries to identify gaps, inconsistencies, and opportunities </w:t>
      </w:r>
      <w:proofErr w:type="spellStart"/>
      <w:proofErr w:type="gramStart"/>
      <w:r w:rsidRPr="00AD2EF9">
        <w:rPr>
          <w:rFonts w:eastAsia="Calibri"/>
          <w:color w:val="auto"/>
          <w:spacing w:val="4"/>
          <w:sz w:val="24"/>
          <w:lang w:bidi="ar-SA"/>
        </w:rPr>
        <w:t>forharmonization</w:t>
      </w:r>
      <w:proofErr w:type="spellEnd"/>
      <w:proofErr w:type="gramEnd"/>
      <w:r w:rsidRPr="00AD2EF9">
        <w:rPr>
          <w:rFonts w:eastAsia="Calibri"/>
          <w:color w:val="auto"/>
          <w:spacing w:val="4"/>
          <w:sz w:val="24"/>
          <w:lang w:bidi="ar-SA"/>
        </w:rPr>
        <w:t>.</w:t>
      </w:r>
    </w:p>
    <w:p w14:paraId="34DD6BFD" w14:textId="77777777" w:rsidR="00AD2EF9" w:rsidRPr="00AD2EF9" w:rsidRDefault="00AD2EF9" w:rsidP="002E7087">
      <w:pPr>
        <w:numPr>
          <w:ilvl w:val="0"/>
          <w:numId w:val="49"/>
        </w:numPr>
        <w:spacing w:after="0" w:line="240" w:lineRule="auto"/>
        <w:ind w:left="2160" w:right="0" w:hanging="540"/>
        <w:contextualSpacing/>
        <w:rPr>
          <w:rFonts w:eastAsia="Calibri"/>
          <w:sz w:val="24"/>
          <w:lang w:bidi="ar-SA"/>
        </w:rPr>
      </w:pPr>
      <w:r w:rsidRPr="00AD2EF9">
        <w:rPr>
          <w:rFonts w:eastAsia="Calibri"/>
          <w:color w:val="auto"/>
          <w:spacing w:val="4"/>
          <w:sz w:val="24"/>
          <w:lang w:bidi="ar-SA"/>
        </w:rPr>
        <w:t>Develop and propose model policies, regulatory templates, and guidelines that can be adapted and adopted by multiple countries to promote regional consistency.</w:t>
      </w:r>
    </w:p>
    <w:p w14:paraId="2D848EBF" w14:textId="77777777" w:rsidR="00AD2EF9" w:rsidRPr="00AD2EF9" w:rsidRDefault="00AD2EF9" w:rsidP="002E7087">
      <w:pPr>
        <w:numPr>
          <w:ilvl w:val="0"/>
          <w:numId w:val="49"/>
        </w:numPr>
        <w:spacing w:after="0" w:line="240" w:lineRule="auto"/>
        <w:ind w:left="2160" w:right="0" w:hanging="540"/>
        <w:contextualSpacing/>
        <w:rPr>
          <w:rFonts w:eastAsia="Calibri"/>
          <w:sz w:val="24"/>
          <w:lang w:bidi="ar-SA"/>
        </w:rPr>
      </w:pPr>
      <w:r w:rsidRPr="00AD2EF9">
        <w:rPr>
          <w:rFonts w:eastAsia="Calibri"/>
          <w:color w:val="auto"/>
          <w:spacing w:val="4"/>
          <w:sz w:val="24"/>
          <w:lang w:bidi="ar-SA"/>
        </w:rPr>
        <w:t>Coordinate and support multi-country working groups and technical committees to drive consensus on harmonized standards, procedures, and regulatory approaches.</w:t>
      </w:r>
    </w:p>
    <w:p w14:paraId="5164F3F3" w14:textId="77777777" w:rsidR="00AD2EF9" w:rsidRPr="00AD2EF9" w:rsidRDefault="00AD2EF9" w:rsidP="002E7087">
      <w:pPr>
        <w:numPr>
          <w:ilvl w:val="0"/>
          <w:numId w:val="49"/>
        </w:numPr>
        <w:spacing w:after="0" w:line="240" w:lineRule="auto"/>
        <w:ind w:left="2160" w:right="0" w:hanging="540"/>
        <w:contextualSpacing/>
        <w:rPr>
          <w:rFonts w:eastAsia="Calibri"/>
          <w:sz w:val="24"/>
          <w:lang w:bidi="ar-SA"/>
        </w:rPr>
      </w:pPr>
      <w:r w:rsidRPr="00AD2EF9">
        <w:rPr>
          <w:rFonts w:eastAsia="Calibri"/>
          <w:sz w:val="24"/>
          <w:lang w:bidi="ar-SA"/>
        </w:rPr>
        <w:t>Provide capacity-building support to national agencies to implement harmonized frameworks and ensure effective enforcement.</w:t>
      </w:r>
    </w:p>
    <w:p w14:paraId="28EFA4D2" w14:textId="77777777" w:rsidR="00AD2EF9" w:rsidRPr="00AD2EF9" w:rsidRDefault="00AD2EF9" w:rsidP="002E7087">
      <w:pPr>
        <w:numPr>
          <w:ilvl w:val="0"/>
          <w:numId w:val="49"/>
        </w:numPr>
        <w:spacing w:after="0" w:line="240" w:lineRule="auto"/>
        <w:ind w:left="2160" w:right="0" w:hanging="540"/>
        <w:contextualSpacing/>
        <w:rPr>
          <w:rFonts w:eastAsia="Calibri"/>
          <w:sz w:val="24"/>
          <w:lang w:bidi="ar-SA"/>
        </w:rPr>
      </w:pPr>
      <w:r w:rsidRPr="00AD2EF9">
        <w:rPr>
          <w:rFonts w:eastAsia="Calibri"/>
          <w:color w:val="auto"/>
          <w:spacing w:val="4"/>
          <w:sz w:val="24"/>
          <w:lang w:bidi="ar-SA"/>
        </w:rPr>
        <w:t>Monitor and evaluate the effectiveness of policy and regulatory reforms, recommending improvements as needed.</w:t>
      </w:r>
    </w:p>
    <w:p w14:paraId="0C92C337" w14:textId="77777777" w:rsidR="00AD2EF9" w:rsidRPr="00AD2EF9" w:rsidRDefault="00AD2EF9" w:rsidP="00DE5436">
      <w:pPr>
        <w:spacing w:after="0" w:line="240" w:lineRule="auto"/>
        <w:ind w:left="0" w:right="0" w:firstLine="0"/>
        <w:rPr>
          <w:rFonts w:eastAsia="Times New Roman"/>
          <w:sz w:val="24"/>
          <w:lang w:val="en-GB" w:bidi="ar-SA"/>
        </w:rPr>
      </w:pPr>
    </w:p>
    <w:p w14:paraId="7557CDEC" w14:textId="77777777" w:rsidR="00AD2EF9" w:rsidRDefault="00AD2EF9" w:rsidP="00E27CA4">
      <w:pPr>
        <w:pStyle w:val="ListParagraph"/>
        <w:numPr>
          <w:ilvl w:val="0"/>
          <w:numId w:val="51"/>
        </w:numPr>
        <w:spacing w:after="0" w:line="259" w:lineRule="auto"/>
        <w:ind w:left="1440" w:right="0" w:hanging="720"/>
        <w:rPr>
          <w:rFonts w:eastAsia="Times New Roman"/>
          <w:b/>
          <w:bCs/>
          <w:sz w:val="24"/>
          <w:lang w:val="en-GB" w:bidi="ar-SA"/>
        </w:rPr>
      </w:pPr>
      <w:r w:rsidRPr="00AD2EF9">
        <w:rPr>
          <w:rFonts w:eastAsia="Times New Roman"/>
          <w:b/>
          <w:bCs/>
          <w:sz w:val="24"/>
          <w:lang w:val="en-GB" w:bidi="ar-SA"/>
        </w:rPr>
        <w:t>Implementation of ASF and PPF Activities:</w:t>
      </w:r>
    </w:p>
    <w:p w14:paraId="0D53B91E" w14:textId="77777777" w:rsidR="00E27CA4" w:rsidRPr="00AD2EF9" w:rsidRDefault="00E27CA4" w:rsidP="00DE5436">
      <w:pPr>
        <w:spacing w:after="0" w:line="240" w:lineRule="auto"/>
        <w:ind w:left="0" w:right="0" w:firstLine="0"/>
        <w:rPr>
          <w:rFonts w:eastAsia="Times New Roman"/>
          <w:b/>
          <w:bCs/>
          <w:sz w:val="24"/>
          <w:lang w:val="en-GB" w:bidi="ar-SA"/>
        </w:rPr>
      </w:pPr>
    </w:p>
    <w:p w14:paraId="4483D8BC" w14:textId="77777777" w:rsidR="00AD2EF9" w:rsidRPr="00AD2EF9" w:rsidRDefault="00AD2EF9" w:rsidP="0038538E">
      <w:pPr>
        <w:numPr>
          <w:ilvl w:val="0"/>
          <w:numId w:val="52"/>
        </w:numPr>
        <w:tabs>
          <w:tab w:val="clear" w:pos="720"/>
        </w:tabs>
        <w:spacing w:after="0" w:line="240" w:lineRule="auto"/>
        <w:ind w:left="2160" w:right="0" w:hanging="540"/>
        <w:contextualSpacing/>
        <w:rPr>
          <w:rFonts w:eastAsia="Calibri"/>
          <w:sz w:val="24"/>
          <w:lang w:bidi="ar-SA"/>
        </w:rPr>
      </w:pPr>
      <w:r w:rsidRPr="00AD2EF9">
        <w:rPr>
          <w:rFonts w:eastAsia="Calibri"/>
          <w:color w:val="auto"/>
          <w:sz w:val="24"/>
          <w:lang w:bidi="ar-SA"/>
        </w:rPr>
        <w:t>Support the establishment and operationalization of the ASF, including the design and implementation of ASF processes and tools.</w:t>
      </w:r>
    </w:p>
    <w:p w14:paraId="111E83D5" w14:textId="77777777" w:rsidR="00AD2EF9" w:rsidRPr="00AD2EF9" w:rsidRDefault="00AD2EF9" w:rsidP="0038538E">
      <w:pPr>
        <w:numPr>
          <w:ilvl w:val="0"/>
          <w:numId w:val="52"/>
        </w:numPr>
        <w:tabs>
          <w:tab w:val="clear" w:pos="720"/>
        </w:tabs>
        <w:spacing w:after="0" w:line="240" w:lineRule="auto"/>
        <w:ind w:left="2160" w:right="0" w:hanging="540"/>
        <w:contextualSpacing/>
        <w:rPr>
          <w:rFonts w:eastAsia="Calibri"/>
          <w:sz w:val="24"/>
          <w:lang w:bidi="ar-SA"/>
        </w:rPr>
      </w:pPr>
      <w:r w:rsidRPr="00AD2EF9">
        <w:rPr>
          <w:rFonts w:eastAsia="Calibri"/>
          <w:color w:val="auto"/>
          <w:sz w:val="24"/>
          <w:lang w:bidi="ar-SA"/>
        </w:rPr>
        <w:t>Oversee and coordinate the procurement of specialized advisory services aligned with ASF thematic priorities.</w:t>
      </w:r>
    </w:p>
    <w:p w14:paraId="5AB44C8E" w14:textId="77777777" w:rsidR="00AD2EF9" w:rsidRPr="00AD2EF9" w:rsidRDefault="00AD2EF9" w:rsidP="0038538E">
      <w:pPr>
        <w:numPr>
          <w:ilvl w:val="0"/>
          <w:numId w:val="52"/>
        </w:numPr>
        <w:tabs>
          <w:tab w:val="clear" w:pos="720"/>
        </w:tabs>
        <w:spacing w:after="0" w:line="240" w:lineRule="auto"/>
        <w:ind w:left="2160" w:right="0" w:hanging="540"/>
        <w:contextualSpacing/>
        <w:rPr>
          <w:rFonts w:eastAsia="Calibri"/>
          <w:sz w:val="24"/>
          <w:lang w:bidi="ar-SA"/>
        </w:rPr>
      </w:pPr>
      <w:r w:rsidRPr="00AD2EF9">
        <w:rPr>
          <w:rFonts w:eastAsia="Calibri"/>
          <w:color w:val="auto"/>
          <w:sz w:val="24"/>
          <w:lang w:bidi="ar-SA"/>
        </w:rPr>
        <w:t>Deliver tailored policy and regulatory advisory support to participating countries under ASF, ensuring responsiveness to country-specific needs and challenges.</w:t>
      </w:r>
    </w:p>
    <w:p w14:paraId="51E9DD0B" w14:textId="77777777" w:rsidR="00AD2EF9" w:rsidRPr="00AD2EF9" w:rsidRDefault="00AD2EF9" w:rsidP="0038538E">
      <w:pPr>
        <w:numPr>
          <w:ilvl w:val="0"/>
          <w:numId w:val="52"/>
        </w:numPr>
        <w:tabs>
          <w:tab w:val="clear" w:pos="720"/>
        </w:tabs>
        <w:spacing w:after="0" w:line="240" w:lineRule="auto"/>
        <w:ind w:left="2160" w:right="0" w:hanging="540"/>
        <w:contextualSpacing/>
        <w:rPr>
          <w:rFonts w:eastAsia="Calibri"/>
          <w:sz w:val="24"/>
          <w:lang w:bidi="ar-SA"/>
        </w:rPr>
      </w:pPr>
      <w:r w:rsidRPr="00AD2EF9">
        <w:rPr>
          <w:rFonts w:eastAsia="Calibri"/>
          <w:color w:val="auto"/>
          <w:sz w:val="24"/>
          <w:lang w:bidi="ar-SA"/>
        </w:rPr>
        <w:t>Assist in the implementation of the Project Preparation Facility (PPF) by providing policy and regulatory expertise.</w:t>
      </w:r>
    </w:p>
    <w:p w14:paraId="13D1D9B2" w14:textId="77777777" w:rsidR="00AD2EF9" w:rsidRPr="00AD2EF9" w:rsidRDefault="00AD2EF9" w:rsidP="0038538E">
      <w:pPr>
        <w:numPr>
          <w:ilvl w:val="0"/>
          <w:numId w:val="52"/>
        </w:numPr>
        <w:tabs>
          <w:tab w:val="clear" w:pos="720"/>
        </w:tabs>
        <w:spacing w:after="0" w:line="240" w:lineRule="auto"/>
        <w:ind w:left="2160" w:right="0" w:hanging="540"/>
        <w:contextualSpacing/>
        <w:rPr>
          <w:rFonts w:eastAsia="Calibri"/>
          <w:sz w:val="24"/>
          <w:lang w:bidi="ar-SA"/>
        </w:rPr>
      </w:pPr>
      <w:r w:rsidRPr="00AD2EF9">
        <w:rPr>
          <w:rFonts w:eastAsia="Calibri"/>
          <w:color w:val="auto"/>
          <w:sz w:val="24"/>
          <w:lang w:bidi="ar-SA"/>
        </w:rPr>
        <w:t>Support the PIU Leadership in developing work-plans, schedules and activity budgets.</w:t>
      </w:r>
    </w:p>
    <w:p w14:paraId="74994E50" w14:textId="30AB5C0F" w:rsidR="00AD2EF9" w:rsidRPr="00AD2EF9" w:rsidRDefault="00AD2EF9" w:rsidP="0038538E">
      <w:pPr>
        <w:numPr>
          <w:ilvl w:val="0"/>
          <w:numId w:val="52"/>
        </w:numPr>
        <w:tabs>
          <w:tab w:val="clear" w:pos="720"/>
        </w:tabs>
        <w:spacing w:after="0" w:line="240" w:lineRule="auto"/>
        <w:ind w:left="2160" w:right="0" w:hanging="540"/>
        <w:contextualSpacing/>
        <w:rPr>
          <w:rFonts w:eastAsia="Calibri"/>
          <w:sz w:val="24"/>
          <w:lang w:bidi="ar-SA"/>
        </w:rPr>
      </w:pPr>
      <w:r w:rsidRPr="00AD2EF9">
        <w:rPr>
          <w:rFonts w:eastAsia="Calibri"/>
          <w:color w:val="auto"/>
          <w:sz w:val="24"/>
          <w:lang w:bidi="ar-SA"/>
        </w:rPr>
        <w:t xml:space="preserve">Coordinate the recruitment of consultants and </w:t>
      </w:r>
      <w:r w:rsidR="00DC0C34" w:rsidRPr="00AD2EF9">
        <w:rPr>
          <w:rFonts w:eastAsia="Calibri"/>
          <w:color w:val="auto"/>
          <w:sz w:val="24"/>
          <w:lang w:bidi="ar-SA"/>
        </w:rPr>
        <w:t>short-term</w:t>
      </w:r>
      <w:r w:rsidRPr="00AD2EF9">
        <w:rPr>
          <w:rFonts w:eastAsia="Calibri"/>
          <w:color w:val="auto"/>
          <w:sz w:val="24"/>
          <w:lang w:bidi="ar-SA"/>
        </w:rPr>
        <w:t xml:space="preserve"> experts.</w:t>
      </w:r>
    </w:p>
    <w:p w14:paraId="385E4C4C" w14:textId="77777777" w:rsidR="00AD2EF9" w:rsidRPr="00AD2EF9" w:rsidRDefault="00AD2EF9" w:rsidP="0038538E">
      <w:pPr>
        <w:numPr>
          <w:ilvl w:val="0"/>
          <w:numId w:val="52"/>
        </w:numPr>
        <w:tabs>
          <w:tab w:val="clear" w:pos="720"/>
        </w:tabs>
        <w:spacing w:after="0" w:line="240" w:lineRule="auto"/>
        <w:ind w:left="2160" w:right="0" w:hanging="540"/>
        <w:contextualSpacing/>
        <w:rPr>
          <w:rFonts w:eastAsia="Calibri"/>
          <w:sz w:val="24"/>
          <w:lang w:bidi="ar-SA"/>
        </w:rPr>
      </w:pPr>
      <w:r w:rsidRPr="00AD2EF9">
        <w:rPr>
          <w:rFonts w:eastAsia="Calibri"/>
          <w:color w:val="auto"/>
          <w:sz w:val="24"/>
          <w:lang w:bidi="ar-SA"/>
        </w:rPr>
        <w:t>Perform other duties as assigned by the Project Coordinator or Technical Manager to support the successful implementation and scaling of ASF and PPF activities.</w:t>
      </w:r>
    </w:p>
    <w:p w14:paraId="14A1D58E" w14:textId="77777777" w:rsidR="00AD2EF9" w:rsidRPr="00AD2EF9" w:rsidRDefault="00AD2EF9" w:rsidP="00DE5436">
      <w:pPr>
        <w:spacing w:after="0" w:line="240" w:lineRule="auto"/>
        <w:ind w:left="0" w:right="0" w:firstLine="0"/>
        <w:rPr>
          <w:rFonts w:eastAsia="Times New Roman"/>
          <w:color w:val="auto"/>
          <w:sz w:val="24"/>
          <w:lang w:val="en-GB" w:bidi="ar-SA"/>
        </w:rPr>
      </w:pPr>
    </w:p>
    <w:p w14:paraId="1F8A692D" w14:textId="77777777" w:rsidR="00AD2EF9" w:rsidRPr="0038538E" w:rsidRDefault="00AD2EF9" w:rsidP="0038538E">
      <w:pPr>
        <w:pStyle w:val="ListParagraph"/>
        <w:numPr>
          <w:ilvl w:val="0"/>
          <w:numId w:val="51"/>
        </w:numPr>
        <w:spacing w:after="0" w:line="259" w:lineRule="auto"/>
        <w:ind w:left="1440" w:right="0" w:hanging="720"/>
        <w:rPr>
          <w:rFonts w:eastAsia="Times New Roman"/>
          <w:b/>
          <w:bCs/>
          <w:sz w:val="24"/>
          <w:lang w:val="en-GB" w:bidi="ar-SA"/>
        </w:rPr>
      </w:pPr>
      <w:r w:rsidRPr="00AD2EF9">
        <w:rPr>
          <w:rFonts w:eastAsia="Times New Roman"/>
          <w:b/>
          <w:bCs/>
          <w:color w:val="auto"/>
          <w:sz w:val="24"/>
          <w:lang w:val="en-GB" w:bidi="ar-SA"/>
        </w:rPr>
        <w:t>Regional Coordination and Stakeholder Engagement</w:t>
      </w:r>
    </w:p>
    <w:p w14:paraId="2A7335CF" w14:textId="77777777" w:rsidR="0038538E" w:rsidRPr="00AD2EF9" w:rsidRDefault="0038538E" w:rsidP="0038538E">
      <w:pPr>
        <w:pStyle w:val="ListParagraph"/>
        <w:spacing w:after="0" w:line="259" w:lineRule="auto"/>
        <w:ind w:left="1440" w:right="0" w:firstLine="0"/>
        <w:rPr>
          <w:rFonts w:eastAsia="Times New Roman"/>
          <w:b/>
          <w:bCs/>
          <w:sz w:val="24"/>
          <w:lang w:val="en-GB" w:bidi="ar-SA"/>
        </w:rPr>
      </w:pPr>
    </w:p>
    <w:p w14:paraId="1BF1ACDB" w14:textId="77777777" w:rsidR="00AD2EF9" w:rsidRPr="00AD2EF9" w:rsidRDefault="00AD2EF9" w:rsidP="00627360">
      <w:pPr>
        <w:numPr>
          <w:ilvl w:val="0"/>
          <w:numId w:val="53"/>
        </w:numPr>
        <w:tabs>
          <w:tab w:val="clear" w:pos="720"/>
        </w:tabs>
        <w:spacing w:after="200" w:line="276" w:lineRule="auto"/>
        <w:ind w:left="2160" w:right="0" w:hanging="540"/>
        <w:contextualSpacing/>
        <w:rPr>
          <w:rFonts w:eastAsia="Calibri"/>
          <w:color w:val="auto"/>
          <w:sz w:val="24"/>
          <w:lang w:bidi="ar-SA"/>
        </w:rPr>
      </w:pPr>
      <w:r w:rsidRPr="00AD2EF9">
        <w:rPr>
          <w:rFonts w:eastAsia="Calibri"/>
          <w:color w:val="auto"/>
          <w:sz w:val="24"/>
          <w:lang w:bidi="ar-SA"/>
        </w:rPr>
        <w:t>Promote regional coordination by facilitating dialogue and cooperation among governments, regional and national regulatory agencies (e.g., COMESA’s RAERESA), private sector actors, and other stakeholders.</w:t>
      </w:r>
    </w:p>
    <w:p w14:paraId="2181084E" w14:textId="77777777" w:rsidR="00AD2EF9" w:rsidRPr="00AD2EF9" w:rsidRDefault="00AD2EF9" w:rsidP="00627360">
      <w:pPr>
        <w:numPr>
          <w:ilvl w:val="0"/>
          <w:numId w:val="53"/>
        </w:numPr>
        <w:tabs>
          <w:tab w:val="clear" w:pos="720"/>
        </w:tabs>
        <w:spacing w:after="200" w:line="276" w:lineRule="auto"/>
        <w:ind w:left="2160" w:right="0" w:hanging="540"/>
        <w:contextualSpacing/>
        <w:rPr>
          <w:rFonts w:eastAsia="Calibri"/>
          <w:color w:val="auto"/>
          <w:sz w:val="24"/>
          <w:lang w:bidi="ar-SA"/>
        </w:rPr>
      </w:pPr>
      <w:r w:rsidRPr="00AD2EF9">
        <w:rPr>
          <w:rFonts w:eastAsia="Calibri"/>
          <w:color w:val="auto"/>
          <w:sz w:val="24"/>
          <w:lang w:bidi="ar-SA"/>
        </w:rPr>
        <w:t>Advocate for the harmonization of policy and regulatory framework for energy access.</w:t>
      </w:r>
    </w:p>
    <w:p w14:paraId="6E285B65" w14:textId="77777777" w:rsidR="00AD2EF9" w:rsidRPr="00AD2EF9" w:rsidRDefault="00AD2EF9" w:rsidP="00627360">
      <w:pPr>
        <w:numPr>
          <w:ilvl w:val="0"/>
          <w:numId w:val="53"/>
        </w:numPr>
        <w:tabs>
          <w:tab w:val="clear" w:pos="720"/>
        </w:tabs>
        <w:spacing w:after="200" w:line="276" w:lineRule="auto"/>
        <w:ind w:left="2160" w:right="0" w:hanging="540"/>
        <w:contextualSpacing/>
        <w:rPr>
          <w:rFonts w:eastAsia="Calibri"/>
          <w:color w:val="auto"/>
          <w:sz w:val="24"/>
          <w:lang w:bidi="ar-SA"/>
        </w:rPr>
      </w:pPr>
      <w:r w:rsidRPr="00AD2EF9">
        <w:rPr>
          <w:rFonts w:eastAsia="Calibri"/>
          <w:color w:val="auto"/>
          <w:sz w:val="24"/>
          <w:lang w:bidi="ar-SA"/>
        </w:rPr>
        <w:t>Organize and lead regional workshops, stakeholder consultations, and consensus-building events to support energy policy initiatives.</w:t>
      </w:r>
    </w:p>
    <w:p w14:paraId="1D472156" w14:textId="77777777" w:rsidR="00AD2EF9" w:rsidRDefault="00AD2EF9" w:rsidP="00627360">
      <w:pPr>
        <w:numPr>
          <w:ilvl w:val="0"/>
          <w:numId w:val="53"/>
        </w:numPr>
        <w:tabs>
          <w:tab w:val="clear" w:pos="720"/>
        </w:tabs>
        <w:spacing w:after="200" w:line="276" w:lineRule="auto"/>
        <w:ind w:left="2160" w:right="0" w:hanging="540"/>
        <w:contextualSpacing/>
        <w:rPr>
          <w:rFonts w:eastAsia="Calibri"/>
          <w:color w:val="auto"/>
          <w:sz w:val="24"/>
          <w:lang w:bidi="ar-SA"/>
        </w:rPr>
      </w:pPr>
      <w:r w:rsidRPr="00AD2EF9">
        <w:rPr>
          <w:rFonts w:eastAsia="Calibri"/>
          <w:color w:val="auto"/>
          <w:sz w:val="24"/>
          <w:lang w:bidi="ar-SA"/>
        </w:rPr>
        <w:t>Represent the project in regional forums, working groups, and technical committees to advance the objectives of REAAP.</w:t>
      </w:r>
    </w:p>
    <w:p w14:paraId="20703983" w14:textId="77777777" w:rsidR="00627360" w:rsidRPr="00AD2EF9" w:rsidRDefault="00627360" w:rsidP="00627360">
      <w:pPr>
        <w:spacing w:after="200" w:line="276" w:lineRule="auto"/>
        <w:ind w:left="2160" w:right="0" w:firstLine="0"/>
        <w:contextualSpacing/>
        <w:rPr>
          <w:rFonts w:eastAsia="Calibri"/>
          <w:color w:val="auto"/>
          <w:sz w:val="24"/>
          <w:lang w:bidi="ar-SA"/>
        </w:rPr>
      </w:pPr>
    </w:p>
    <w:p w14:paraId="4CD6AC98" w14:textId="77777777" w:rsidR="00AD2EF9" w:rsidRPr="00627360" w:rsidRDefault="00AD2EF9" w:rsidP="00627360">
      <w:pPr>
        <w:pStyle w:val="ListParagraph"/>
        <w:numPr>
          <w:ilvl w:val="0"/>
          <w:numId w:val="51"/>
        </w:numPr>
        <w:spacing w:after="0" w:line="259" w:lineRule="auto"/>
        <w:ind w:left="1440" w:right="0" w:hanging="720"/>
        <w:rPr>
          <w:rFonts w:eastAsia="Times New Roman"/>
          <w:b/>
          <w:bCs/>
          <w:sz w:val="24"/>
          <w:lang w:val="en-GB" w:bidi="ar-SA"/>
        </w:rPr>
      </w:pPr>
      <w:r w:rsidRPr="00AD2EF9">
        <w:rPr>
          <w:rFonts w:eastAsia="Times New Roman"/>
          <w:b/>
          <w:bCs/>
          <w:color w:val="auto"/>
          <w:sz w:val="24"/>
          <w:lang w:val="en-GB" w:bidi="ar-SA"/>
        </w:rPr>
        <w:lastRenderedPageBreak/>
        <w:t>Capacity Building and Knowledge Sharing</w:t>
      </w:r>
    </w:p>
    <w:p w14:paraId="1D86A9DD" w14:textId="77777777" w:rsidR="00627360" w:rsidRPr="00AD2EF9" w:rsidRDefault="00627360" w:rsidP="00627360">
      <w:pPr>
        <w:pStyle w:val="ListParagraph"/>
        <w:spacing w:after="0" w:line="259" w:lineRule="auto"/>
        <w:ind w:left="1440" w:right="0" w:firstLine="0"/>
        <w:rPr>
          <w:rFonts w:eastAsia="Times New Roman"/>
          <w:b/>
          <w:bCs/>
          <w:sz w:val="24"/>
          <w:lang w:val="en-GB" w:bidi="ar-SA"/>
        </w:rPr>
      </w:pPr>
    </w:p>
    <w:p w14:paraId="62A82094" w14:textId="77777777" w:rsidR="00AD2EF9" w:rsidRPr="00AD2EF9" w:rsidRDefault="00AD2EF9" w:rsidP="00AF5F9D">
      <w:pPr>
        <w:numPr>
          <w:ilvl w:val="0"/>
          <w:numId w:val="54"/>
        </w:numPr>
        <w:tabs>
          <w:tab w:val="clear" w:pos="720"/>
        </w:tabs>
        <w:spacing w:after="200" w:line="276" w:lineRule="auto"/>
        <w:ind w:left="2160" w:right="0" w:hanging="540"/>
        <w:contextualSpacing/>
        <w:rPr>
          <w:rFonts w:eastAsia="Calibri"/>
          <w:color w:val="auto"/>
          <w:sz w:val="24"/>
          <w:lang w:bidi="ar-SA"/>
        </w:rPr>
      </w:pPr>
      <w:r w:rsidRPr="00AD2EF9">
        <w:rPr>
          <w:rFonts w:eastAsia="Calibri"/>
          <w:color w:val="auto"/>
          <w:sz w:val="24"/>
          <w:lang w:bidi="ar-SA"/>
        </w:rPr>
        <w:t xml:space="preserve">Develop and disseminate knowledge products, best practice guidelines, policy briefs, </w:t>
      </w:r>
      <w:r w:rsidRPr="00AD2EF9">
        <w:rPr>
          <w:rFonts w:eastAsia="Calibri"/>
          <w:color w:val="auto"/>
          <w:sz w:val="24"/>
          <w:lang w:val="en-GB" w:bidi="ar-SA"/>
        </w:rPr>
        <w:t>and technical reports</w:t>
      </w:r>
      <w:r w:rsidRPr="00AD2EF9">
        <w:rPr>
          <w:rFonts w:eastAsia="Calibri"/>
          <w:color w:val="auto"/>
          <w:sz w:val="24"/>
          <w:lang w:bidi="ar-SA"/>
        </w:rPr>
        <w:t xml:space="preserve"> to inform stakeholders and support evidence-based decision-making.</w:t>
      </w:r>
    </w:p>
    <w:p w14:paraId="66F6B40A" w14:textId="77777777" w:rsidR="00AD2EF9" w:rsidRPr="00AD2EF9" w:rsidRDefault="00AD2EF9" w:rsidP="00AF5F9D">
      <w:pPr>
        <w:numPr>
          <w:ilvl w:val="0"/>
          <w:numId w:val="54"/>
        </w:numPr>
        <w:tabs>
          <w:tab w:val="clear" w:pos="720"/>
        </w:tabs>
        <w:spacing w:after="200" w:line="276" w:lineRule="auto"/>
        <w:ind w:left="2160" w:right="0" w:hanging="540"/>
        <w:contextualSpacing/>
        <w:rPr>
          <w:rFonts w:eastAsia="Calibri"/>
          <w:color w:val="auto"/>
          <w:sz w:val="24"/>
          <w:lang w:bidi="ar-SA"/>
        </w:rPr>
      </w:pPr>
      <w:r w:rsidRPr="00AD2EF9">
        <w:rPr>
          <w:rFonts w:eastAsia="Calibri"/>
          <w:color w:val="auto"/>
          <w:sz w:val="24"/>
          <w:lang w:bidi="ar-SA"/>
        </w:rPr>
        <w:t>Organize and deliver training sessions, workshops, and knowledge exchange events to build capacity within governments, energy regulators, and other stakeholders in the region.</w:t>
      </w:r>
    </w:p>
    <w:p w14:paraId="2165E184" w14:textId="77777777" w:rsidR="00AD2EF9" w:rsidRPr="00AD2EF9" w:rsidRDefault="00AD2EF9" w:rsidP="00AF5F9D">
      <w:pPr>
        <w:numPr>
          <w:ilvl w:val="0"/>
          <w:numId w:val="54"/>
        </w:numPr>
        <w:tabs>
          <w:tab w:val="clear" w:pos="720"/>
        </w:tabs>
        <w:spacing w:after="200" w:line="276" w:lineRule="auto"/>
        <w:ind w:left="2160" w:right="0" w:hanging="540"/>
        <w:contextualSpacing/>
        <w:rPr>
          <w:rFonts w:eastAsia="Calibri"/>
          <w:color w:val="auto"/>
          <w:sz w:val="24"/>
          <w:lang w:bidi="ar-SA"/>
        </w:rPr>
      </w:pPr>
      <w:r w:rsidRPr="00AD2EF9">
        <w:rPr>
          <w:rFonts w:eastAsia="Calibri"/>
          <w:color w:val="auto"/>
          <w:sz w:val="24"/>
          <w:lang w:bidi="ar-SA"/>
        </w:rPr>
        <w:t>Monitor and evaluate the effectiveness of advisory and capacity-building activities, capturing lessons learned and recommending improvements or additional activities.</w:t>
      </w:r>
    </w:p>
    <w:p w14:paraId="5C893E6C" w14:textId="1DF9DF91" w:rsidR="00AD2EF9" w:rsidRDefault="00AD2EF9" w:rsidP="00AF5F9D">
      <w:pPr>
        <w:numPr>
          <w:ilvl w:val="0"/>
          <w:numId w:val="54"/>
        </w:numPr>
        <w:tabs>
          <w:tab w:val="clear" w:pos="720"/>
        </w:tabs>
        <w:spacing w:after="200" w:line="276" w:lineRule="auto"/>
        <w:ind w:left="2160" w:right="0" w:hanging="540"/>
        <w:contextualSpacing/>
        <w:rPr>
          <w:rFonts w:eastAsia="Calibri"/>
          <w:color w:val="auto"/>
          <w:sz w:val="24"/>
          <w:lang w:bidi="ar-SA"/>
        </w:rPr>
      </w:pPr>
      <w:r w:rsidRPr="00AD2EF9">
        <w:rPr>
          <w:rFonts w:eastAsia="Calibri"/>
          <w:color w:val="auto"/>
          <w:sz w:val="24"/>
          <w:lang w:bidi="ar-SA"/>
        </w:rPr>
        <w:t>Foster a culture of continuous learning and innovation within the project team and among stakeholders</w:t>
      </w:r>
      <w:r w:rsidR="00DB45CE">
        <w:rPr>
          <w:rFonts w:eastAsia="Calibri"/>
          <w:color w:val="auto"/>
          <w:sz w:val="24"/>
          <w:lang w:bidi="ar-SA"/>
        </w:rPr>
        <w:t xml:space="preserve"> and </w:t>
      </w:r>
    </w:p>
    <w:p w14:paraId="766E1A54" w14:textId="4A9E5395" w:rsidR="00DB45CE" w:rsidRPr="00AD2EF9" w:rsidRDefault="00F91BEB" w:rsidP="00390262">
      <w:pPr>
        <w:pStyle w:val="ListParagraph"/>
        <w:numPr>
          <w:ilvl w:val="0"/>
          <w:numId w:val="51"/>
        </w:numPr>
        <w:spacing w:after="0" w:line="259" w:lineRule="auto"/>
        <w:ind w:left="1440" w:right="0" w:hanging="720"/>
        <w:rPr>
          <w:rFonts w:eastAsia="Calibri"/>
          <w:b/>
          <w:bCs/>
          <w:color w:val="auto"/>
          <w:sz w:val="24"/>
          <w:lang w:bidi="ar-SA"/>
        </w:rPr>
      </w:pPr>
      <w:r w:rsidRPr="00390262">
        <w:rPr>
          <w:rFonts w:eastAsia="Calibri"/>
          <w:b/>
          <w:bCs/>
          <w:color w:val="auto"/>
          <w:sz w:val="24"/>
          <w:lang w:bidi="ar-SA"/>
        </w:rPr>
        <w:t xml:space="preserve">Perform any other duties that may be </w:t>
      </w:r>
      <w:r w:rsidR="004C08B6" w:rsidRPr="00390262">
        <w:rPr>
          <w:rFonts w:eastAsia="Calibri"/>
          <w:b/>
          <w:bCs/>
          <w:color w:val="auto"/>
          <w:sz w:val="24"/>
          <w:lang w:bidi="ar-SA"/>
        </w:rPr>
        <w:t>assigned from time to time</w:t>
      </w:r>
      <w:r w:rsidR="00390262" w:rsidRPr="00390262">
        <w:rPr>
          <w:rFonts w:eastAsia="Calibri"/>
          <w:b/>
          <w:bCs/>
          <w:color w:val="auto"/>
          <w:sz w:val="24"/>
          <w:lang w:bidi="ar-SA"/>
        </w:rPr>
        <w:t>.</w:t>
      </w:r>
    </w:p>
    <w:p w14:paraId="182C9B4A" w14:textId="77777777" w:rsidR="00AD2EF9" w:rsidRPr="00AD2EF9" w:rsidRDefault="00AD2EF9" w:rsidP="00AD2EF9">
      <w:pPr>
        <w:spacing w:after="0" w:line="240" w:lineRule="auto"/>
        <w:ind w:left="0" w:right="0" w:firstLine="0"/>
        <w:jc w:val="left"/>
        <w:rPr>
          <w:rFonts w:eastAsia="Times New Roman"/>
          <w:color w:val="auto"/>
          <w:sz w:val="24"/>
          <w:lang w:bidi="ar-SA"/>
        </w:rPr>
      </w:pPr>
    </w:p>
    <w:bookmarkEnd w:id="0"/>
    <w:p w14:paraId="024E2880" w14:textId="58D8C0BF" w:rsidR="00AD2EF9" w:rsidRPr="00AD2EF9" w:rsidRDefault="00AD2EF9" w:rsidP="00221556">
      <w:pPr>
        <w:pStyle w:val="ListParagraph"/>
        <w:numPr>
          <w:ilvl w:val="0"/>
          <w:numId w:val="2"/>
        </w:numPr>
        <w:ind w:hanging="720"/>
        <w:rPr>
          <w:rFonts w:eastAsia="Calibri"/>
          <w:b/>
          <w:color w:val="auto"/>
          <w:sz w:val="24"/>
          <w:lang w:bidi="ar-SA"/>
        </w:rPr>
      </w:pPr>
      <w:r w:rsidRPr="00AD2EF9">
        <w:rPr>
          <w:rFonts w:eastAsia="Calibri"/>
          <w:b/>
          <w:bCs/>
          <w:sz w:val="24"/>
          <w:lang w:bidi="ar-SA"/>
        </w:rPr>
        <w:t>EDUCATION AND</w:t>
      </w:r>
      <w:r w:rsidR="00701220">
        <w:rPr>
          <w:rFonts w:eastAsia="Calibri"/>
          <w:b/>
          <w:bCs/>
          <w:sz w:val="24"/>
          <w:lang w:bidi="ar-SA"/>
        </w:rPr>
        <w:t xml:space="preserve"> YEARS OF</w:t>
      </w:r>
      <w:r w:rsidRPr="00AD2EF9">
        <w:rPr>
          <w:rFonts w:eastAsia="Calibri"/>
          <w:b/>
          <w:bCs/>
          <w:sz w:val="24"/>
          <w:lang w:bidi="ar-SA"/>
        </w:rPr>
        <w:t xml:space="preserve"> EXPERIENCE</w:t>
      </w:r>
      <w:r w:rsidR="000252D3">
        <w:rPr>
          <w:rFonts w:eastAsia="Calibri"/>
          <w:b/>
          <w:bCs/>
          <w:sz w:val="24"/>
          <w:lang w:bidi="ar-SA"/>
        </w:rPr>
        <w:t xml:space="preserve"> REQ</w:t>
      </w:r>
      <w:r w:rsidR="0041468E">
        <w:rPr>
          <w:rFonts w:eastAsia="Calibri"/>
          <w:b/>
          <w:bCs/>
          <w:sz w:val="24"/>
          <w:lang w:bidi="ar-SA"/>
        </w:rPr>
        <w:t>UIRE</w:t>
      </w:r>
      <w:r w:rsidR="00701220">
        <w:rPr>
          <w:rFonts w:eastAsia="Calibri"/>
          <w:b/>
          <w:bCs/>
          <w:sz w:val="24"/>
          <w:lang w:bidi="ar-SA"/>
        </w:rPr>
        <w:t>D</w:t>
      </w:r>
    </w:p>
    <w:p w14:paraId="0B7455F9" w14:textId="77777777" w:rsidR="00AD2EF9" w:rsidRPr="00AD2EF9" w:rsidRDefault="00AD2EF9" w:rsidP="00AD2EF9">
      <w:pPr>
        <w:spacing w:after="0" w:line="240" w:lineRule="auto"/>
        <w:ind w:left="720" w:right="0" w:firstLine="0"/>
        <w:rPr>
          <w:rFonts w:eastAsia="Calibri"/>
          <w:b/>
          <w:bCs/>
          <w:sz w:val="24"/>
          <w:lang w:val="en-GB" w:bidi="ar-SA"/>
        </w:rPr>
      </w:pPr>
    </w:p>
    <w:p w14:paraId="0912F007" w14:textId="7112D094" w:rsidR="00AD2EF9" w:rsidRPr="00AD2EF9" w:rsidRDefault="0041468E" w:rsidP="0041468E">
      <w:pPr>
        <w:numPr>
          <w:ilvl w:val="0"/>
          <w:numId w:val="50"/>
        </w:numPr>
        <w:spacing w:after="200" w:line="360" w:lineRule="auto"/>
        <w:ind w:left="1440" w:right="0" w:hanging="720"/>
        <w:contextualSpacing/>
        <w:rPr>
          <w:rFonts w:eastAsia="Calibri"/>
          <w:color w:val="121E19"/>
          <w:sz w:val="24"/>
          <w:lang w:bidi="ar-SA"/>
        </w:rPr>
      </w:pPr>
      <w:r w:rsidRPr="00AD2EF9">
        <w:rPr>
          <w:rFonts w:eastAsia="Calibri"/>
          <w:color w:val="121E19"/>
          <w:sz w:val="24"/>
          <w:lang w:bidi="ar-SA"/>
        </w:rPr>
        <w:t>Bachelor’s</w:t>
      </w:r>
      <w:r w:rsidR="00AD2EF9" w:rsidRPr="00AD2EF9">
        <w:rPr>
          <w:rFonts w:eastAsia="Calibri"/>
          <w:color w:val="121E19"/>
          <w:sz w:val="24"/>
          <w:lang w:bidi="ar-SA"/>
        </w:rPr>
        <w:t xml:space="preserve"> Degree in Public Policy, Law, Engineering, Environmental Studies, Energy, Economics</w:t>
      </w:r>
      <w:r w:rsidR="00A71061">
        <w:rPr>
          <w:rFonts w:eastAsia="Calibri"/>
          <w:color w:val="121E19"/>
          <w:sz w:val="24"/>
          <w:lang w:bidi="ar-SA"/>
        </w:rPr>
        <w:t>.</w:t>
      </w:r>
      <w:r w:rsidR="00AD2EF9" w:rsidRPr="00AD2EF9">
        <w:rPr>
          <w:rFonts w:eastAsia="Calibri"/>
          <w:color w:val="121E19"/>
          <w:sz w:val="24"/>
          <w:lang w:bidi="ar-SA"/>
        </w:rPr>
        <w:t xml:space="preserve"> </w:t>
      </w:r>
    </w:p>
    <w:p w14:paraId="368EFA5A" w14:textId="77777777" w:rsidR="00AD2EF9" w:rsidRPr="00AD2EF9" w:rsidRDefault="00AD2EF9" w:rsidP="0041468E">
      <w:pPr>
        <w:numPr>
          <w:ilvl w:val="0"/>
          <w:numId w:val="50"/>
        </w:numPr>
        <w:spacing w:after="200" w:line="360" w:lineRule="auto"/>
        <w:ind w:left="1440" w:right="0" w:hanging="720"/>
        <w:contextualSpacing/>
        <w:rPr>
          <w:rFonts w:ascii="Calibri" w:eastAsia="Calibri" w:hAnsi="Calibri" w:cs="Times New Roman"/>
          <w:color w:val="auto"/>
          <w:szCs w:val="22"/>
          <w:lang w:bidi="ar-SA"/>
        </w:rPr>
      </w:pPr>
      <w:r w:rsidRPr="00AD2EF9">
        <w:rPr>
          <w:rFonts w:eastAsia="Calibri"/>
          <w:color w:val="121E19"/>
          <w:sz w:val="24"/>
          <w:lang w:bidi="ar-SA"/>
        </w:rPr>
        <w:t xml:space="preserve">Master’s degree in </w:t>
      </w:r>
      <w:r w:rsidRPr="00AD2EF9">
        <w:rPr>
          <w:rFonts w:eastAsia="Times New Roman"/>
          <w:color w:val="auto"/>
          <w:sz w:val="24"/>
          <w:lang w:bidi="ar-SA"/>
        </w:rPr>
        <w:t xml:space="preserve">the areas mentioned above </w:t>
      </w:r>
      <w:r w:rsidRPr="00AD2EF9">
        <w:rPr>
          <w:rFonts w:eastAsia="Calibri"/>
          <w:color w:val="121E19"/>
          <w:sz w:val="24"/>
          <w:lang w:bidi="ar-SA"/>
        </w:rPr>
        <w:t>will be added advantage.</w:t>
      </w:r>
    </w:p>
    <w:p w14:paraId="262713A9" w14:textId="77777777" w:rsidR="00AD2EF9" w:rsidRPr="00AD2EF9" w:rsidRDefault="00AD2EF9" w:rsidP="0041468E">
      <w:pPr>
        <w:numPr>
          <w:ilvl w:val="0"/>
          <w:numId w:val="50"/>
        </w:numPr>
        <w:spacing w:after="200" w:line="360" w:lineRule="auto"/>
        <w:ind w:left="1440" w:right="0" w:hanging="720"/>
        <w:contextualSpacing/>
        <w:rPr>
          <w:rFonts w:eastAsia="Calibri"/>
          <w:color w:val="000000" w:themeColor="text1"/>
          <w:sz w:val="24"/>
          <w:lang w:bidi="ar-SA"/>
        </w:rPr>
      </w:pPr>
      <w:r w:rsidRPr="00AD2EF9">
        <w:rPr>
          <w:rFonts w:eastAsia="Calibri"/>
          <w:color w:val="000000" w:themeColor="text1"/>
          <w:sz w:val="24"/>
          <w:lang w:bidi="ar-SA"/>
        </w:rPr>
        <w:t xml:space="preserve">At least eight (8) years of relevant working experience in energy sector, five (5) of which must be in an energy policy/regulation environment, </w:t>
      </w:r>
      <w:r w:rsidRPr="00AD2EF9">
        <w:rPr>
          <w:rFonts w:eastAsia="Calibri"/>
          <w:color w:val="000000" w:themeColor="text1"/>
          <w:sz w:val="24"/>
          <w:lang w:val="en-GB" w:bidi="ar-SA"/>
        </w:rPr>
        <w:t>preferably within the context of renewable energy, distributed energy solutions or clean cooking.</w:t>
      </w:r>
    </w:p>
    <w:p w14:paraId="4429F97C" w14:textId="77777777" w:rsidR="00AD2EF9" w:rsidRPr="00AD2EF9" w:rsidRDefault="00AD2EF9" w:rsidP="0041468E">
      <w:pPr>
        <w:numPr>
          <w:ilvl w:val="0"/>
          <w:numId w:val="50"/>
        </w:numPr>
        <w:spacing w:after="200" w:line="360" w:lineRule="auto"/>
        <w:ind w:left="1440" w:right="0" w:hanging="720"/>
        <w:contextualSpacing/>
        <w:rPr>
          <w:rFonts w:eastAsia="Calibri"/>
          <w:color w:val="000000" w:themeColor="text1"/>
          <w:sz w:val="24"/>
          <w:lang w:bidi="ar-SA"/>
        </w:rPr>
      </w:pPr>
      <w:r w:rsidRPr="00AD2EF9">
        <w:rPr>
          <w:rFonts w:eastAsia="Calibri"/>
          <w:color w:val="000000" w:themeColor="text1"/>
          <w:sz w:val="24"/>
          <w:lang w:bidi="ar-SA"/>
        </w:rPr>
        <w:t>Solid understanding of energy policies, strategies, institutions, and regulations.</w:t>
      </w:r>
    </w:p>
    <w:p w14:paraId="1954E1A4" w14:textId="77777777" w:rsidR="00AD2EF9" w:rsidRPr="00AD2EF9" w:rsidRDefault="00AD2EF9" w:rsidP="0041468E">
      <w:pPr>
        <w:numPr>
          <w:ilvl w:val="0"/>
          <w:numId w:val="50"/>
        </w:numPr>
        <w:spacing w:after="200" w:line="360" w:lineRule="auto"/>
        <w:ind w:left="1440" w:right="0" w:hanging="720"/>
        <w:contextualSpacing/>
        <w:rPr>
          <w:rFonts w:eastAsia="Calibri"/>
          <w:color w:val="auto"/>
          <w:spacing w:val="4"/>
          <w:sz w:val="24"/>
          <w:lang w:bidi="ar-SA"/>
        </w:rPr>
      </w:pPr>
      <w:r w:rsidRPr="00AD2EF9">
        <w:rPr>
          <w:rFonts w:eastAsia="Calibri"/>
          <w:color w:val="auto"/>
          <w:spacing w:val="4"/>
          <w:sz w:val="24"/>
          <w:lang w:bidi="ar-SA"/>
        </w:rPr>
        <w:t>Demonstrated experience in developing, analyzing, and implementing energy policies and regulatory frameworks at national and/or regional levels, ideally in Sub-Saharan Africa.</w:t>
      </w:r>
    </w:p>
    <w:p w14:paraId="68611104" w14:textId="071F9134" w:rsidR="00AD2EF9" w:rsidRPr="00AD2EF9" w:rsidRDefault="00A77A51" w:rsidP="0041468E">
      <w:pPr>
        <w:numPr>
          <w:ilvl w:val="0"/>
          <w:numId w:val="50"/>
        </w:numPr>
        <w:spacing w:after="200" w:line="360" w:lineRule="auto"/>
        <w:ind w:left="1440" w:right="0" w:hanging="720"/>
        <w:contextualSpacing/>
        <w:rPr>
          <w:rFonts w:eastAsia="Calibri"/>
          <w:color w:val="auto"/>
          <w:spacing w:val="4"/>
          <w:sz w:val="24"/>
          <w:lang w:bidi="ar-SA"/>
        </w:rPr>
      </w:pPr>
      <w:r w:rsidRPr="00AD2EF9">
        <w:rPr>
          <w:rFonts w:eastAsia="Calibri"/>
          <w:color w:val="auto"/>
          <w:spacing w:val="4"/>
          <w:sz w:val="24"/>
          <w:lang w:bidi="ar-SA"/>
        </w:rPr>
        <w:t>Experience</w:t>
      </w:r>
      <w:r w:rsidR="00AD2EF9" w:rsidRPr="00AD2EF9">
        <w:rPr>
          <w:rFonts w:eastAsia="Calibri"/>
          <w:color w:val="auto"/>
          <w:spacing w:val="4"/>
          <w:sz w:val="24"/>
          <w:lang w:bidi="ar-SA"/>
        </w:rPr>
        <w:t xml:space="preserve"> </w:t>
      </w:r>
      <w:r w:rsidR="00AD2EF9" w:rsidRPr="00AD2EF9">
        <w:rPr>
          <w:rFonts w:eastAsia="Calibri"/>
          <w:color w:val="auto"/>
          <w:spacing w:val="4"/>
          <w:sz w:val="24"/>
          <w:lang w:val="en-GB" w:bidi="ar-SA"/>
        </w:rPr>
        <w:t>of working with government agencies, regulatory bodies, private sector actors, and development partners.</w:t>
      </w:r>
    </w:p>
    <w:p w14:paraId="6ED6A862" w14:textId="77777777" w:rsidR="00AD2EF9" w:rsidRPr="00AD2EF9" w:rsidRDefault="00AD2EF9" w:rsidP="0041468E">
      <w:pPr>
        <w:numPr>
          <w:ilvl w:val="0"/>
          <w:numId w:val="50"/>
        </w:numPr>
        <w:spacing w:after="200" w:line="360" w:lineRule="auto"/>
        <w:ind w:left="1440" w:right="0" w:hanging="720"/>
        <w:contextualSpacing/>
        <w:rPr>
          <w:rFonts w:eastAsia="Calibri"/>
          <w:color w:val="auto"/>
          <w:spacing w:val="4"/>
          <w:sz w:val="24"/>
          <w:lang w:bidi="ar-SA"/>
        </w:rPr>
      </w:pPr>
      <w:r w:rsidRPr="00AD2EF9">
        <w:rPr>
          <w:rFonts w:eastAsia="Calibri"/>
          <w:color w:val="auto"/>
          <w:spacing w:val="4"/>
          <w:sz w:val="24"/>
          <w:lang w:val="en-GB" w:bidi="ar-SA"/>
        </w:rPr>
        <w:t>Excellent analytical, negotiation, and stakeholder engagement skills.</w:t>
      </w:r>
    </w:p>
    <w:p w14:paraId="3C06A0F4" w14:textId="77777777" w:rsidR="00AD2EF9" w:rsidRPr="00AD2EF9" w:rsidRDefault="00AD2EF9" w:rsidP="0041468E">
      <w:pPr>
        <w:numPr>
          <w:ilvl w:val="0"/>
          <w:numId w:val="50"/>
        </w:numPr>
        <w:spacing w:after="200" w:line="360" w:lineRule="auto"/>
        <w:ind w:left="1440" w:right="0" w:hanging="720"/>
        <w:contextualSpacing/>
        <w:rPr>
          <w:rFonts w:eastAsia="Calibri"/>
          <w:color w:val="000000" w:themeColor="text1"/>
          <w:sz w:val="24"/>
          <w:lang w:bidi="ar-SA"/>
        </w:rPr>
      </w:pPr>
      <w:r w:rsidRPr="00AD2EF9">
        <w:rPr>
          <w:rFonts w:eastAsia="Calibri"/>
          <w:color w:val="000000" w:themeColor="text1"/>
          <w:sz w:val="24"/>
          <w:lang w:bidi="ar-SA"/>
        </w:rPr>
        <w:t>Strong team working, communication (including report writing) and interpersonal skills.</w:t>
      </w:r>
    </w:p>
    <w:p w14:paraId="6559731A" w14:textId="77777777" w:rsidR="00AD2EF9" w:rsidRPr="00AD2EF9" w:rsidRDefault="00AD2EF9" w:rsidP="0041468E">
      <w:pPr>
        <w:numPr>
          <w:ilvl w:val="0"/>
          <w:numId w:val="50"/>
        </w:numPr>
        <w:spacing w:after="200" w:line="360" w:lineRule="auto"/>
        <w:ind w:left="1440" w:right="0" w:hanging="720"/>
        <w:contextualSpacing/>
        <w:rPr>
          <w:rFonts w:eastAsia="Calibri"/>
          <w:color w:val="000000" w:themeColor="text1"/>
          <w:sz w:val="24"/>
          <w:lang w:bidi="ar-SA"/>
        </w:rPr>
      </w:pPr>
      <w:r w:rsidRPr="00AD2EF9">
        <w:rPr>
          <w:rFonts w:eastAsia="Calibri"/>
          <w:color w:val="000000" w:themeColor="text1"/>
          <w:sz w:val="24"/>
          <w:lang w:bidi="ar-SA"/>
        </w:rPr>
        <w:t>Strong facilitation, training and presentation skills as well as experience in organizing seminars and workshops.</w:t>
      </w:r>
    </w:p>
    <w:p w14:paraId="33A18AB5" w14:textId="77777777" w:rsidR="00AD2EF9" w:rsidRPr="00AD2EF9" w:rsidRDefault="00AD2EF9" w:rsidP="0041468E">
      <w:pPr>
        <w:numPr>
          <w:ilvl w:val="0"/>
          <w:numId w:val="50"/>
        </w:numPr>
        <w:spacing w:after="200" w:line="360" w:lineRule="auto"/>
        <w:ind w:left="1440" w:right="0" w:hanging="720"/>
        <w:contextualSpacing/>
        <w:rPr>
          <w:rFonts w:eastAsia="Calibri"/>
          <w:color w:val="000000" w:themeColor="text1"/>
          <w:sz w:val="24"/>
          <w:lang w:bidi="ar-SA"/>
        </w:rPr>
      </w:pPr>
      <w:r w:rsidRPr="00AD2EF9">
        <w:rPr>
          <w:rFonts w:eastAsia="Calibri"/>
          <w:color w:val="000000" w:themeColor="text1"/>
          <w:sz w:val="24"/>
          <w:lang w:bidi="ar-SA"/>
        </w:rPr>
        <w:t>Experience of working in a multi-cultural environment.</w:t>
      </w:r>
    </w:p>
    <w:p w14:paraId="5753088F" w14:textId="77777777" w:rsidR="00AD2EF9" w:rsidRPr="00AD2EF9" w:rsidRDefault="00AD2EF9" w:rsidP="0041468E">
      <w:pPr>
        <w:numPr>
          <w:ilvl w:val="0"/>
          <w:numId w:val="50"/>
        </w:numPr>
        <w:spacing w:after="200" w:line="360" w:lineRule="auto"/>
        <w:ind w:left="1440" w:right="0" w:hanging="720"/>
        <w:contextualSpacing/>
        <w:rPr>
          <w:rFonts w:eastAsia="Calibri"/>
          <w:color w:val="000000" w:themeColor="text1"/>
          <w:sz w:val="24"/>
          <w:lang w:bidi="ar-SA"/>
        </w:rPr>
      </w:pPr>
      <w:r w:rsidRPr="00AD2EF9">
        <w:rPr>
          <w:rFonts w:eastAsia="Calibri"/>
          <w:color w:val="000000" w:themeColor="text1"/>
          <w:sz w:val="24"/>
          <w:lang w:bidi="ar-SA"/>
        </w:rPr>
        <w:t>Proficiency in MS Office (word, excel, outlook and power point).</w:t>
      </w:r>
    </w:p>
    <w:p w14:paraId="277C48BE" w14:textId="4779E1CB" w:rsidR="00AD2EF9" w:rsidRDefault="00AD2EF9" w:rsidP="0041468E">
      <w:pPr>
        <w:numPr>
          <w:ilvl w:val="0"/>
          <w:numId w:val="50"/>
        </w:numPr>
        <w:spacing w:after="200" w:line="360" w:lineRule="auto"/>
        <w:ind w:left="1440" w:right="0" w:hanging="720"/>
        <w:contextualSpacing/>
        <w:rPr>
          <w:rFonts w:eastAsia="Calibri"/>
          <w:color w:val="auto"/>
          <w:sz w:val="24"/>
          <w:lang w:bidi="ar-SA"/>
        </w:rPr>
      </w:pPr>
      <w:r w:rsidRPr="00AD2EF9">
        <w:rPr>
          <w:rFonts w:eastAsia="Calibri"/>
          <w:color w:val="auto"/>
          <w:sz w:val="24"/>
          <w:lang w:bidi="ar-SA"/>
        </w:rPr>
        <w:lastRenderedPageBreak/>
        <w:t xml:space="preserve">Work experience with the WB rules and procedures  or other International Development </w:t>
      </w:r>
      <w:r w:rsidR="00EE0202" w:rsidRPr="00AD2EF9">
        <w:rPr>
          <w:rFonts w:eastAsia="Calibri"/>
          <w:color w:val="auto"/>
          <w:sz w:val="24"/>
          <w:lang w:bidi="ar-SA"/>
        </w:rPr>
        <w:t>organizations</w:t>
      </w:r>
      <w:r w:rsidRPr="00AD2EF9">
        <w:rPr>
          <w:rFonts w:eastAsia="Calibri"/>
          <w:color w:val="auto"/>
          <w:sz w:val="24"/>
          <w:lang w:bidi="ar-SA"/>
        </w:rPr>
        <w:t xml:space="preserve"> and regional </w:t>
      </w:r>
      <w:r w:rsidR="00EE0202" w:rsidRPr="00AD2EF9">
        <w:rPr>
          <w:rFonts w:eastAsia="Calibri"/>
          <w:color w:val="auto"/>
          <w:sz w:val="24"/>
          <w:lang w:bidi="ar-SA"/>
        </w:rPr>
        <w:t>organizations</w:t>
      </w:r>
      <w:r w:rsidRPr="00AD2EF9">
        <w:rPr>
          <w:rFonts w:eastAsia="Calibri"/>
          <w:color w:val="auto"/>
          <w:sz w:val="24"/>
          <w:lang w:bidi="ar-SA"/>
        </w:rPr>
        <w:t xml:space="preserve"> would be an advantage.</w:t>
      </w:r>
    </w:p>
    <w:p w14:paraId="03F1510B" w14:textId="77777777" w:rsidR="00EE0202" w:rsidRPr="00FE5CD3" w:rsidRDefault="00EE0202" w:rsidP="00EE0202">
      <w:pPr>
        <w:pStyle w:val="ListParagraph"/>
        <w:numPr>
          <w:ilvl w:val="0"/>
          <w:numId w:val="2"/>
        </w:numPr>
        <w:ind w:hanging="720"/>
        <w:rPr>
          <w:b/>
          <w:bCs/>
          <w:szCs w:val="22"/>
        </w:rPr>
      </w:pPr>
      <w:r w:rsidRPr="00FE5CD3">
        <w:rPr>
          <w:b/>
          <w:bCs/>
          <w:szCs w:val="22"/>
        </w:rPr>
        <w:t>WORKING LANGUAGE REQUIREMENTS FOR ALL THE POSITIONS</w:t>
      </w:r>
    </w:p>
    <w:p w14:paraId="5BBEC8CB" w14:textId="77777777" w:rsidR="00EE0202" w:rsidRPr="00FE5CD3" w:rsidRDefault="00EE0202" w:rsidP="00EE0202">
      <w:pPr>
        <w:ind w:hanging="425"/>
        <w:rPr>
          <w:color w:val="091611"/>
          <w:szCs w:val="22"/>
          <w:lang w:val="en-ZA" w:eastAsia="en-ZA"/>
        </w:rPr>
      </w:pPr>
    </w:p>
    <w:p w14:paraId="4129FD9F" w14:textId="08D4C8D2" w:rsidR="00EE0202" w:rsidRPr="00BD0A39" w:rsidRDefault="00EE0202" w:rsidP="00BD0A39">
      <w:pPr>
        <w:pStyle w:val="ListParagraph"/>
        <w:numPr>
          <w:ilvl w:val="1"/>
          <w:numId w:val="54"/>
        </w:numPr>
        <w:spacing w:after="200" w:line="360" w:lineRule="auto"/>
        <w:ind w:right="0" w:hanging="720"/>
        <w:rPr>
          <w:rFonts w:eastAsia="Calibri"/>
          <w:color w:val="auto"/>
          <w:sz w:val="24"/>
          <w:lang w:bidi="ar-SA"/>
        </w:rPr>
      </w:pPr>
      <w:r w:rsidRPr="00BD0A39">
        <w:rPr>
          <w:rFonts w:eastAsia="Calibri"/>
          <w:color w:val="auto"/>
          <w:sz w:val="24"/>
          <w:lang w:bidi="ar-SA"/>
        </w:rPr>
        <w:t xml:space="preserve">Must be fluent in either English – both spoken and written. </w:t>
      </w:r>
    </w:p>
    <w:p w14:paraId="53EE5A40" w14:textId="77777777" w:rsidR="00EE0202" w:rsidRPr="00EE0202" w:rsidRDefault="00EE0202" w:rsidP="00BD0A39">
      <w:pPr>
        <w:pStyle w:val="ListParagraph"/>
        <w:numPr>
          <w:ilvl w:val="1"/>
          <w:numId w:val="54"/>
        </w:numPr>
        <w:spacing w:after="200" w:line="360" w:lineRule="auto"/>
        <w:ind w:right="0" w:hanging="720"/>
        <w:rPr>
          <w:rFonts w:eastAsia="Calibri"/>
          <w:color w:val="auto"/>
          <w:sz w:val="24"/>
          <w:lang w:bidi="ar-SA"/>
        </w:rPr>
      </w:pPr>
      <w:r w:rsidRPr="00EE0202">
        <w:rPr>
          <w:rFonts w:eastAsia="Calibri"/>
          <w:color w:val="auto"/>
          <w:sz w:val="24"/>
          <w:lang w:bidi="ar-SA"/>
        </w:rPr>
        <w:t>A combination of knowledge and use of English with either French  or Arabic will be an added advantage.</w:t>
      </w:r>
    </w:p>
    <w:p w14:paraId="1A01A63F" w14:textId="77777777" w:rsidR="00025145" w:rsidRPr="00FE5CD3" w:rsidRDefault="00025145" w:rsidP="00D53185">
      <w:pPr>
        <w:pStyle w:val="ListParagraph"/>
        <w:ind w:hanging="425"/>
        <w:rPr>
          <w:szCs w:val="22"/>
        </w:rPr>
      </w:pPr>
    </w:p>
    <w:p w14:paraId="56D50A37" w14:textId="2E27BAE4" w:rsidR="00B366CD" w:rsidRPr="00FE5CD3" w:rsidRDefault="00B366CD" w:rsidP="00C0275D">
      <w:pPr>
        <w:pStyle w:val="ListParagraph"/>
        <w:numPr>
          <w:ilvl w:val="0"/>
          <w:numId w:val="2"/>
        </w:numPr>
        <w:ind w:hanging="720"/>
        <w:rPr>
          <w:b/>
          <w:bCs/>
          <w:szCs w:val="22"/>
        </w:rPr>
      </w:pPr>
      <w:r w:rsidRPr="00FE5CD3">
        <w:rPr>
          <w:b/>
          <w:bCs/>
          <w:szCs w:val="22"/>
        </w:rPr>
        <w:t>ELIGIBILITY FOR APPLICATION</w:t>
      </w:r>
    </w:p>
    <w:p w14:paraId="45F5BE3D" w14:textId="77777777" w:rsidR="00B366CD" w:rsidRPr="00FE5CD3" w:rsidRDefault="00B366CD" w:rsidP="00D53185">
      <w:pPr>
        <w:ind w:hanging="425"/>
        <w:rPr>
          <w:szCs w:val="22"/>
        </w:rPr>
      </w:pPr>
    </w:p>
    <w:p w14:paraId="7649EA7C" w14:textId="29295FEF" w:rsidR="0049458B" w:rsidRDefault="00B366CD" w:rsidP="00D27EAA">
      <w:pPr>
        <w:pStyle w:val="ListParagraph"/>
        <w:numPr>
          <w:ilvl w:val="1"/>
          <w:numId w:val="55"/>
        </w:numPr>
        <w:spacing w:after="200" w:line="360" w:lineRule="auto"/>
        <w:ind w:right="0" w:hanging="720"/>
        <w:rPr>
          <w:rFonts w:eastAsia="Calibri"/>
          <w:color w:val="auto"/>
          <w:sz w:val="24"/>
          <w:lang w:bidi="ar-SA"/>
        </w:rPr>
      </w:pPr>
      <w:r w:rsidRPr="00D27EAA">
        <w:rPr>
          <w:rFonts w:eastAsia="Calibri"/>
          <w:color w:val="auto"/>
          <w:sz w:val="24"/>
          <w:lang w:bidi="ar-SA"/>
        </w:rPr>
        <w:t>Applicants must meet the eligibility requirements for selections and contracts funded by proceeds from a World Bank funded project.</w:t>
      </w:r>
      <w:r w:rsidR="005C0688" w:rsidRPr="00D27EAA">
        <w:rPr>
          <w:rFonts w:eastAsia="Calibri"/>
          <w:color w:val="auto"/>
          <w:sz w:val="24"/>
          <w:lang w:bidi="ar-SA"/>
        </w:rPr>
        <w:t xml:space="preserve"> </w:t>
      </w:r>
      <w:r w:rsidRPr="00D27EAA">
        <w:rPr>
          <w:rFonts w:eastAsia="Calibri"/>
          <w:color w:val="auto"/>
          <w:sz w:val="24"/>
          <w:lang w:bidi="ar-SA"/>
        </w:rPr>
        <w:t xml:space="preserve">Citizens of COMESA Member </w:t>
      </w:r>
      <w:r w:rsidR="00A77DFA" w:rsidRPr="00D27EAA">
        <w:rPr>
          <w:rFonts w:eastAsia="Calibri"/>
          <w:color w:val="auto"/>
          <w:sz w:val="24"/>
          <w:lang w:bidi="ar-SA"/>
        </w:rPr>
        <w:t xml:space="preserve">states </w:t>
      </w:r>
      <w:r w:rsidRPr="00D27EAA">
        <w:rPr>
          <w:rFonts w:eastAsia="Calibri"/>
          <w:color w:val="auto"/>
          <w:sz w:val="24"/>
          <w:lang w:bidi="ar-SA"/>
        </w:rPr>
        <w:t>are encouraged to</w:t>
      </w:r>
      <w:r w:rsidR="00877E61" w:rsidRPr="00D27EAA">
        <w:rPr>
          <w:rFonts w:eastAsia="Calibri"/>
          <w:color w:val="auto"/>
          <w:sz w:val="24"/>
          <w:lang w:bidi="ar-SA"/>
        </w:rPr>
        <w:t xml:space="preserve"> </w:t>
      </w:r>
      <w:r w:rsidR="0097007A" w:rsidRPr="00D27EAA">
        <w:rPr>
          <w:rFonts w:eastAsia="Calibri"/>
          <w:color w:val="auto"/>
          <w:sz w:val="24"/>
          <w:lang w:bidi="ar-SA"/>
        </w:rPr>
        <w:t>apply.</w:t>
      </w:r>
      <w:r w:rsidR="00877E61" w:rsidRPr="00D27EAA">
        <w:rPr>
          <w:rFonts w:eastAsia="Calibri"/>
          <w:color w:val="auto"/>
          <w:sz w:val="24"/>
          <w:lang w:bidi="ar-SA"/>
        </w:rPr>
        <w:t xml:space="preserve"> </w:t>
      </w:r>
    </w:p>
    <w:p w14:paraId="5A44E7D1" w14:textId="77777777" w:rsidR="00FC28C2" w:rsidRDefault="00FC28C2" w:rsidP="00FC28C2">
      <w:pPr>
        <w:pStyle w:val="ListParagraph"/>
        <w:spacing w:after="200" w:line="360" w:lineRule="auto"/>
        <w:ind w:left="1440" w:right="0" w:firstLine="0"/>
        <w:rPr>
          <w:rFonts w:eastAsia="Calibri"/>
          <w:color w:val="auto"/>
          <w:sz w:val="24"/>
          <w:lang w:bidi="ar-SA"/>
        </w:rPr>
      </w:pPr>
    </w:p>
    <w:p w14:paraId="6FD268AA" w14:textId="6D3EADBE" w:rsidR="00B366CD" w:rsidRPr="00FE5CD3" w:rsidRDefault="00B366CD" w:rsidP="00C0275D">
      <w:pPr>
        <w:pStyle w:val="ListParagraph"/>
        <w:numPr>
          <w:ilvl w:val="0"/>
          <w:numId w:val="2"/>
        </w:numPr>
        <w:ind w:hanging="720"/>
        <w:rPr>
          <w:b/>
          <w:bCs/>
          <w:szCs w:val="22"/>
        </w:rPr>
      </w:pPr>
      <w:r w:rsidRPr="00FE5CD3">
        <w:rPr>
          <w:b/>
          <w:bCs/>
          <w:szCs w:val="22"/>
        </w:rPr>
        <w:t>FINAL DATE FOR RECEIPT OF APPLICATIONS</w:t>
      </w:r>
    </w:p>
    <w:p w14:paraId="760623E9" w14:textId="77777777" w:rsidR="00B366CD" w:rsidRPr="00FE5CD3" w:rsidRDefault="00B366CD" w:rsidP="00D53185">
      <w:pPr>
        <w:rPr>
          <w:b/>
          <w:bCs/>
          <w:szCs w:val="22"/>
        </w:rPr>
      </w:pPr>
    </w:p>
    <w:p w14:paraId="649CA00C" w14:textId="2ED2B9C8" w:rsidR="00B366CD" w:rsidRPr="00FC28C2" w:rsidRDefault="00B366CD" w:rsidP="00D53185">
      <w:pPr>
        <w:rPr>
          <w:bCs/>
          <w:sz w:val="24"/>
        </w:rPr>
      </w:pPr>
      <w:r w:rsidRPr="00FC28C2">
        <w:rPr>
          <w:sz w:val="24"/>
        </w:rPr>
        <w:t xml:space="preserve">Applications MUST be submitted electronically through email on the prescribed </w:t>
      </w:r>
      <w:r w:rsidRPr="00FC28C2">
        <w:rPr>
          <w:b/>
          <w:bCs/>
          <w:sz w:val="24"/>
        </w:rPr>
        <w:t>COMESA APPLICATION FORM</w:t>
      </w:r>
      <w:r w:rsidRPr="00FC28C2">
        <w:rPr>
          <w:sz w:val="24"/>
        </w:rPr>
        <w:t xml:space="preserve"> which can be accessed at the following COMESA website: </w:t>
      </w:r>
      <w:hyperlink r:id="rId12" w:history="1">
        <w:r w:rsidRPr="00FC28C2">
          <w:rPr>
            <w:sz w:val="24"/>
            <w:u w:val="single"/>
          </w:rPr>
          <w:t>http://www.comesa.int/</w:t>
        </w:r>
      </w:hyperlink>
      <w:r w:rsidRPr="00FC28C2">
        <w:rPr>
          <w:sz w:val="24"/>
        </w:rPr>
        <w:t xml:space="preserve">, Opportunities, </w:t>
      </w:r>
      <w:r w:rsidRPr="00FC28C2">
        <w:rPr>
          <w:bCs/>
          <w:sz w:val="24"/>
        </w:rPr>
        <w:t xml:space="preserve">COMESA Job Application Format. </w:t>
      </w:r>
      <w:r w:rsidR="00982EDD" w:rsidRPr="00FC28C2">
        <w:rPr>
          <w:bCs/>
          <w:sz w:val="24"/>
        </w:rPr>
        <w:t xml:space="preserve">Applications </w:t>
      </w:r>
      <w:r w:rsidR="0086633D" w:rsidRPr="00FC28C2">
        <w:rPr>
          <w:bCs/>
          <w:sz w:val="24"/>
        </w:rPr>
        <w:t xml:space="preserve"> without the COMESA Job Application Format will not be considered. </w:t>
      </w:r>
    </w:p>
    <w:p w14:paraId="67B4D6AE" w14:textId="77777777" w:rsidR="00B366CD" w:rsidRPr="00FC28C2" w:rsidRDefault="00B366CD" w:rsidP="00D53185">
      <w:pPr>
        <w:rPr>
          <w:bCs/>
          <w:sz w:val="24"/>
        </w:rPr>
      </w:pPr>
    </w:p>
    <w:p w14:paraId="1F9CC7C0" w14:textId="319D3438" w:rsidR="00B366CD" w:rsidRPr="00FC28C2" w:rsidRDefault="003168FA" w:rsidP="00C0275D">
      <w:pPr>
        <w:pStyle w:val="ListParagraph"/>
        <w:numPr>
          <w:ilvl w:val="0"/>
          <w:numId w:val="2"/>
        </w:numPr>
        <w:ind w:hanging="720"/>
        <w:rPr>
          <w:b/>
          <w:sz w:val="24"/>
        </w:rPr>
      </w:pPr>
      <w:r w:rsidRPr="00FC28C2">
        <w:rPr>
          <w:b/>
          <w:sz w:val="24"/>
        </w:rPr>
        <w:t>ONLY SHORT-LISTED CANDIDATES WILL BE CONTACTED.</w:t>
      </w:r>
    </w:p>
    <w:p w14:paraId="5CA7D1DC" w14:textId="77777777" w:rsidR="00B366CD" w:rsidRPr="00FC28C2" w:rsidRDefault="00B366CD" w:rsidP="00D53185">
      <w:pPr>
        <w:rPr>
          <w:b/>
          <w:sz w:val="24"/>
        </w:rPr>
      </w:pPr>
    </w:p>
    <w:p w14:paraId="2D2ADF35" w14:textId="5F9E1801" w:rsidR="00B366CD" w:rsidRPr="00FC28C2" w:rsidRDefault="00B366CD" w:rsidP="00D53185">
      <w:pPr>
        <w:rPr>
          <w:b/>
          <w:sz w:val="24"/>
        </w:rPr>
      </w:pPr>
      <w:r w:rsidRPr="00FC28C2">
        <w:rPr>
          <w:b/>
          <w:sz w:val="24"/>
        </w:rPr>
        <w:t>Application should reach the address below not later than</w:t>
      </w:r>
      <w:r w:rsidR="009E1FEB" w:rsidRPr="00FC28C2">
        <w:rPr>
          <w:b/>
          <w:sz w:val="24"/>
        </w:rPr>
        <w:t xml:space="preserve"> </w:t>
      </w:r>
      <w:r w:rsidR="00A332A7" w:rsidRPr="00FC28C2">
        <w:rPr>
          <w:b/>
          <w:sz w:val="24"/>
        </w:rPr>
        <w:t xml:space="preserve">Friday </w:t>
      </w:r>
      <w:r w:rsidR="00CD4503">
        <w:rPr>
          <w:b/>
          <w:sz w:val="24"/>
        </w:rPr>
        <w:t>16</w:t>
      </w:r>
      <w:r w:rsidR="00CD4503" w:rsidRPr="00FC28C2">
        <w:rPr>
          <w:b/>
          <w:sz w:val="24"/>
          <w:vertAlign w:val="superscript"/>
        </w:rPr>
        <w:t>th</w:t>
      </w:r>
      <w:r w:rsidR="00CD4503" w:rsidRPr="00FC28C2">
        <w:rPr>
          <w:b/>
          <w:sz w:val="24"/>
        </w:rPr>
        <w:t xml:space="preserve"> </w:t>
      </w:r>
      <w:r w:rsidR="00DD20F6" w:rsidRPr="00FC28C2">
        <w:rPr>
          <w:b/>
          <w:sz w:val="24"/>
        </w:rPr>
        <w:t>January 2026</w:t>
      </w:r>
      <w:r w:rsidR="009E1FEB" w:rsidRPr="00FC28C2">
        <w:rPr>
          <w:b/>
          <w:sz w:val="24"/>
        </w:rPr>
        <w:t xml:space="preserve"> </w:t>
      </w:r>
      <w:r w:rsidRPr="00FC28C2">
        <w:rPr>
          <w:b/>
          <w:sz w:val="24"/>
        </w:rPr>
        <w:t>at 1</w:t>
      </w:r>
      <w:r w:rsidR="00415AB6" w:rsidRPr="00FC28C2">
        <w:rPr>
          <w:b/>
          <w:sz w:val="24"/>
        </w:rPr>
        <w:t>7</w:t>
      </w:r>
      <w:r w:rsidRPr="00FC28C2">
        <w:rPr>
          <w:b/>
          <w:sz w:val="24"/>
        </w:rPr>
        <w:t>:00 hours Lusaka, Zambia time.</w:t>
      </w:r>
    </w:p>
    <w:p w14:paraId="60C1B883" w14:textId="77777777" w:rsidR="00B366CD" w:rsidRPr="00FC28C2" w:rsidRDefault="00B366CD" w:rsidP="00D53185">
      <w:pPr>
        <w:rPr>
          <w:sz w:val="24"/>
        </w:rPr>
      </w:pPr>
    </w:p>
    <w:p w14:paraId="02D065A4" w14:textId="77777777" w:rsidR="00B366CD" w:rsidRPr="00FC28C2" w:rsidRDefault="00B366CD" w:rsidP="00D53185">
      <w:pPr>
        <w:rPr>
          <w:b/>
          <w:bCs/>
          <w:sz w:val="24"/>
        </w:rPr>
      </w:pPr>
      <w:r w:rsidRPr="00FC28C2">
        <w:rPr>
          <w:b/>
          <w:bCs/>
          <w:sz w:val="24"/>
        </w:rPr>
        <w:t>The Director of Human Resources and Administration</w:t>
      </w:r>
    </w:p>
    <w:p w14:paraId="0FD7F536" w14:textId="77777777" w:rsidR="00B366CD" w:rsidRPr="00FC28C2" w:rsidRDefault="00B366CD" w:rsidP="00D53185">
      <w:pPr>
        <w:rPr>
          <w:sz w:val="24"/>
        </w:rPr>
      </w:pPr>
      <w:r w:rsidRPr="00FC28C2">
        <w:rPr>
          <w:sz w:val="24"/>
        </w:rPr>
        <w:t>Common Market for Eastern and Southern Africa</w:t>
      </w:r>
    </w:p>
    <w:p w14:paraId="6AE6C7AC" w14:textId="3FA51BF3" w:rsidR="00B366CD" w:rsidRPr="00FC28C2" w:rsidRDefault="00B366CD" w:rsidP="00D53185">
      <w:pPr>
        <w:rPr>
          <w:sz w:val="24"/>
          <w:lang w:val="es-ES"/>
        </w:rPr>
      </w:pPr>
      <w:r w:rsidRPr="00FC28C2">
        <w:rPr>
          <w:sz w:val="24"/>
          <w:lang w:val="es-ES"/>
        </w:rPr>
        <w:t>COMESA Centre</w:t>
      </w:r>
    </w:p>
    <w:p w14:paraId="32870506" w14:textId="3C2E1BA9" w:rsidR="00B366CD" w:rsidRPr="00FC28C2" w:rsidRDefault="00B366CD" w:rsidP="00D53185">
      <w:pPr>
        <w:rPr>
          <w:sz w:val="24"/>
          <w:lang w:val="es-ES"/>
        </w:rPr>
      </w:pPr>
      <w:r w:rsidRPr="00FC28C2">
        <w:rPr>
          <w:sz w:val="24"/>
          <w:lang w:val="es-ES"/>
        </w:rPr>
        <w:t>Ben Bella Road</w:t>
      </w:r>
    </w:p>
    <w:p w14:paraId="00D8949F" w14:textId="4FE7E8D4" w:rsidR="00B366CD" w:rsidRPr="00FC28C2" w:rsidRDefault="00B366CD" w:rsidP="00D53185">
      <w:pPr>
        <w:rPr>
          <w:sz w:val="24"/>
          <w:lang w:val="es-ES"/>
        </w:rPr>
      </w:pPr>
      <w:r w:rsidRPr="00FC28C2">
        <w:rPr>
          <w:sz w:val="24"/>
          <w:lang w:val="es-ES"/>
        </w:rPr>
        <w:t>P.O Box 30051</w:t>
      </w:r>
    </w:p>
    <w:p w14:paraId="0FCA3849" w14:textId="4B64E78A" w:rsidR="00B366CD" w:rsidRPr="00FC28C2" w:rsidRDefault="004E4C89" w:rsidP="00D53185">
      <w:pPr>
        <w:rPr>
          <w:bCs/>
          <w:sz w:val="24"/>
          <w:lang w:val="es-ES"/>
        </w:rPr>
      </w:pPr>
      <w:r w:rsidRPr="00FC28C2">
        <w:rPr>
          <w:bCs/>
          <w:sz w:val="24"/>
          <w:lang w:val="es-ES"/>
        </w:rPr>
        <w:t>LUSAKA</w:t>
      </w:r>
    </w:p>
    <w:p w14:paraId="5BDDF58D" w14:textId="77777777" w:rsidR="00B366CD" w:rsidRPr="00FC28C2" w:rsidRDefault="00B366CD" w:rsidP="00D53185">
      <w:pPr>
        <w:rPr>
          <w:sz w:val="24"/>
          <w:lang w:val="es-ES"/>
        </w:rPr>
      </w:pPr>
      <w:r w:rsidRPr="00FC28C2">
        <w:rPr>
          <w:sz w:val="24"/>
          <w:lang w:val="es-ES"/>
        </w:rPr>
        <w:t>Zambia</w:t>
      </w:r>
    </w:p>
    <w:p w14:paraId="6D220DEE" w14:textId="77777777" w:rsidR="00B366CD" w:rsidRPr="00FC28C2" w:rsidRDefault="00B366CD" w:rsidP="00D53185">
      <w:pPr>
        <w:rPr>
          <w:b/>
          <w:sz w:val="24"/>
          <w:lang w:val="es-ES"/>
        </w:rPr>
      </w:pPr>
      <w:r w:rsidRPr="00FC28C2">
        <w:rPr>
          <w:sz w:val="24"/>
          <w:lang w:val="es-ES"/>
        </w:rPr>
        <w:t xml:space="preserve">Email:  </w:t>
      </w:r>
      <w:hyperlink r:id="rId13" w:history="1">
        <w:r w:rsidRPr="00FC28C2">
          <w:rPr>
            <w:color w:val="0000FF"/>
            <w:sz w:val="24"/>
            <w:u w:val="single"/>
            <w:lang w:val="es-ES"/>
          </w:rPr>
          <w:t>recruitment@comesa.int</w:t>
        </w:r>
      </w:hyperlink>
      <w:r w:rsidRPr="00FC28C2">
        <w:rPr>
          <w:sz w:val="24"/>
          <w:lang w:val="es-ES"/>
        </w:rPr>
        <w:t xml:space="preserve">  </w:t>
      </w:r>
    </w:p>
    <w:p w14:paraId="29C08778" w14:textId="77777777" w:rsidR="00660BDD" w:rsidRPr="00FE5CD3" w:rsidRDefault="00660BDD" w:rsidP="00D53185">
      <w:pPr>
        <w:spacing w:after="0" w:line="259" w:lineRule="auto"/>
        <w:ind w:left="0" w:right="0" w:firstLine="0"/>
        <w:rPr>
          <w:szCs w:val="22"/>
          <w:lang w:val="it-IT"/>
        </w:rPr>
      </w:pPr>
    </w:p>
    <w:sectPr w:rsidR="00660BDD" w:rsidRPr="00FE5CD3" w:rsidSect="00FC28C2">
      <w:headerReference w:type="even" r:id="rId14"/>
      <w:headerReference w:type="default" r:id="rId15"/>
      <w:footerReference w:type="default" r:id="rId16"/>
      <w:headerReference w:type="first" r:id="rId17"/>
      <w:pgSz w:w="12240" w:h="15840"/>
      <w:pgMar w:top="861" w:right="1135" w:bottom="9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5789" w14:textId="77777777" w:rsidR="00441C4D" w:rsidRDefault="00441C4D">
      <w:pPr>
        <w:spacing w:after="0" w:line="240" w:lineRule="auto"/>
      </w:pPr>
      <w:r>
        <w:separator/>
      </w:r>
    </w:p>
  </w:endnote>
  <w:endnote w:type="continuationSeparator" w:id="0">
    <w:p w14:paraId="3DD97F4F" w14:textId="77777777" w:rsidR="00441C4D" w:rsidRDefault="00441C4D">
      <w:pPr>
        <w:spacing w:after="0" w:line="240" w:lineRule="auto"/>
      </w:pPr>
      <w:r>
        <w:continuationSeparator/>
      </w:r>
    </w:p>
  </w:endnote>
  <w:endnote w:type="continuationNotice" w:id="1">
    <w:p w14:paraId="7F4E577C" w14:textId="77777777" w:rsidR="00441C4D" w:rsidRDefault="00441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116015"/>
      <w:docPartObj>
        <w:docPartGallery w:val="Page Numbers (Bottom of Page)"/>
        <w:docPartUnique/>
      </w:docPartObj>
    </w:sdtPr>
    <w:sdtEndPr>
      <w:rPr>
        <w:noProof/>
      </w:rPr>
    </w:sdtEndPr>
    <w:sdtContent>
      <w:p w14:paraId="614737D9" w14:textId="737E610B" w:rsidR="0009757D" w:rsidRDefault="000975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796399" w14:textId="77777777" w:rsidR="0009757D" w:rsidRDefault="00097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71E0" w14:textId="77777777" w:rsidR="00441C4D" w:rsidRDefault="00441C4D">
      <w:pPr>
        <w:spacing w:after="0" w:line="240" w:lineRule="auto"/>
      </w:pPr>
      <w:r>
        <w:separator/>
      </w:r>
    </w:p>
  </w:footnote>
  <w:footnote w:type="continuationSeparator" w:id="0">
    <w:p w14:paraId="358D432F" w14:textId="77777777" w:rsidR="00441C4D" w:rsidRDefault="00441C4D">
      <w:pPr>
        <w:spacing w:after="0" w:line="240" w:lineRule="auto"/>
      </w:pPr>
      <w:r>
        <w:continuationSeparator/>
      </w:r>
    </w:p>
  </w:footnote>
  <w:footnote w:type="continuationNotice" w:id="1">
    <w:p w14:paraId="36E1E5DB" w14:textId="77777777" w:rsidR="00441C4D" w:rsidRDefault="00441C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CCD7" w14:textId="77777777" w:rsidR="00F04015" w:rsidRDefault="001C7D10">
    <w:pPr>
      <w:spacing w:after="0" w:line="259" w:lineRule="auto"/>
      <w:ind w:left="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156F2A0D" w14:textId="77777777" w:rsidR="00F04015" w:rsidRDefault="001C7D10">
    <w:pPr>
      <w:spacing w:after="0" w:line="259" w:lineRule="auto"/>
      <w:ind w:left="0" w:right="0"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E6C9" w14:textId="22A41AD4" w:rsidR="00F04015" w:rsidRDefault="00F04015">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9EE8" w14:textId="77777777" w:rsidR="00F04015" w:rsidRDefault="00F0401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3FA"/>
    <w:multiLevelType w:val="multilevel"/>
    <w:tmpl w:val="DCD0A2C0"/>
    <w:lvl w:ilvl="0">
      <w:start w:val="1"/>
      <w:numFmt w:val="lowerLetter"/>
      <w:lvlText w:val="%1."/>
      <w:lvlJc w:val="left"/>
      <w:pPr>
        <w:tabs>
          <w:tab w:val="num" w:pos="1080"/>
        </w:tabs>
        <w:ind w:left="1080" w:hanging="360"/>
      </w:p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4770606"/>
    <w:multiLevelType w:val="hybridMultilevel"/>
    <w:tmpl w:val="70AA9D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66D26"/>
    <w:multiLevelType w:val="multilevel"/>
    <w:tmpl w:val="1B5AD5B2"/>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5156B"/>
    <w:multiLevelType w:val="multilevel"/>
    <w:tmpl w:val="13145708"/>
    <w:lvl w:ilvl="0">
      <w:start w:val="1"/>
      <w:numFmt w:val="lowerLetter"/>
      <w:lvlText w:val="%1."/>
      <w:lvlJc w:val="left"/>
      <w:pPr>
        <w:tabs>
          <w:tab w:val="num" w:pos="1080"/>
        </w:tabs>
        <w:ind w:left="1080" w:hanging="360"/>
      </w:p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816774C"/>
    <w:multiLevelType w:val="hybridMultilevel"/>
    <w:tmpl w:val="C5EEE474"/>
    <w:lvl w:ilvl="0" w:tplc="00000019">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0DB76447"/>
    <w:multiLevelType w:val="multilevel"/>
    <w:tmpl w:val="16BA317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925E9"/>
    <w:multiLevelType w:val="multilevel"/>
    <w:tmpl w:val="A91AF4E4"/>
    <w:lvl w:ilvl="0">
      <w:start w:val="1"/>
      <w:numFmt w:val="lowerLetter"/>
      <w:lvlText w:val="%1."/>
      <w:lvlJc w:val="left"/>
      <w:pPr>
        <w:tabs>
          <w:tab w:val="num" w:pos="1080"/>
        </w:tabs>
        <w:ind w:left="1080" w:hanging="360"/>
      </w:p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138C164C"/>
    <w:multiLevelType w:val="multilevel"/>
    <w:tmpl w:val="6F662A88"/>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B41AB"/>
    <w:multiLevelType w:val="multilevel"/>
    <w:tmpl w:val="643CDCB6"/>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9" w15:restartNumberingAfterBreak="0">
    <w:nsid w:val="14E12C68"/>
    <w:multiLevelType w:val="hybridMultilevel"/>
    <w:tmpl w:val="7B48E4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85F1F38"/>
    <w:multiLevelType w:val="multilevel"/>
    <w:tmpl w:val="501CB2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691701"/>
    <w:multiLevelType w:val="hybridMultilevel"/>
    <w:tmpl w:val="D9BC9EE8"/>
    <w:lvl w:ilvl="0" w:tplc="0000001B">
      <w:start w:val="1"/>
      <w:numFmt w:val="lowerRoman"/>
      <w:lvlText w:val="%1."/>
      <w:lvlJc w:val="righ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9F3460F"/>
    <w:multiLevelType w:val="hybridMultilevel"/>
    <w:tmpl w:val="D7B4A12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C2446F9"/>
    <w:multiLevelType w:val="hybridMultilevel"/>
    <w:tmpl w:val="1166E1D6"/>
    <w:lvl w:ilvl="0" w:tplc="0000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318D6"/>
    <w:multiLevelType w:val="hybridMultilevel"/>
    <w:tmpl w:val="06FC2E32"/>
    <w:lvl w:ilvl="0" w:tplc="04090019">
      <w:start w:val="1"/>
      <w:numFmt w:val="lowerLetter"/>
      <w:lvlText w:val="%1."/>
      <w:lvlJc w:val="left"/>
      <w:pPr>
        <w:ind w:left="1440"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DFE5930"/>
    <w:multiLevelType w:val="hybridMultilevel"/>
    <w:tmpl w:val="95FEDC8E"/>
    <w:lvl w:ilvl="0" w:tplc="00000019">
      <w:start w:val="1"/>
      <w:numFmt w:val="lowerLetter"/>
      <w:lvlText w:val="%1."/>
      <w:lvlJc w:val="left"/>
      <w:pPr>
        <w:ind w:left="1080" w:hanging="360"/>
      </w:p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1F3F5B27"/>
    <w:multiLevelType w:val="hybridMultilevel"/>
    <w:tmpl w:val="9FCA9FA8"/>
    <w:lvl w:ilvl="0" w:tplc="04090019">
      <w:start w:val="1"/>
      <w:numFmt w:val="lowerLetter"/>
      <w:lvlText w:val="%1."/>
      <w:lvlJc w:val="left"/>
      <w:pPr>
        <w:ind w:left="1440" w:hanging="360"/>
      </w:pPr>
      <w:rPr>
        <w:rFonts w:hint="default"/>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F6220E9"/>
    <w:multiLevelType w:val="hybridMultilevel"/>
    <w:tmpl w:val="7CBE0598"/>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8" w15:restartNumberingAfterBreak="0">
    <w:nsid w:val="247C74B6"/>
    <w:multiLevelType w:val="multilevel"/>
    <w:tmpl w:val="5DB66DC6"/>
    <w:lvl w:ilvl="0">
      <w:start w:val="1"/>
      <w:numFmt w:val="lowerLetter"/>
      <w:lvlText w:val="%1."/>
      <w:lvlJc w:val="left"/>
      <w:pPr>
        <w:tabs>
          <w:tab w:val="num" w:pos="1080"/>
        </w:tabs>
        <w:ind w:left="1080" w:hanging="360"/>
      </w:p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276F0D8B"/>
    <w:multiLevelType w:val="multilevel"/>
    <w:tmpl w:val="A1607C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BC62CF"/>
    <w:multiLevelType w:val="hybridMultilevel"/>
    <w:tmpl w:val="7F8820A0"/>
    <w:lvl w:ilvl="0" w:tplc="FFFFFFFF">
      <w:start w:val="1"/>
      <w:numFmt w:val="upperLetter"/>
      <w:lvlText w:val="%1."/>
      <w:lvlJc w:val="left"/>
      <w:pPr>
        <w:ind w:left="1480" w:hanging="360"/>
      </w:pPr>
      <w:rPr>
        <w:b/>
        <w:bCs/>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1" w15:restartNumberingAfterBreak="0">
    <w:nsid w:val="2A5A7556"/>
    <w:multiLevelType w:val="multilevel"/>
    <w:tmpl w:val="D73CD0F0"/>
    <w:lvl w:ilvl="0">
      <w:start w:val="1"/>
      <w:numFmt w:val="lowerLetter"/>
      <w:lvlText w:val="%1."/>
      <w:lvlJc w:val="left"/>
      <w:pPr>
        <w:tabs>
          <w:tab w:val="num" w:pos="1080"/>
        </w:tabs>
        <w:ind w:left="1080" w:hanging="360"/>
      </w:pPr>
      <w:rPr>
        <w:rFonts w:hint="default"/>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2C1B38E6"/>
    <w:multiLevelType w:val="hybridMultilevel"/>
    <w:tmpl w:val="2438F3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E7032A9"/>
    <w:multiLevelType w:val="hybridMultilevel"/>
    <w:tmpl w:val="D5A01908"/>
    <w:lvl w:ilvl="0" w:tplc="2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CA7848"/>
    <w:multiLevelType w:val="hybridMultilevel"/>
    <w:tmpl w:val="9FD09D3A"/>
    <w:lvl w:ilvl="0" w:tplc="0000001B">
      <w:start w:val="1"/>
      <w:numFmt w:val="lowerRoman"/>
      <w:lvlText w:val="%1."/>
      <w:lvlJc w:val="right"/>
      <w:pPr>
        <w:ind w:left="940" w:hanging="360"/>
      </w:pPr>
    </w:lvl>
    <w:lvl w:ilvl="1" w:tplc="FFFFFFFF">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5" w15:restartNumberingAfterBreak="0">
    <w:nsid w:val="3C6E7815"/>
    <w:multiLevelType w:val="hybridMultilevel"/>
    <w:tmpl w:val="0B02AB1A"/>
    <w:lvl w:ilvl="0" w:tplc="9A5889E6">
      <w:start w:val="1"/>
      <w:numFmt w:val="lowerLetter"/>
      <w:lvlText w:val="%1."/>
      <w:lvlJc w:val="left"/>
      <w:pPr>
        <w:ind w:left="1450" w:hanging="360"/>
      </w:pPr>
      <w:rPr>
        <w:b w:val="0"/>
        <w:bCs w:val="0"/>
        <w:color w:val="auto"/>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6" w15:restartNumberingAfterBreak="0">
    <w:nsid w:val="3C84516A"/>
    <w:multiLevelType w:val="multilevel"/>
    <w:tmpl w:val="1F22D6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DC02464"/>
    <w:multiLevelType w:val="hybridMultilevel"/>
    <w:tmpl w:val="294E1C6C"/>
    <w:lvl w:ilvl="0" w:tplc="04090019">
      <w:start w:val="1"/>
      <w:numFmt w:val="lowerLetter"/>
      <w:lvlText w:val="%1."/>
      <w:lvlJc w:val="left"/>
      <w:pPr>
        <w:ind w:left="1440" w:hanging="360"/>
      </w:pPr>
      <w:rPr>
        <w:rFonts w:hint="default"/>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EF7550C"/>
    <w:multiLevelType w:val="multilevel"/>
    <w:tmpl w:val="FBAC9F5C"/>
    <w:lvl w:ilvl="0">
      <w:start w:val="1"/>
      <w:numFmt w:val="lowerRoman"/>
      <w:lvlText w:val="%1."/>
      <w:lvlJc w:val="right"/>
      <w:pPr>
        <w:tabs>
          <w:tab w:val="num" w:pos="720"/>
        </w:tabs>
        <w:ind w:left="720" w:hanging="360"/>
      </w:pPr>
      <w:rPr>
        <w:rFonts w:hint="default"/>
        <w:sz w:val="24"/>
        <w:szCs w:val="24"/>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8C1DF4"/>
    <w:multiLevelType w:val="multilevel"/>
    <w:tmpl w:val="D096A82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30" w15:restartNumberingAfterBreak="0">
    <w:nsid w:val="43880BE2"/>
    <w:multiLevelType w:val="hybridMultilevel"/>
    <w:tmpl w:val="B07C1AA4"/>
    <w:lvl w:ilvl="0" w:tplc="0000001B">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3E5653C"/>
    <w:multiLevelType w:val="hybridMultilevel"/>
    <w:tmpl w:val="2200A87E"/>
    <w:lvl w:ilvl="0" w:tplc="FFFFFFFF">
      <w:start w:val="1"/>
      <w:numFmt w:val="lowerLetter"/>
      <w:lvlText w:val="%1."/>
      <w:lvlJc w:val="left"/>
      <w:pPr>
        <w:ind w:left="720" w:hanging="360"/>
      </w:pPr>
    </w:lvl>
    <w:lvl w:ilvl="1" w:tplc="0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50F1842"/>
    <w:multiLevelType w:val="hybridMultilevel"/>
    <w:tmpl w:val="B342626A"/>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4E2F29E8"/>
    <w:multiLevelType w:val="hybridMultilevel"/>
    <w:tmpl w:val="AA948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EC82540"/>
    <w:multiLevelType w:val="hybridMultilevel"/>
    <w:tmpl w:val="491AFC92"/>
    <w:lvl w:ilvl="0" w:tplc="FC38A1F6">
      <w:start w:val="1"/>
      <w:numFmt w:val="decimal"/>
      <w:lvlText w:val="%1.0"/>
      <w:lvlJc w:val="left"/>
      <w:pPr>
        <w:ind w:left="720" w:hanging="360"/>
      </w:pPr>
      <w:rPr>
        <w:rFonts w:hint="default"/>
        <w:b/>
        <w:bCs/>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D91F2C"/>
    <w:multiLevelType w:val="hybridMultilevel"/>
    <w:tmpl w:val="2286D424"/>
    <w:lvl w:ilvl="0" w:tplc="0000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411FA0"/>
    <w:multiLevelType w:val="hybridMultilevel"/>
    <w:tmpl w:val="FC141AC4"/>
    <w:lvl w:ilvl="0" w:tplc="0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7" w15:restartNumberingAfterBreak="0">
    <w:nsid w:val="526D55E2"/>
    <w:multiLevelType w:val="hybridMultilevel"/>
    <w:tmpl w:val="2B3616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E41A56"/>
    <w:multiLevelType w:val="hybridMultilevel"/>
    <w:tmpl w:val="2468F680"/>
    <w:lvl w:ilvl="0" w:tplc="2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C94FBA"/>
    <w:multiLevelType w:val="hybridMultilevel"/>
    <w:tmpl w:val="94120FCC"/>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15:restartNumberingAfterBreak="0">
    <w:nsid w:val="5D513FFF"/>
    <w:multiLevelType w:val="hybridMultilevel"/>
    <w:tmpl w:val="5AD8AB4E"/>
    <w:lvl w:ilvl="0" w:tplc="00000019">
      <w:start w:val="1"/>
      <w:numFmt w:val="lowerLetter"/>
      <w:lvlText w:val="%1."/>
      <w:lvlJc w:val="left"/>
      <w:pPr>
        <w:ind w:left="1080" w:hanging="360"/>
      </w:p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1" w15:restartNumberingAfterBreak="0">
    <w:nsid w:val="60AF5C75"/>
    <w:multiLevelType w:val="hybridMultilevel"/>
    <w:tmpl w:val="FC54B1D6"/>
    <w:lvl w:ilvl="0" w:tplc="04090019">
      <w:start w:val="1"/>
      <w:numFmt w:val="lowerLetter"/>
      <w:lvlText w:val="%1."/>
      <w:lvlJc w:val="left"/>
      <w:pPr>
        <w:ind w:left="2160" w:hanging="360"/>
      </w:pPr>
      <w:rPr>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61943403"/>
    <w:multiLevelType w:val="hybridMultilevel"/>
    <w:tmpl w:val="D1F4FAFC"/>
    <w:lvl w:ilvl="0" w:tplc="4EDCCBBC">
      <w:start w:val="1"/>
      <w:numFmt w:val="lowerLetter"/>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B10456"/>
    <w:multiLevelType w:val="multilevel"/>
    <w:tmpl w:val="F53CAAA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1CB6676"/>
    <w:multiLevelType w:val="hybridMultilevel"/>
    <w:tmpl w:val="2C34201A"/>
    <w:lvl w:ilvl="0" w:tplc="0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2535F2F"/>
    <w:multiLevelType w:val="multilevel"/>
    <w:tmpl w:val="BF521F38"/>
    <w:lvl w:ilvl="0">
      <w:start w:val="1"/>
      <w:numFmt w:val="lowerLetter"/>
      <w:lvlText w:val="%1."/>
      <w:lvlJc w:val="left"/>
      <w:pPr>
        <w:tabs>
          <w:tab w:val="num" w:pos="1080"/>
        </w:tabs>
        <w:ind w:left="1080" w:hanging="360"/>
      </w:p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6" w15:restartNumberingAfterBreak="0">
    <w:nsid w:val="66190B9D"/>
    <w:multiLevelType w:val="hybridMultilevel"/>
    <w:tmpl w:val="826C10DA"/>
    <w:lvl w:ilvl="0" w:tplc="04090019">
      <w:start w:val="1"/>
      <w:numFmt w:val="lowerLetter"/>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AD951F4"/>
    <w:multiLevelType w:val="hybridMultilevel"/>
    <w:tmpl w:val="83D607DC"/>
    <w:lvl w:ilvl="0" w:tplc="A0A6A800">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087266"/>
    <w:multiLevelType w:val="multilevel"/>
    <w:tmpl w:val="5E1CCDF4"/>
    <w:lvl w:ilvl="0">
      <w:start w:val="1"/>
      <w:numFmt w:val="lowerLetter"/>
      <w:lvlText w:val="%1."/>
      <w:lvlJc w:val="left"/>
      <w:pPr>
        <w:tabs>
          <w:tab w:val="num" w:pos="1080"/>
        </w:tabs>
        <w:ind w:left="1080" w:hanging="360"/>
      </w:p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9" w15:restartNumberingAfterBreak="0">
    <w:nsid w:val="70DB4169"/>
    <w:multiLevelType w:val="multilevel"/>
    <w:tmpl w:val="501CB2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2E1299"/>
    <w:multiLevelType w:val="multilevel"/>
    <w:tmpl w:val="501CB2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50D4F45"/>
    <w:multiLevelType w:val="multilevel"/>
    <w:tmpl w:val="14AC48D0"/>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3C6D1E"/>
    <w:multiLevelType w:val="hybridMultilevel"/>
    <w:tmpl w:val="B854F1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A17B2C"/>
    <w:multiLevelType w:val="multilevel"/>
    <w:tmpl w:val="04A6C4CC"/>
    <w:lvl w:ilvl="0">
      <w:start w:val="1"/>
      <w:numFmt w:val="lowerRoman"/>
      <w:lvlText w:val="%1."/>
      <w:lvlJc w:val="right"/>
      <w:pPr>
        <w:tabs>
          <w:tab w:val="num" w:pos="720"/>
        </w:tabs>
        <w:ind w:left="720" w:hanging="360"/>
      </w:pPr>
      <w:rPr>
        <w:rFonts w:hint="default"/>
        <w:sz w:val="24"/>
        <w:szCs w:val="24"/>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47745C"/>
    <w:multiLevelType w:val="hybridMultilevel"/>
    <w:tmpl w:val="8E8036D6"/>
    <w:lvl w:ilvl="0" w:tplc="0000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101340">
    <w:abstractNumId w:val="42"/>
  </w:num>
  <w:num w:numId="2" w16cid:durableId="1269239368">
    <w:abstractNumId w:val="34"/>
  </w:num>
  <w:num w:numId="3" w16cid:durableId="1779451545">
    <w:abstractNumId w:val="12"/>
  </w:num>
  <w:num w:numId="4" w16cid:durableId="262081006">
    <w:abstractNumId w:val="38"/>
  </w:num>
  <w:num w:numId="5" w16cid:durableId="1076123446">
    <w:abstractNumId w:val="23"/>
  </w:num>
  <w:num w:numId="6" w16cid:durableId="1825463356">
    <w:abstractNumId w:val="8"/>
  </w:num>
  <w:num w:numId="7" w16cid:durableId="1517963060">
    <w:abstractNumId w:val="29"/>
  </w:num>
  <w:num w:numId="8" w16cid:durableId="314990081">
    <w:abstractNumId w:val="4"/>
  </w:num>
  <w:num w:numId="9" w16cid:durableId="900092656">
    <w:abstractNumId w:val="5"/>
  </w:num>
  <w:num w:numId="10" w16cid:durableId="51390526">
    <w:abstractNumId w:val="15"/>
  </w:num>
  <w:num w:numId="11" w16cid:durableId="766930119">
    <w:abstractNumId w:val="21"/>
  </w:num>
  <w:num w:numId="12" w16cid:durableId="1196457277">
    <w:abstractNumId w:val="45"/>
  </w:num>
  <w:num w:numId="13" w16cid:durableId="2145075248">
    <w:abstractNumId w:val="48"/>
  </w:num>
  <w:num w:numId="14" w16cid:durableId="935944973">
    <w:abstractNumId w:val="18"/>
  </w:num>
  <w:num w:numId="15" w16cid:durableId="1408648106">
    <w:abstractNumId w:val="3"/>
  </w:num>
  <w:num w:numId="16" w16cid:durableId="216473123">
    <w:abstractNumId w:val="6"/>
  </w:num>
  <w:num w:numId="17" w16cid:durableId="1085884092">
    <w:abstractNumId w:val="0"/>
  </w:num>
  <w:num w:numId="18" w16cid:durableId="1940749795">
    <w:abstractNumId w:val="35"/>
  </w:num>
  <w:num w:numId="19" w16cid:durableId="704133294">
    <w:abstractNumId w:val="13"/>
  </w:num>
  <w:num w:numId="20" w16cid:durableId="251403613">
    <w:abstractNumId w:val="25"/>
  </w:num>
  <w:num w:numId="21" w16cid:durableId="2088721557">
    <w:abstractNumId w:val="54"/>
  </w:num>
  <w:num w:numId="22" w16cid:durableId="571156784">
    <w:abstractNumId w:val="16"/>
  </w:num>
  <w:num w:numId="23" w16cid:durableId="215969986">
    <w:abstractNumId w:val="14"/>
  </w:num>
  <w:num w:numId="24" w16cid:durableId="1040281517">
    <w:abstractNumId w:val="27"/>
  </w:num>
  <w:num w:numId="25" w16cid:durableId="1849102793">
    <w:abstractNumId w:val="31"/>
  </w:num>
  <w:num w:numId="26" w16cid:durableId="836388571">
    <w:abstractNumId w:val="41"/>
  </w:num>
  <w:num w:numId="27" w16cid:durableId="1190144895">
    <w:abstractNumId w:val="37"/>
  </w:num>
  <w:num w:numId="28" w16cid:durableId="296304989">
    <w:abstractNumId w:val="36"/>
  </w:num>
  <w:num w:numId="29" w16cid:durableId="757599087">
    <w:abstractNumId w:val="40"/>
  </w:num>
  <w:num w:numId="30" w16cid:durableId="1181507778">
    <w:abstractNumId w:val="22"/>
  </w:num>
  <w:num w:numId="31" w16cid:durableId="1685551017">
    <w:abstractNumId w:val="33"/>
  </w:num>
  <w:num w:numId="32" w16cid:durableId="300964378">
    <w:abstractNumId w:val="30"/>
  </w:num>
  <w:num w:numId="33" w16cid:durableId="1314069897">
    <w:abstractNumId w:val="9"/>
  </w:num>
  <w:num w:numId="34" w16cid:durableId="962005862">
    <w:abstractNumId w:val="11"/>
  </w:num>
  <w:num w:numId="35" w16cid:durableId="1167941153">
    <w:abstractNumId w:val="24"/>
  </w:num>
  <w:num w:numId="36" w16cid:durableId="1164780464">
    <w:abstractNumId w:val="46"/>
  </w:num>
  <w:num w:numId="37" w16cid:durableId="1252616792">
    <w:abstractNumId w:val="19"/>
  </w:num>
  <w:num w:numId="38" w16cid:durableId="160506782">
    <w:abstractNumId w:val="26"/>
  </w:num>
  <w:num w:numId="39" w16cid:durableId="1322153809">
    <w:abstractNumId w:val="50"/>
  </w:num>
  <w:num w:numId="40" w16cid:durableId="1730377032">
    <w:abstractNumId w:val="43"/>
  </w:num>
  <w:num w:numId="41" w16cid:durableId="505898891">
    <w:abstractNumId w:val="49"/>
  </w:num>
  <w:num w:numId="42" w16cid:durableId="1289319573">
    <w:abstractNumId w:val="10"/>
  </w:num>
  <w:num w:numId="43" w16cid:durableId="1076322515">
    <w:abstractNumId w:val="32"/>
  </w:num>
  <w:num w:numId="44" w16cid:durableId="1809128443">
    <w:abstractNumId w:val="17"/>
  </w:num>
  <w:num w:numId="45" w16cid:durableId="1027296971">
    <w:abstractNumId w:val="1"/>
  </w:num>
  <w:num w:numId="46" w16cid:durableId="476845863">
    <w:abstractNumId w:val="39"/>
  </w:num>
  <w:num w:numId="47" w16cid:durableId="1189756620">
    <w:abstractNumId w:val="44"/>
  </w:num>
  <w:num w:numId="48" w16cid:durableId="168955998">
    <w:abstractNumId w:val="20"/>
  </w:num>
  <w:num w:numId="49" w16cid:durableId="205871884">
    <w:abstractNumId w:val="2"/>
  </w:num>
  <w:num w:numId="50" w16cid:durableId="1074812095">
    <w:abstractNumId w:val="52"/>
  </w:num>
  <w:num w:numId="51" w16cid:durableId="1598634814">
    <w:abstractNumId w:val="47"/>
  </w:num>
  <w:num w:numId="52" w16cid:durableId="1248922070">
    <w:abstractNumId w:val="51"/>
  </w:num>
  <w:num w:numId="53" w16cid:durableId="500237429">
    <w:abstractNumId w:val="7"/>
  </w:num>
  <w:num w:numId="54" w16cid:durableId="98526082">
    <w:abstractNumId w:val="28"/>
  </w:num>
  <w:num w:numId="55" w16cid:durableId="387457792">
    <w:abstractNumId w:val="5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ZA" w:vendorID="64" w:dllVersion="0" w:nlCheck="1" w:checkStyle="0"/>
  <w:activeWritingStyle w:appName="MSWord" w:lang="en-ZA" w:vendorID="64" w:dllVersion="6" w:nlCheck="1" w:checkStyle="1"/>
  <w:activeWritingStyle w:appName="MSWord" w:lang="en-JM"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015"/>
    <w:rsid w:val="00000257"/>
    <w:rsid w:val="0000379A"/>
    <w:rsid w:val="0000482F"/>
    <w:rsid w:val="0000521A"/>
    <w:rsid w:val="00007231"/>
    <w:rsid w:val="00016493"/>
    <w:rsid w:val="0001652A"/>
    <w:rsid w:val="00020295"/>
    <w:rsid w:val="00022244"/>
    <w:rsid w:val="00022420"/>
    <w:rsid w:val="00022B4C"/>
    <w:rsid w:val="00023E50"/>
    <w:rsid w:val="00025145"/>
    <w:rsid w:val="000252D3"/>
    <w:rsid w:val="0002539E"/>
    <w:rsid w:val="00026DD3"/>
    <w:rsid w:val="00026F42"/>
    <w:rsid w:val="00030530"/>
    <w:rsid w:val="00032430"/>
    <w:rsid w:val="000367B9"/>
    <w:rsid w:val="00041A1C"/>
    <w:rsid w:val="000430BF"/>
    <w:rsid w:val="0004433E"/>
    <w:rsid w:val="0004464E"/>
    <w:rsid w:val="000448F9"/>
    <w:rsid w:val="00045CBA"/>
    <w:rsid w:val="0004695E"/>
    <w:rsid w:val="0004764F"/>
    <w:rsid w:val="000613F3"/>
    <w:rsid w:val="00065150"/>
    <w:rsid w:val="00066F88"/>
    <w:rsid w:val="00067F42"/>
    <w:rsid w:val="00076DFB"/>
    <w:rsid w:val="00077331"/>
    <w:rsid w:val="00082879"/>
    <w:rsid w:val="00083FEB"/>
    <w:rsid w:val="000846B0"/>
    <w:rsid w:val="00090ADD"/>
    <w:rsid w:val="0009757D"/>
    <w:rsid w:val="000A22DA"/>
    <w:rsid w:val="000A2C6A"/>
    <w:rsid w:val="000B27DC"/>
    <w:rsid w:val="000B4801"/>
    <w:rsid w:val="000B65BE"/>
    <w:rsid w:val="000B72E8"/>
    <w:rsid w:val="000C4DA4"/>
    <w:rsid w:val="000D04EC"/>
    <w:rsid w:val="000D0A7B"/>
    <w:rsid w:val="000D2580"/>
    <w:rsid w:val="000D5012"/>
    <w:rsid w:val="000E1D6C"/>
    <w:rsid w:val="000E20D0"/>
    <w:rsid w:val="000E3586"/>
    <w:rsid w:val="000F0B83"/>
    <w:rsid w:val="000F1C5D"/>
    <w:rsid w:val="000F69A4"/>
    <w:rsid w:val="0010307D"/>
    <w:rsid w:val="0010661E"/>
    <w:rsid w:val="00112F89"/>
    <w:rsid w:val="001140FA"/>
    <w:rsid w:val="00114462"/>
    <w:rsid w:val="00121C1F"/>
    <w:rsid w:val="001247E1"/>
    <w:rsid w:val="00124ABD"/>
    <w:rsid w:val="00126D25"/>
    <w:rsid w:val="0013036B"/>
    <w:rsid w:val="001313E5"/>
    <w:rsid w:val="00135376"/>
    <w:rsid w:val="001374FC"/>
    <w:rsid w:val="0014048F"/>
    <w:rsid w:val="001421EC"/>
    <w:rsid w:val="00147385"/>
    <w:rsid w:val="00151FE1"/>
    <w:rsid w:val="00152009"/>
    <w:rsid w:val="00152B45"/>
    <w:rsid w:val="001541ED"/>
    <w:rsid w:val="00160CF5"/>
    <w:rsid w:val="00161FAB"/>
    <w:rsid w:val="001638AC"/>
    <w:rsid w:val="001677EA"/>
    <w:rsid w:val="001715CF"/>
    <w:rsid w:val="00174A70"/>
    <w:rsid w:val="00176269"/>
    <w:rsid w:val="0017783A"/>
    <w:rsid w:val="00177D6B"/>
    <w:rsid w:val="001802B3"/>
    <w:rsid w:val="00183CE9"/>
    <w:rsid w:val="00191773"/>
    <w:rsid w:val="001A063C"/>
    <w:rsid w:val="001A34A1"/>
    <w:rsid w:val="001A46E8"/>
    <w:rsid w:val="001B157E"/>
    <w:rsid w:val="001B1FA4"/>
    <w:rsid w:val="001B633A"/>
    <w:rsid w:val="001B6C23"/>
    <w:rsid w:val="001B747B"/>
    <w:rsid w:val="001C1ED9"/>
    <w:rsid w:val="001C5842"/>
    <w:rsid w:val="001C65F5"/>
    <w:rsid w:val="001C7D10"/>
    <w:rsid w:val="001D4AA1"/>
    <w:rsid w:val="001D6317"/>
    <w:rsid w:val="001E3745"/>
    <w:rsid w:val="001F1BD5"/>
    <w:rsid w:val="001F331E"/>
    <w:rsid w:val="001F4346"/>
    <w:rsid w:val="001F4708"/>
    <w:rsid w:val="00202BD2"/>
    <w:rsid w:val="002043E0"/>
    <w:rsid w:val="00204D23"/>
    <w:rsid w:val="00205BFF"/>
    <w:rsid w:val="0021054E"/>
    <w:rsid w:val="0021771E"/>
    <w:rsid w:val="00221556"/>
    <w:rsid w:val="00221AB9"/>
    <w:rsid w:val="00222877"/>
    <w:rsid w:val="0022498B"/>
    <w:rsid w:val="0022666A"/>
    <w:rsid w:val="00236D5F"/>
    <w:rsid w:val="00240A20"/>
    <w:rsid w:val="002419DA"/>
    <w:rsid w:val="00242315"/>
    <w:rsid w:val="00244A3F"/>
    <w:rsid w:val="0024540D"/>
    <w:rsid w:val="00263065"/>
    <w:rsid w:val="002674BD"/>
    <w:rsid w:val="0027423D"/>
    <w:rsid w:val="00277DD6"/>
    <w:rsid w:val="002806A6"/>
    <w:rsid w:val="00280ECF"/>
    <w:rsid w:val="00284356"/>
    <w:rsid w:val="00287E5C"/>
    <w:rsid w:val="00291609"/>
    <w:rsid w:val="00291D76"/>
    <w:rsid w:val="00293450"/>
    <w:rsid w:val="00293B0C"/>
    <w:rsid w:val="00296300"/>
    <w:rsid w:val="00296F1A"/>
    <w:rsid w:val="00297EB4"/>
    <w:rsid w:val="002A48A6"/>
    <w:rsid w:val="002C3A80"/>
    <w:rsid w:val="002C3F59"/>
    <w:rsid w:val="002C6EAD"/>
    <w:rsid w:val="002D0345"/>
    <w:rsid w:val="002D1A0D"/>
    <w:rsid w:val="002D64C7"/>
    <w:rsid w:val="002D6676"/>
    <w:rsid w:val="002D729C"/>
    <w:rsid w:val="002E4C7C"/>
    <w:rsid w:val="002E7087"/>
    <w:rsid w:val="002F0211"/>
    <w:rsid w:val="002F065A"/>
    <w:rsid w:val="002F1E17"/>
    <w:rsid w:val="002F3B80"/>
    <w:rsid w:val="002F5272"/>
    <w:rsid w:val="002F585F"/>
    <w:rsid w:val="00301373"/>
    <w:rsid w:val="003014EA"/>
    <w:rsid w:val="00302BBC"/>
    <w:rsid w:val="00312BCB"/>
    <w:rsid w:val="00313836"/>
    <w:rsid w:val="00314169"/>
    <w:rsid w:val="003168FA"/>
    <w:rsid w:val="00317032"/>
    <w:rsid w:val="0031748C"/>
    <w:rsid w:val="00320D3B"/>
    <w:rsid w:val="00321FB5"/>
    <w:rsid w:val="00322C5F"/>
    <w:rsid w:val="00333A47"/>
    <w:rsid w:val="00335162"/>
    <w:rsid w:val="0033572A"/>
    <w:rsid w:val="0033643A"/>
    <w:rsid w:val="0033741F"/>
    <w:rsid w:val="00342354"/>
    <w:rsid w:val="00342521"/>
    <w:rsid w:val="003428F5"/>
    <w:rsid w:val="00350580"/>
    <w:rsid w:val="0035180B"/>
    <w:rsid w:val="003544F8"/>
    <w:rsid w:val="00354A2C"/>
    <w:rsid w:val="00357078"/>
    <w:rsid w:val="00362611"/>
    <w:rsid w:val="00363528"/>
    <w:rsid w:val="00366FC4"/>
    <w:rsid w:val="0036786B"/>
    <w:rsid w:val="00367D1B"/>
    <w:rsid w:val="00373F97"/>
    <w:rsid w:val="0037447B"/>
    <w:rsid w:val="00377FB1"/>
    <w:rsid w:val="00380B3A"/>
    <w:rsid w:val="003818DE"/>
    <w:rsid w:val="00381BAB"/>
    <w:rsid w:val="00382CE0"/>
    <w:rsid w:val="0038538E"/>
    <w:rsid w:val="0038792E"/>
    <w:rsid w:val="00390262"/>
    <w:rsid w:val="003941BE"/>
    <w:rsid w:val="00394D36"/>
    <w:rsid w:val="003961DD"/>
    <w:rsid w:val="00396FAC"/>
    <w:rsid w:val="00397484"/>
    <w:rsid w:val="003A206A"/>
    <w:rsid w:val="003A289E"/>
    <w:rsid w:val="003A2EE6"/>
    <w:rsid w:val="003A3629"/>
    <w:rsid w:val="003A3C5F"/>
    <w:rsid w:val="003A49D3"/>
    <w:rsid w:val="003A6D44"/>
    <w:rsid w:val="003A702B"/>
    <w:rsid w:val="003B080B"/>
    <w:rsid w:val="003B1A14"/>
    <w:rsid w:val="003B1F2F"/>
    <w:rsid w:val="003B2F85"/>
    <w:rsid w:val="003B78A4"/>
    <w:rsid w:val="003C1C4C"/>
    <w:rsid w:val="003C723C"/>
    <w:rsid w:val="003D1467"/>
    <w:rsid w:val="003D1ADC"/>
    <w:rsid w:val="003D34A9"/>
    <w:rsid w:val="003D7121"/>
    <w:rsid w:val="003D769B"/>
    <w:rsid w:val="003E1A88"/>
    <w:rsid w:val="003E7566"/>
    <w:rsid w:val="003E760A"/>
    <w:rsid w:val="003F1079"/>
    <w:rsid w:val="003F176A"/>
    <w:rsid w:val="003F1ED0"/>
    <w:rsid w:val="003F3CE8"/>
    <w:rsid w:val="0040024C"/>
    <w:rsid w:val="00404C83"/>
    <w:rsid w:val="0040562F"/>
    <w:rsid w:val="00405957"/>
    <w:rsid w:val="00405D56"/>
    <w:rsid w:val="004115E3"/>
    <w:rsid w:val="0041468E"/>
    <w:rsid w:val="00415AB6"/>
    <w:rsid w:val="0041617D"/>
    <w:rsid w:val="00416340"/>
    <w:rsid w:val="00422C84"/>
    <w:rsid w:val="0042567B"/>
    <w:rsid w:val="00426871"/>
    <w:rsid w:val="00427BD6"/>
    <w:rsid w:val="00430653"/>
    <w:rsid w:val="0043073A"/>
    <w:rsid w:val="0044189E"/>
    <w:rsid w:val="00441C4D"/>
    <w:rsid w:val="004469EA"/>
    <w:rsid w:val="00450EA9"/>
    <w:rsid w:val="00453CA9"/>
    <w:rsid w:val="00455336"/>
    <w:rsid w:val="00460CDE"/>
    <w:rsid w:val="0046137C"/>
    <w:rsid w:val="00461507"/>
    <w:rsid w:val="00463972"/>
    <w:rsid w:val="00463DEB"/>
    <w:rsid w:val="00467EC9"/>
    <w:rsid w:val="00470A18"/>
    <w:rsid w:val="00470A70"/>
    <w:rsid w:val="004762BE"/>
    <w:rsid w:val="004774AB"/>
    <w:rsid w:val="00482A2D"/>
    <w:rsid w:val="00483DCD"/>
    <w:rsid w:val="00485E58"/>
    <w:rsid w:val="00487985"/>
    <w:rsid w:val="00492C0A"/>
    <w:rsid w:val="0049458B"/>
    <w:rsid w:val="004A1C53"/>
    <w:rsid w:val="004A3433"/>
    <w:rsid w:val="004B5BA6"/>
    <w:rsid w:val="004B62B6"/>
    <w:rsid w:val="004B6451"/>
    <w:rsid w:val="004B662D"/>
    <w:rsid w:val="004C0151"/>
    <w:rsid w:val="004C08B6"/>
    <w:rsid w:val="004C37C3"/>
    <w:rsid w:val="004C3A6E"/>
    <w:rsid w:val="004D0A40"/>
    <w:rsid w:val="004D73A9"/>
    <w:rsid w:val="004E38ED"/>
    <w:rsid w:val="004E4C89"/>
    <w:rsid w:val="004E55E2"/>
    <w:rsid w:val="004E7799"/>
    <w:rsid w:val="004F11AA"/>
    <w:rsid w:val="004F18B2"/>
    <w:rsid w:val="004F68AE"/>
    <w:rsid w:val="00505A1D"/>
    <w:rsid w:val="0051404E"/>
    <w:rsid w:val="0051428B"/>
    <w:rsid w:val="005179A8"/>
    <w:rsid w:val="0052177C"/>
    <w:rsid w:val="00525585"/>
    <w:rsid w:val="00531B21"/>
    <w:rsid w:val="005321F6"/>
    <w:rsid w:val="0054270A"/>
    <w:rsid w:val="00542E02"/>
    <w:rsid w:val="00547622"/>
    <w:rsid w:val="00547B48"/>
    <w:rsid w:val="00553471"/>
    <w:rsid w:val="00560ABB"/>
    <w:rsid w:val="005617A5"/>
    <w:rsid w:val="005637F8"/>
    <w:rsid w:val="005648B7"/>
    <w:rsid w:val="00565A4F"/>
    <w:rsid w:val="00566820"/>
    <w:rsid w:val="00567406"/>
    <w:rsid w:val="00570127"/>
    <w:rsid w:val="0057043E"/>
    <w:rsid w:val="00574257"/>
    <w:rsid w:val="00583529"/>
    <w:rsid w:val="00584972"/>
    <w:rsid w:val="0058524B"/>
    <w:rsid w:val="00592D55"/>
    <w:rsid w:val="00594E73"/>
    <w:rsid w:val="00595DBC"/>
    <w:rsid w:val="005968B0"/>
    <w:rsid w:val="00597145"/>
    <w:rsid w:val="005A5B43"/>
    <w:rsid w:val="005A70C8"/>
    <w:rsid w:val="005B1DD2"/>
    <w:rsid w:val="005C0688"/>
    <w:rsid w:val="005C3C0D"/>
    <w:rsid w:val="005C489F"/>
    <w:rsid w:val="005C4DD5"/>
    <w:rsid w:val="005C6918"/>
    <w:rsid w:val="005C7126"/>
    <w:rsid w:val="005C78E4"/>
    <w:rsid w:val="005D1197"/>
    <w:rsid w:val="005D1D3E"/>
    <w:rsid w:val="005D317B"/>
    <w:rsid w:val="005E12F9"/>
    <w:rsid w:val="005E150B"/>
    <w:rsid w:val="005E4CD2"/>
    <w:rsid w:val="005F2129"/>
    <w:rsid w:val="005F458F"/>
    <w:rsid w:val="005F53F8"/>
    <w:rsid w:val="005F6B80"/>
    <w:rsid w:val="005F7C88"/>
    <w:rsid w:val="00601519"/>
    <w:rsid w:val="006035BA"/>
    <w:rsid w:val="0060450B"/>
    <w:rsid w:val="006045E0"/>
    <w:rsid w:val="00604DC4"/>
    <w:rsid w:val="006079BB"/>
    <w:rsid w:val="006169A4"/>
    <w:rsid w:val="00617EE5"/>
    <w:rsid w:val="006207F3"/>
    <w:rsid w:val="00624CA7"/>
    <w:rsid w:val="006251C8"/>
    <w:rsid w:val="006262C3"/>
    <w:rsid w:val="00627360"/>
    <w:rsid w:val="00631C00"/>
    <w:rsid w:val="006349E3"/>
    <w:rsid w:val="00635A1E"/>
    <w:rsid w:val="00635A92"/>
    <w:rsid w:val="00635CCC"/>
    <w:rsid w:val="0063733D"/>
    <w:rsid w:val="00637C04"/>
    <w:rsid w:val="00637ED9"/>
    <w:rsid w:val="00640798"/>
    <w:rsid w:val="00642DFF"/>
    <w:rsid w:val="00643A4D"/>
    <w:rsid w:val="006454C5"/>
    <w:rsid w:val="00650508"/>
    <w:rsid w:val="00654976"/>
    <w:rsid w:val="0065712B"/>
    <w:rsid w:val="00660BDD"/>
    <w:rsid w:val="00660FEF"/>
    <w:rsid w:val="006621A9"/>
    <w:rsid w:val="0066267A"/>
    <w:rsid w:val="00664218"/>
    <w:rsid w:val="006722FF"/>
    <w:rsid w:val="00677BA0"/>
    <w:rsid w:val="00680879"/>
    <w:rsid w:val="0068099A"/>
    <w:rsid w:val="00681330"/>
    <w:rsid w:val="00681713"/>
    <w:rsid w:val="0068377B"/>
    <w:rsid w:val="00683E20"/>
    <w:rsid w:val="006847AA"/>
    <w:rsid w:val="00685C35"/>
    <w:rsid w:val="00687498"/>
    <w:rsid w:val="00687EA7"/>
    <w:rsid w:val="00691485"/>
    <w:rsid w:val="00692631"/>
    <w:rsid w:val="00692C20"/>
    <w:rsid w:val="00695B0B"/>
    <w:rsid w:val="00695E55"/>
    <w:rsid w:val="00697FB7"/>
    <w:rsid w:val="006A0AFA"/>
    <w:rsid w:val="006A4F4E"/>
    <w:rsid w:val="006A5E16"/>
    <w:rsid w:val="006B4026"/>
    <w:rsid w:val="006B6534"/>
    <w:rsid w:val="006B65DF"/>
    <w:rsid w:val="006B725E"/>
    <w:rsid w:val="006C1C4E"/>
    <w:rsid w:val="006C3269"/>
    <w:rsid w:val="006C5D4C"/>
    <w:rsid w:val="006D626D"/>
    <w:rsid w:val="006D73A0"/>
    <w:rsid w:val="006E2BAC"/>
    <w:rsid w:val="006E576A"/>
    <w:rsid w:val="006F0838"/>
    <w:rsid w:val="006F2769"/>
    <w:rsid w:val="006F2819"/>
    <w:rsid w:val="006F35CD"/>
    <w:rsid w:val="006F52A7"/>
    <w:rsid w:val="00701220"/>
    <w:rsid w:val="00702606"/>
    <w:rsid w:val="007040E9"/>
    <w:rsid w:val="007044B2"/>
    <w:rsid w:val="0071046A"/>
    <w:rsid w:val="007129B6"/>
    <w:rsid w:val="00713C2B"/>
    <w:rsid w:val="00714054"/>
    <w:rsid w:val="00715B35"/>
    <w:rsid w:val="00720796"/>
    <w:rsid w:val="007236C7"/>
    <w:rsid w:val="00731678"/>
    <w:rsid w:val="00737920"/>
    <w:rsid w:val="007428E9"/>
    <w:rsid w:val="007432B2"/>
    <w:rsid w:val="00744E40"/>
    <w:rsid w:val="00745B17"/>
    <w:rsid w:val="00746351"/>
    <w:rsid w:val="00747764"/>
    <w:rsid w:val="00750146"/>
    <w:rsid w:val="00750CDB"/>
    <w:rsid w:val="00752EA7"/>
    <w:rsid w:val="00753285"/>
    <w:rsid w:val="00755CE3"/>
    <w:rsid w:val="007571D7"/>
    <w:rsid w:val="00762FD6"/>
    <w:rsid w:val="007668D1"/>
    <w:rsid w:val="007671B0"/>
    <w:rsid w:val="00775313"/>
    <w:rsid w:val="007765D5"/>
    <w:rsid w:val="007776B4"/>
    <w:rsid w:val="0078232D"/>
    <w:rsid w:val="0078586C"/>
    <w:rsid w:val="00791DA9"/>
    <w:rsid w:val="007939A3"/>
    <w:rsid w:val="00795DA7"/>
    <w:rsid w:val="007963AC"/>
    <w:rsid w:val="007A29E4"/>
    <w:rsid w:val="007A5DE6"/>
    <w:rsid w:val="007A7678"/>
    <w:rsid w:val="007B45E9"/>
    <w:rsid w:val="007C1A6A"/>
    <w:rsid w:val="007C3CE0"/>
    <w:rsid w:val="007C59BD"/>
    <w:rsid w:val="007C6401"/>
    <w:rsid w:val="007C66DA"/>
    <w:rsid w:val="007D0692"/>
    <w:rsid w:val="007D5E25"/>
    <w:rsid w:val="007D6648"/>
    <w:rsid w:val="007D6CEA"/>
    <w:rsid w:val="007D734E"/>
    <w:rsid w:val="007E0E19"/>
    <w:rsid w:val="007E222B"/>
    <w:rsid w:val="007E55A7"/>
    <w:rsid w:val="007E74FC"/>
    <w:rsid w:val="007E7882"/>
    <w:rsid w:val="007E7954"/>
    <w:rsid w:val="007F2FE7"/>
    <w:rsid w:val="007F4AE2"/>
    <w:rsid w:val="007F6A04"/>
    <w:rsid w:val="00800561"/>
    <w:rsid w:val="008026EB"/>
    <w:rsid w:val="00806186"/>
    <w:rsid w:val="00807BB8"/>
    <w:rsid w:val="00824942"/>
    <w:rsid w:val="008257CA"/>
    <w:rsid w:val="008301A8"/>
    <w:rsid w:val="00830BBF"/>
    <w:rsid w:val="008358A6"/>
    <w:rsid w:val="00835AD8"/>
    <w:rsid w:val="0083638B"/>
    <w:rsid w:val="00837FB1"/>
    <w:rsid w:val="00852B42"/>
    <w:rsid w:val="008548FC"/>
    <w:rsid w:val="00855AAF"/>
    <w:rsid w:val="00860948"/>
    <w:rsid w:val="00860A48"/>
    <w:rsid w:val="00864983"/>
    <w:rsid w:val="0086633D"/>
    <w:rsid w:val="00872F10"/>
    <w:rsid w:val="00874E55"/>
    <w:rsid w:val="008768A9"/>
    <w:rsid w:val="00877E61"/>
    <w:rsid w:val="00880BEC"/>
    <w:rsid w:val="0088149C"/>
    <w:rsid w:val="0088167D"/>
    <w:rsid w:val="0088297B"/>
    <w:rsid w:val="00882A1F"/>
    <w:rsid w:val="0088761C"/>
    <w:rsid w:val="008907DA"/>
    <w:rsid w:val="00892DFF"/>
    <w:rsid w:val="00893BF8"/>
    <w:rsid w:val="008A1BE8"/>
    <w:rsid w:val="008A5EA1"/>
    <w:rsid w:val="008B2CC6"/>
    <w:rsid w:val="008B3AC9"/>
    <w:rsid w:val="008B728B"/>
    <w:rsid w:val="008C1104"/>
    <w:rsid w:val="008C1612"/>
    <w:rsid w:val="008C2932"/>
    <w:rsid w:val="008C655C"/>
    <w:rsid w:val="008D0C9E"/>
    <w:rsid w:val="008D339A"/>
    <w:rsid w:val="008D5A0F"/>
    <w:rsid w:val="008E43D1"/>
    <w:rsid w:val="008E4ABA"/>
    <w:rsid w:val="008F1373"/>
    <w:rsid w:val="008F79CA"/>
    <w:rsid w:val="0090484C"/>
    <w:rsid w:val="00904BFC"/>
    <w:rsid w:val="009055F3"/>
    <w:rsid w:val="00905EB6"/>
    <w:rsid w:val="009105AE"/>
    <w:rsid w:val="00912648"/>
    <w:rsid w:val="009127EF"/>
    <w:rsid w:val="0091390D"/>
    <w:rsid w:val="009152F1"/>
    <w:rsid w:val="00915449"/>
    <w:rsid w:val="009160CC"/>
    <w:rsid w:val="00917ADB"/>
    <w:rsid w:val="00917F47"/>
    <w:rsid w:val="00923EDA"/>
    <w:rsid w:val="009265DF"/>
    <w:rsid w:val="009269E1"/>
    <w:rsid w:val="00927F0E"/>
    <w:rsid w:val="009314DB"/>
    <w:rsid w:val="00931F3C"/>
    <w:rsid w:val="00935F9D"/>
    <w:rsid w:val="00943E1D"/>
    <w:rsid w:val="0094404E"/>
    <w:rsid w:val="00946E0E"/>
    <w:rsid w:val="009508ED"/>
    <w:rsid w:val="009512B6"/>
    <w:rsid w:val="00951E5A"/>
    <w:rsid w:val="00952612"/>
    <w:rsid w:val="00952DC0"/>
    <w:rsid w:val="00953190"/>
    <w:rsid w:val="00957EAF"/>
    <w:rsid w:val="00960206"/>
    <w:rsid w:val="009611DD"/>
    <w:rsid w:val="0096131D"/>
    <w:rsid w:val="0096431A"/>
    <w:rsid w:val="0097007A"/>
    <w:rsid w:val="009728E2"/>
    <w:rsid w:val="00980385"/>
    <w:rsid w:val="00982EDD"/>
    <w:rsid w:val="00987834"/>
    <w:rsid w:val="009954CF"/>
    <w:rsid w:val="00996D58"/>
    <w:rsid w:val="009A075E"/>
    <w:rsid w:val="009A126E"/>
    <w:rsid w:val="009A138A"/>
    <w:rsid w:val="009A1B67"/>
    <w:rsid w:val="009A45C3"/>
    <w:rsid w:val="009A69EA"/>
    <w:rsid w:val="009B1819"/>
    <w:rsid w:val="009B7EDF"/>
    <w:rsid w:val="009C2E49"/>
    <w:rsid w:val="009C764B"/>
    <w:rsid w:val="009D02B0"/>
    <w:rsid w:val="009D54E0"/>
    <w:rsid w:val="009D63C0"/>
    <w:rsid w:val="009D780A"/>
    <w:rsid w:val="009E0743"/>
    <w:rsid w:val="009E0F3D"/>
    <w:rsid w:val="009E1FEB"/>
    <w:rsid w:val="009E5BDA"/>
    <w:rsid w:val="009F1FBE"/>
    <w:rsid w:val="009F2423"/>
    <w:rsid w:val="00A016D7"/>
    <w:rsid w:val="00A0665E"/>
    <w:rsid w:val="00A07312"/>
    <w:rsid w:val="00A11D73"/>
    <w:rsid w:val="00A14B80"/>
    <w:rsid w:val="00A14CBA"/>
    <w:rsid w:val="00A1757A"/>
    <w:rsid w:val="00A316F2"/>
    <w:rsid w:val="00A31A0B"/>
    <w:rsid w:val="00A332A7"/>
    <w:rsid w:val="00A333F7"/>
    <w:rsid w:val="00A405CD"/>
    <w:rsid w:val="00A40916"/>
    <w:rsid w:val="00A43AAF"/>
    <w:rsid w:val="00A43BB7"/>
    <w:rsid w:val="00A50B63"/>
    <w:rsid w:val="00A56BA0"/>
    <w:rsid w:val="00A71061"/>
    <w:rsid w:val="00A71711"/>
    <w:rsid w:val="00A717A1"/>
    <w:rsid w:val="00A71874"/>
    <w:rsid w:val="00A718CA"/>
    <w:rsid w:val="00A74DFC"/>
    <w:rsid w:val="00A77A51"/>
    <w:rsid w:val="00A77DFA"/>
    <w:rsid w:val="00A80F2B"/>
    <w:rsid w:val="00A92220"/>
    <w:rsid w:val="00A946D6"/>
    <w:rsid w:val="00A97D62"/>
    <w:rsid w:val="00AA28C8"/>
    <w:rsid w:val="00AA2A62"/>
    <w:rsid w:val="00AA7FF8"/>
    <w:rsid w:val="00AB027E"/>
    <w:rsid w:val="00AB55EC"/>
    <w:rsid w:val="00AB7A00"/>
    <w:rsid w:val="00AC131D"/>
    <w:rsid w:val="00AC2BF1"/>
    <w:rsid w:val="00AC7EC5"/>
    <w:rsid w:val="00AC7FC0"/>
    <w:rsid w:val="00AD2EF9"/>
    <w:rsid w:val="00AD4E4F"/>
    <w:rsid w:val="00AE33F3"/>
    <w:rsid w:val="00AE5F35"/>
    <w:rsid w:val="00AF276B"/>
    <w:rsid w:val="00AF5F9D"/>
    <w:rsid w:val="00AF60A9"/>
    <w:rsid w:val="00AF727E"/>
    <w:rsid w:val="00B00333"/>
    <w:rsid w:val="00B023BC"/>
    <w:rsid w:val="00B04016"/>
    <w:rsid w:val="00B04F78"/>
    <w:rsid w:val="00B0600E"/>
    <w:rsid w:val="00B10FC6"/>
    <w:rsid w:val="00B1220E"/>
    <w:rsid w:val="00B124F6"/>
    <w:rsid w:val="00B13514"/>
    <w:rsid w:val="00B13CF4"/>
    <w:rsid w:val="00B15AA8"/>
    <w:rsid w:val="00B1664F"/>
    <w:rsid w:val="00B24C3D"/>
    <w:rsid w:val="00B25774"/>
    <w:rsid w:val="00B25A06"/>
    <w:rsid w:val="00B274E9"/>
    <w:rsid w:val="00B313B3"/>
    <w:rsid w:val="00B34F95"/>
    <w:rsid w:val="00B366CD"/>
    <w:rsid w:val="00B36726"/>
    <w:rsid w:val="00B36AA3"/>
    <w:rsid w:val="00B4185F"/>
    <w:rsid w:val="00B43EB6"/>
    <w:rsid w:val="00B4580F"/>
    <w:rsid w:val="00B46B7A"/>
    <w:rsid w:val="00B50541"/>
    <w:rsid w:val="00B52830"/>
    <w:rsid w:val="00B5577F"/>
    <w:rsid w:val="00B55E4F"/>
    <w:rsid w:val="00B56747"/>
    <w:rsid w:val="00B573AF"/>
    <w:rsid w:val="00B60540"/>
    <w:rsid w:val="00B61FE4"/>
    <w:rsid w:val="00B620B3"/>
    <w:rsid w:val="00B6552A"/>
    <w:rsid w:val="00B65533"/>
    <w:rsid w:val="00B6706D"/>
    <w:rsid w:val="00B67AB0"/>
    <w:rsid w:val="00B71DE2"/>
    <w:rsid w:val="00B74F26"/>
    <w:rsid w:val="00B77A46"/>
    <w:rsid w:val="00B807B9"/>
    <w:rsid w:val="00B83F08"/>
    <w:rsid w:val="00B9304A"/>
    <w:rsid w:val="00B94156"/>
    <w:rsid w:val="00BA11AF"/>
    <w:rsid w:val="00BA5746"/>
    <w:rsid w:val="00BA627A"/>
    <w:rsid w:val="00BA7E36"/>
    <w:rsid w:val="00BB05A6"/>
    <w:rsid w:val="00BB1BEB"/>
    <w:rsid w:val="00BB22EE"/>
    <w:rsid w:val="00BC2144"/>
    <w:rsid w:val="00BC3F7F"/>
    <w:rsid w:val="00BC58FC"/>
    <w:rsid w:val="00BC6E65"/>
    <w:rsid w:val="00BD0A39"/>
    <w:rsid w:val="00BD5524"/>
    <w:rsid w:val="00BD5780"/>
    <w:rsid w:val="00BE706F"/>
    <w:rsid w:val="00BF23CB"/>
    <w:rsid w:val="00BF6102"/>
    <w:rsid w:val="00BF6261"/>
    <w:rsid w:val="00C026E7"/>
    <w:rsid w:val="00C026FB"/>
    <w:rsid w:val="00C0275D"/>
    <w:rsid w:val="00C051EE"/>
    <w:rsid w:val="00C05C48"/>
    <w:rsid w:val="00C1121F"/>
    <w:rsid w:val="00C11F1F"/>
    <w:rsid w:val="00C13169"/>
    <w:rsid w:val="00C21897"/>
    <w:rsid w:val="00C25FE1"/>
    <w:rsid w:val="00C26ECE"/>
    <w:rsid w:val="00C27548"/>
    <w:rsid w:val="00C31C17"/>
    <w:rsid w:val="00C321CC"/>
    <w:rsid w:val="00C3347D"/>
    <w:rsid w:val="00C3626A"/>
    <w:rsid w:val="00C36751"/>
    <w:rsid w:val="00C368C5"/>
    <w:rsid w:val="00C44E2F"/>
    <w:rsid w:val="00C458AE"/>
    <w:rsid w:val="00C476B0"/>
    <w:rsid w:val="00C501B9"/>
    <w:rsid w:val="00C52DA6"/>
    <w:rsid w:val="00C53278"/>
    <w:rsid w:val="00C5520F"/>
    <w:rsid w:val="00C5671C"/>
    <w:rsid w:val="00C64BEE"/>
    <w:rsid w:val="00C6652D"/>
    <w:rsid w:val="00C7085F"/>
    <w:rsid w:val="00C73789"/>
    <w:rsid w:val="00C7739D"/>
    <w:rsid w:val="00C80A78"/>
    <w:rsid w:val="00C84204"/>
    <w:rsid w:val="00C8665B"/>
    <w:rsid w:val="00C903BC"/>
    <w:rsid w:val="00C9112A"/>
    <w:rsid w:val="00C960E9"/>
    <w:rsid w:val="00C96D33"/>
    <w:rsid w:val="00CA1420"/>
    <w:rsid w:val="00CA387B"/>
    <w:rsid w:val="00CA523E"/>
    <w:rsid w:val="00CA79CD"/>
    <w:rsid w:val="00CB03E1"/>
    <w:rsid w:val="00CB3099"/>
    <w:rsid w:val="00CB7C07"/>
    <w:rsid w:val="00CC7120"/>
    <w:rsid w:val="00CD0D27"/>
    <w:rsid w:val="00CD4503"/>
    <w:rsid w:val="00CD6046"/>
    <w:rsid w:val="00CE040F"/>
    <w:rsid w:val="00CE2716"/>
    <w:rsid w:val="00CE3027"/>
    <w:rsid w:val="00CE4805"/>
    <w:rsid w:val="00CE66E6"/>
    <w:rsid w:val="00CE7819"/>
    <w:rsid w:val="00CF3589"/>
    <w:rsid w:val="00CF4602"/>
    <w:rsid w:val="00CF6F2E"/>
    <w:rsid w:val="00D02515"/>
    <w:rsid w:val="00D06449"/>
    <w:rsid w:val="00D1657F"/>
    <w:rsid w:val="00D228C9"/>
    <w:rsid w:val="00D22CAD"/>
    <w:rsid w:val="00D268D0"/>
    <w:rsid w:val="00D27D36"/>
    <w:rsid w:val="00D27EAA"/>
    <w:rsid w:val="00D30650"/>
    <w:rsid w:val="00D42957"/>
    <w:rsid w:val="00D46E33"/>
    <w:rsid w:val="00D50F4B"/>
    <w:rsid w:val="00D53185"/>
    <w:rsid w:val="00D540CE"/>
    <w:rsid w:val="00D600AD"/>
    <w:rsid w:val="00D7436C"/>
    <w:rsid w:val="00D77B06"/>
    <w:rsid w:val="00D8449A"/>
    <w:rsid w:val="00D857D0"/>
    <w:rsid w:val="00D85F48"/>
    <w:rsid w:val="00D92B85"/>
    <w:rsid w:val="00D95D9E"/>
    <w:rsid w:val="00D97663"/>
    <w:rsid w:val="00DA119E"/>
    <w:rsid w:val="00DA2286"/>
    <w:rsid w:val="00DA2288"/>
    <w:rsid w:val="00DA23BC"/>
    <w:rsid w:val="00DA4F5E"/>
    <w:rsid w:val="00DA6A99"/>
    <w:rsid w:val="00DB0F2F"/>
    <w:rsid w:val="00DB128E"/>
    <w:rsid w:val="00DB1D0C"/>
    <w:rsid w:val="00DB2886"/>
    <w:rsid w:val="00DB2CC2"/>
    <w:rsid w:val="00DB3AEA"/>
    <w:rsid w:val="00DB45CE"/>
    <w:rsid w:val="00DB7DF5"/>
    <w:rsid w:val="00DC0BD7"/>
    <w:rsid w:val="00DC0C34"/>
    <w:rsid w:val="00DC1206"/>
    <w:rsid w:val="00DC6703"/>
    <w:rsid w:val="00DD1153"/>
    <w:rsid w:val="00DD1342"/>
    <w:rsid w:val="00DD20F6"/>
    <w:rsid w:val="00DD3491"/>
    <w:rsid w:val="00DD556F"/>
    <w:rsid w:val="00DD560F"/>
    <w:rsid w:val="00DD5EEE"/>
    <w:rsid w:val="00DD7135"/>
    <w:rsid w:val="00DE0AE1"/>
    <w:rsid w:val="00DE0D74"/>
    <w:rsid w:val="00DE14AB"/>
    <w:rsid w:val="00DE1921"/>
    <w:rsid w:val="00DE5436"/>
    <w:rsid w:val="00DF50E2"/>
    <w:rsid w:val="00DF63E1"/>
    <w:rsid w:val="00E0098C"/>
    <w:rsid w:val="00E03BC0"/>
    <w:rsid w:val="00E04E33"/>
    <w:rsid w:val="00E11269"/>
    <w:rsid w:val="00E119C4"/>
    <w:rsid w:val="00E13688"/>
    <w:rsid w:val="00E14E69"/>
    <w:rsid w:val="00E15F77"/>
    <w:rsid w:val="00E17857"/>
    <w:rsid w:val="00E20497"/>
    <w:rsid w:val="00E2219B"/>
    <w:rsid w:val="00E2454D"/>
    <w:rsid w:val="00E27CA4"/>
    <w:rsid w:val="00E32116"/>
    <w:rsid w:val="00E44CF6"/>
    <w:rsid w:val="00E4588D"/>
    <w:rsid w:val="00E53231"/>
    <w:rsid w:val="00E5458C"/>
    <w:rsid w:val="00E55A92"/>
    <w:rsid w:val="00E6153F"/>
    <w:rsid w:val="00E71826"/>
    <w:rsid w:val="00E748CB"/>
    <w:rsid w:val="00E77B2E"/>
    <w:rsid w:val="00E8090A"/>
    <w:rsid w:val="00E81157"/>
    <w:rsid w:val="00E8218C"/>
    <w:rsid w:val="00E831D5"/>
    <w:rsid w:val="00E8509C"/>
    <w:rsid w:val="00E87DA4"/>
    <w:rsid w:val="00E924E4"/>
    <w:rsid w:val="00E95A64"/>
    <w:rsid w:val="00E97611"/>
    <w:rsid w:val="00EA5DF3"/>
    <w:rsid w:val="00EB1BF8"/>
    <w:rsid w:val="00EB311E"/>
    <w:rsid w:val="00EB3DB3"/>
    <w:rsid w:val="00EB3ECB"/>
    <w:rsid w:val="00EB4342"/>
    <w:rsid w:val="00EB5FD9"/>
    <w:rsid w:val="00EC0D42"/>
    <w:rsid w:val="00EC5DB8"/>
    <w:rsid w:val="00ED074B"/>
    <w:rsid w:val="00ED0A45"/>
    <w:rsid w:val="00ED24D2"/>
    <w:rsid w:val="00ED41C9"/>
    <w:rsid w:val="00ED7479"/>
    <w:rsid w:val="00EE0202"/>
    <w:rsid w:val="00EE3A01"/>
    <w:rsid w:val="00EF13D9"/>
    <w:rsid w:val="00EF3191"/>
    <w:rsid w:val="00EF34A8"/>
    <w:rsid w:val="00EF40E8"/>
    <w:rsid w:val="00EF4384"/>
    <w:rsid w:val="00EF50B4"/>
    <w:rsid w:val="00EF6462"/>
    <w:rsid w:val="00EF6B48"/>
    <w:rsid w:val="00F0260C"/>
    <w:rsid w:val="00F04015"/>
    <w:rsid w:val="00F0447C"/>
    <w:rsid w:val="00F071FA"/>
    <w:rsid w:val="00F07243"/>
    <w:rsid w:val="00F10C6E"/>
    <w:rsid w:val="00F11D81"/>
    <w:rsid w:val="00F13C76"/>
    <w:rsid w:val="00F14437"/>
    <w:rsid w:val="00F176A8"/>
    <w:rsid w:val="00F179BA"/>
    <w:rsid w:val="00F20D9A"/>
    <w:rsid w:val="00F2343F"/>
    <w:rsid w:val="00F25517"/>
    <w:rsid w:val="00F26F20"/>
    <w:rsid w:val="00F31B15"/>
    <w:rsid w:val="00F31B2C"/>
    <w:rsid w:val="00F33404"/>
    <w:rsid w:val="00F3601B"/>
    <w:rsid w:val="00F374CC"/>
    <w:rsid w:val="00F4381D"/>
    <w:rsid w:val="00F46DE2"/>
    <w:rsid w:val="00F50356"/>
    <w:rsid w:val="00F519FA"/>
    <w:rsid w:val="00F51C49"/>
    <w:rsid w:val="00F530E0"/>
    <w:rsid w:val="00F53AE0"/>
    <w:rsid w:val="00F56669"/>
    <w:rsid w:val="00F56C80"/>
    <w:rsid w:val="00F6218B"/>
    <w:rsid w:val="00F637F3"/>
    <w:rsid w:val="00F64961"/>
    <w:rsid w:val="00F65650"/>
    <w:rsid w:val="00F663A7"/>
    <w:rsid w:val="00F670F6"/>
    <w:rsid w:val="00F67CB2"/>
    <w:rsid w:val="00F7014E"/>
    <w:rsid w:val="00F71CBE"/>
    <w:rsid w:val="00F7604F"/>
    <w:rsid w:val="00F80DF8"/>
    <w:rsid w:val="00F91BEB"/>
    <w:rsid w:val="00F93B5D"/>
    <w:rsid w:val="00F97437"/>
    <w:rsid w:val="00FA06C5"/>
    <w:rsid w:val="00FA0EC3"/>
    <w:rsid w:val="00FA6A99"/>
    <w:rsid w:val="00FB0EAB"/>
    <w:rsid w:val="00FB3D95"/>
    <w:rsid w:val="00FB4326"/>
    <w:rsid w:val="00FB67F3"/>
    <w:rsid w:val="00FB6810"/>
    <w:rsid w:val="00FB6A8A"/>
    <w:rsid w:val="00FB76FE"/>
    <w:rsid w:val="00FB79FB"/>
    <w:rsid w:val="00FC15F8"/>
    <w:rsid w:val="00FC28C2"/>
    <w:rsid w:val="00FC2954"/>
    <w:rsid w:val="00FC33C7"/>
    <w:rsid w:val="00FC4991"/>
    <w:rsid w:val="00FC4F4A"/>
    <w:rsid w:val="00FD641B"/>
    <w:rsid w:val="00FD6A0F"/>
    <w:rsid w:val="00FD79EB"/>
    <w:rsid w:val="00FE3396"/>
    <w:rsid w:val="00FE5CD3"/>
    <w:rsid w:val="00FE6107"/>
    <w:rsid w:val="00FE7CD5"/>
    <w:rsid w:val="00FF0870"/>
    <w:rsid w:val="00FF3960"/>
    <w:rsid w:val="00FF4B03"/>
    <w:rsid w:val="00FF5F93"/>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FEB1F"/>
  <w15:docId w15:val="{C87B0A3B-6879-B747-8B41-AC0324F0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right="3" w:hanging="10"/>
      <w:jc w:val="both"/>
    </w:pPr>
    <w:rPr>
      <w:rFonts w:ascii="Arial" w:eastAsia="Arial" w:hAnsi="Arial" w:cs="Arial"/>
      <w:color w:val="000000"/>
      <w:sz w:val="22"/>
      <w:lang w:val="en-US" w:bidi="en-US"/>
    </w:rPr>
  </w:style>
  <w:style w:type="paragraph" w:styleId="Heading1">
    <w:name w:val="heading 1"/>
    <w:next w:val="Normal"/>
    <w:link w:val="Heading1Char"/>
    <w:uiPriority w:val="9"/>
    <w:qFormat/>
    <w:pPr>
      <w:keepNext/>
      <w:keepLines/>
      <w:spacing w:after="3" w:line="253" w:lineRule="auto"/>
      <w:ind w:left="122" w:hanging="10"/>
      <w:outlineLvl w:val="0"/>
    </w:pPr>
    <w:rPr>
      <w:rFonts w:ascii="Arial" w:eastAsia="Arial" w:hAnsi="Arial" w:cs="Arial"/>
      <w:b/>
      <w:color w:val="000000"/>
      <w:sz w:val="22"/>
    </w:rPr>
  </w:style>
  <w:style w:type="paragraph" w:styleId="Heading4">
    <w:name w:val="heading 4"/>
    <w:basedOn w:val="Normal"/>
    <w:next w:val="Normal"/>
    <w:link w:val="Heading4Char"/>
    <w:uiPriority w:val="9"/>
    <w:semiHidden/>
    <w:unhideWhenUsed/>
    <w:qFormat/>
    <w:rsid w:val="00B366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aliases w:val="List Paragraph (numbered (a)),List Bullet Mary,References,Liste 1,ReferencesCxSpLast,Bullets,List Paragraph1,Medium Grid 1 - Accent 21,List Paragraph nowy,Numbered List Paragraph,Texte Général,Paragraphe  revu,Paragraphe de liste1,lp1"/>
    <w:basedOn w:val="Normal"/>
    <w:link w:val="ListParagraphChar"/>
    <w:uiPriority w:val="34"/>
    <w:qFormat/>
    <w:rsid w:val="0068377B"/>
    <w:pPr>
      <w:ind w:left="720"/>
      <w:contextualSpacing/>
    </w:pPr>
  </w:style>
  <w:style w:type="character" w:customStyle="1" w:styleId="ListParagraphChar">
    <w:name w:val="List Paragraph Char"/>
    <w:aliases w:val="List Paragraph (numbered (a)) Char,List Bullet Mary Char,References Char,Liste 1 Char,ReferencesCxSpLast Char,Bullets Char,List Paragraph1 Char,Medium Grid 1 - Accent 21 Char,List Paragraph nowy Char,Numbered List Paragraph Char"/>
    <w:basedOn w:val="DefaultParagraphFont"/>
    <w:link w:val="ListParagraph"/>
    <w:uiPriority w:val="99"/>
    <w:locked/>
    <w:rsid w:val="000613F3"/>
    <w:rPr>
      <w:rFonts w:ascii="Arial" w:eastAsia="Arial" w:hAnsi="Arial" w:cs="Arial"/>
      <w:color w:val="000000"/>
      <w:sz w:val="22"/>
      <w:lang w:val="en-US" w:bidi="en-US"/>
    </w:rPr>
  </w:style>
  <w:style w:type="paragraph" w:styleId="Revision">
    <w:name w:val="Revision"/>
    <w:hidden/>
    <w:uiPriority w:val="99"/>
    <w:semiHidden/>
    <w:rsid w:val="00660BDD"/>
    <w:rPr>
      <w:rFonts w:ascii="Arial" w:eastAsia="Arial" w:hAnsi="Arial" w:cs="Arial"/>
      <w:color w:val="000000"/>
      <w:sz w:val="22"/>
      <w:lang w:val="en-US" w:bidi="en-US"/>
    </w:rPr>
  </w:style>
  <w:style w:type="character" w:customStyle="1" w:styleId="Heading4Char">
    <w:name w:val="Heading 4 Char"/>
    <w:basedOn w:val="DefaultParagraphFont"/>
    <w:link w:val="Heading4"/>
    <w:uiPriority w:val="9"/>
    <w:semiHidden/>
    <w:rsid w:val="00B366CD"/>
    <w:rPr>
      <w:rFonts w:asciiTheme="majorHAnsi" w:eastAsiaTheme="majorEastAsia" w:hAnsiTheme="majorHAnsi" w:cstheme="majorBidi"/>
      <w:i/>
      <w:iCs/>
      <w:color w:val="2F5496" w:themeColor="accent1" w:themeShade="BF"/>
      <w:sz w:val="22"/>
      <w:lang w:val="en-US" w:bidi="en-US"/>
    </w:rPr>
  </w:style>
  <w:style w:type="paragraph" w:styleId="NoSpacing">
    <w:name w:val="No Spacing"/>
    <w:link w:val="NoSpacingChar"/>
    <w:uiPriority w:val="1"/>
    <w:qFormat/>
    <w:rsid w:val="00B366CD"/>
    <w:rPr>
      <w:rFonts w:ascii="Calibri" w:eastAsia="Times New Roman" w:hAnsi="Calibri" w:cs="Times New Roman"/>
      <w:sz w:val="22"/>
      <w:szCs w:val="22"/>
      <w:lang w:eastAsia="en-ZA"/>
    </w:rPr>
  </w:style>
  <w:style w:type="paragraph" w:customStyle="1" w:styleId="Default">
    <w:name w:val="Default"/>
    <w:rsid w:val="00B366CD"/>
    <w:pPr>
      <w:autoSpaceDE w:val="0"/>
      <w:autoSpaceDN w:val="0"/>
      <w:adjustRightInd w:val="0"/>
    </w:pPr>
    <w:rPr>
      <w:rFonts w:ascii="Arial" w:eastAsia="Calibri" w:hAnsi="Arial" w:cs="Arial"/>
      <w:color w:val="000000"/>
      <w:lang w:val="en-US"/>
    </w:rPr>
  </w:style>
  <w:style w:type="table" w:styleId="TableGrid">
    <w:name w:val="Table Grid"/>
    <w:basedOn w:val="TableNormal"/>
    <w:uiPriority w:val="39"/>
    <w:rsid w:val="00B366CD"/>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3BF8"/>
    <w:rPr>
      <w:color w:val="0563C1" w:themeColor="hyperlink"/>
      <w:u w:val="single"/>
    </w:rPr>
  </w:style>
  <w:style w:type="character" w:customStyle="1" w:styleId="UnresolvedMention1">
    <w:name w:val="Unresolved Mention1"/>
    <w:basedOn w:val="DefaultParagraphFont"/>
    <w:uiPriority w:val="99"/>
    <w:semiHidden/>
    <w:unhideWhenUsed/>
    <w:rsid w:val="00893BF8"/>
    <w:rPr>
      <w:color w:val="605E5C"/>
      <w:shd w:val="clear" w:color="auto" w:fill="E1DFDD"/>
    </w:rPr>
  </w:style>
  <w:style w:type="paragraph" w:styleId="NormalWeb">
    <w:name w:val="Normal (Web)"/>
    <w:basedOn w:val="Normal"/>
    <w:uiPriority w:val="99"/>
    <w:semiHidden/>
    <w:unhideWhenUsed/>
    <w:rsid w:val="009265DF"/>
    <w:pPr>
      <w:spacing w:before="100" w:beforeAutospacing="1" w:after="100" w:afterAutospacing="1" w:line="240" w:lineRule="auto"/>
      <w:ind w:left="0" w:right="0" w:firstLine="0"/>
      <w:jc w:val="left"/>
    </w:pPr>
    <w:rPr>
      <w:rFonts w:ascii="Times New Roman" w:eastAsia="Times New Roman" w:hAnsi="Times New Roman" w:cs="Times New Roman"/>
      <w:color w:val="auto"/>
      <w:sz w:val="24"/>
      <w:lang w:eastAsia="en-GB" w:bidi="ar-SA"/>
    </w:rPr>
  </w:style>
  <w:style w:type="character" w:styleId="CommentReference">
    <w:name w:val="annotation reference"/>
    <w:basedOn w:val="DefaultParagraphFont"/>
    <w:uiPriority w:val="99"/>
    <w:semiHidden/>
    <w:unhideWhenUsed/>
    <w:rsid w:val="00960206"/>
    <w:rPr>
      <w:sz w:val="16"/>
      <w:szCs w:val="16"/>
    </w:rPr>
  </w:style>
  <w:style w:type="paragraph" w:styleId="CommentText">
    <w:name w:val="annotation text"/>
    <w:basedOn w:val="Normal"/>
    <w:link w:val="CommentTextChar"/>
    <w:uiPriority w:val="99"/>
    <w:unhideWhenUsed/>
    <w:rsid w:val="00960206"/>
    <w:pPr>
      <w:spacing w:line="240" w:lineRule="auto"/>
    </w:pPr>
    <w:rPr>
      <w:sz w:val="20"/>
      <w:szCs w:val="20"/>
    </w:rPr>
  </w:style>
  <w:style w:type="character" w:customStyle="1" w:styleId="CommentTextChar">
    <w:name w:val="Comment Text Char"/>
    <w:basedOn w:val="DefaultParagraphFont"/>
    <w:link w:val="CommentText"/>
    <w:uiPriority w:val="99"/>
    <w:rsid w:val="00960206"/>
    <w:rPr>
      <w:rFonts w:ascii="Arial" w:eastAsia="Arial" w:hAnsi="Arial" w:cs="Arial"/>
      <w:color w:val="000000"/>
      <w:sz w:val="20"/>
      <w:szCs w:val="20"/>
      <w:lang w:val="en-US" w:bidi="en-US"/>
    </w:rPr>
  </w:style>
  <w:style w:type="paragraph" w:styleId="CommentSubject">
    <w:name w:val="annotation subject"/>
    <w:basedOn w:val="CommentText"/>
    <w:next w:val="CommentText"/>
    <w:link w:val="CommentSubjectChar"/>
    <w:uiPriority w:val="99"/>
    <w:semiHidden/>
    <w:unhideWhenUsed/>
    <w:rsid w:val="00960206"/>
    <w:rPr>
      <w:b/>
      <w:bCs/>
    </w:rPr>
  </w:style>
  <w:style w:type="character" w:customStyle="1" w:styleId="CommentSubjectChar">
    <w:name w:val="Comment Subject Char"/>
    <w:basedOn w:val="CommentTextChar"/>
    <w:link w:val="CommentSubject"/>
    <w:uiPriority w:val="99"/>
    <w:semiHidden/>
    <w:rsid w:val="00960206"/>
    <w:rPr>
      <w:rFonts w:ascii="Arial" w:eastAsia="Arial" w:hAnsi="Arial" w:cs="Arial"/>
      <w:b/>
      <w:bCs/>
      <w:color w:val="000000"/>
      <w:sz w:val="20"/>
      <w:szCs w:val="20"/>
      <w:lang w:val="en-US" w:bidi="en-US"/>
    </w:rPr>
  </w:style>
  <w:style w:type="paragraph" w:styleId="BalloonText">
    <w:name w:val="Balloon Text"/>
    <w:basedOn w:val="Normal"/>
    <w:link w:val="BalloonTextChar"/>
    <w:uiPriority w:val="99"/>
    <w:semiHidden/>
    <w:unhideWhenUsed/>
    <w:rsid w:val="00EA5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DF3"/>
    <w:rPr>
      <w:rFonts w:ascii="Segoe UI" w:eastAsia="Arial" w:hAnsi="Segoe UI" w:cs="Segoe UI"/>
      <w:color w:val="000000"/>
      <w:sz w:val="18"/>
      <w:szCs w:val="18"/>
      <w:lang w:val="en-US" w:bidi="en-US"/>
    </w:rPr>
  </w:style>
  <w:style w:type="paragraph" w:styleId="Footer">
    <w:name w:val="footer"/>
    <w:basedOn w:val="Normal"/>
    <w:link w:val="FooterChar"/>
    <w:uiPriority w:val="99"/>
    <w:unhideWhenUsed/>
    <w:rsid w:val="00097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57D"/>
    <w:rPr>
      <w:rFonts w:ascii="Arial" w:eastAsia="Arial" w:hAnsi="Arial" w:cs="Arial"/>
      <w:color w:val="000000"/>
      <w:sz w:val="22"/>
      <w:lang w:val="en-US" w:bidi="en-US"/>
    </w:rPr>
  </w:style>
  <w:style w:type="character" w:customStyle="1" w:styleId="NoSpacingChar">
    <w:name w:val="No Spacing Char"/>
    <w:basedOn w:val="DefaultParagraphFont"/>
    <w:link w:val="NoSpacing"/>
    <w:uiPriority w:val="1"/>
    <w:rsid w:val="00366FC4"/>
    <w:rPr>
      <w:rFonts w:ascii="Calibri" w:eastAsia="Times New Roman" w:hAnsi="Calibri" w:cs="Times New Roman"/>
      <w:sz w:val="22"/>
      <w:szCs w:val="22"/>
      <w:lang w:eastAsia="en-ZA"/>
    </w:rPr>
  </w:style>
  <w:style w:type="paragraph" w:styleId="Header">
    <w:name w:val="header"/>
    <w:basedOn w:val="Normal"/>
    <w:link w:val="HeaderChar"/>
    <w:uiPriority w:val="99"/>
    <w:semiHidden/>
    <w:unhideWhenUsed/>
    <w:rsid w:val="00367D1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7D1B"/>
    <w:rPr>
      <w:rFonts w:ascii="Arial" w:eastAsia="Arial" w:hAnsi="Arial" w:cs="Arial"/>
      <w:color w:val="000000"/>
      <w:sz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78564">
      <w:bodyDiv w:val="1"/>
      <w:marLeft w:val="0"/>
      <w:marRight w:val="0"/>
      <w:marTop w:val="0"/>
      <w:marBottom w:val="0"/>
      <w:divBdr>
        <w:top w:val="none" w:sz="0" w:space="0" w:color="auto"/>
        <w:left w:val="none" w:sz="0" w:space="0" w:color="auto"/>
        <w:bottom w:val="none" w:sz="0" w:space="0" w:color="auto"/>
        <w:right w:val="none" w:sz="0" w:space="0" w:color="auto"/>
      </w:divBdr>
      <w:divsChild>
        <w:div w:id="2028408696">
          <w:marLeft w:val="0"/>
          <w:marRight w:val="0"/>
          <w:marTop w:val="0"/>
          <w:marBottom w:val="0"/>
          <w:divBdr>
            <w:top w:val="none" w:sz="0" w:space="0" w:color="auto"/>
            <w:left w:val="none" w:sz="0" w:space="0" w:color="auto"/>
            <w:bottom w:val="none" w:sz="0" w:space="0" w:color="auto"/>
            <w:right w:val="none" w:sz="0" w:space="0" w:color="auto"/>
          </w:divBdr>
          <w:divsChild>
            <w:div w:id="688070231">
              <w:marLeft w:val="0"/>
              <w:marRight w:val="0"/>
              <w:marTop w:val="0"/>
              <w:marBottom w:val="0"/>
              <w:divBdr>
                <w:top w:val="none" w:sz="0" w:space="0" w:color="auto"/>
                <w:left w:val="none" w:sz="0" w:space="0" w:color="auto"/>
                <w:bottom w:val="none" w:sz="0" w:space="0" w:color="auto"/>
                <w:right w:val="none" w:sz="0" w:space="0" w:color="auto"/>
              </w:divBdr>
              <w:divsChild>
                <w:div w:id="9845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52044">
      <w:bodyDiv w:val="1"/>
      <w:marLeft w:val="0"/>
      <w:marRight w:val="0"/>
      <w:marTop w:val="0"/>
      <w:marBottom w:val="0"/>
      <w:divBdr>
        <w:top w:val="none" w:sz="0" w:space="0" w:color="auto"/>
        <w:left w:val="none" w:sz="0" w:space="0" w:color="auto"/>
        <w:bottom w:val="none" w:sz="0" w:space="0" w:color="auto"/>
        <w:right w:val="none" w:sz="0" w:space="0" w:color="auto"/>
      </w:divBdr>
    </w:div>
    <w:div w:id="560290670">
      <w:bodyDiv w:val="1"/>
      <w:marLeft w:val="0"/>
      <w:marRight w:val="0"/>
      <w:marTop w:val="0"/>
      <w:marBottom w:val="0"/>
      <w:divBdr>
        <w:top w:val="none" w:sz="0" w:space="0" w:color="auto"/>
        <w:left w:val="none" w:sz="0" w:space="0" w:color="auto"/>
        <w:bottom w:val="none" w:sz="0" w:space="0" w:color="auto"/>
        <w:right w:val="none" w:sz="0" w:space="0" w:color="auto"/>
      </w:divBdr>
      <w:divsChild>
        <w:div w:id="113140066">
          <w:marLeft w:val="0"/>
          <w:marRight w:val="0"/>
          <w:marTop w:val="0"/>
          <w:marBottom w:val="0"/>
          <w:divBdr>
            <w:top w:val="none" w:sz="0" w:space="0" w:color="auto"/>
            <w:left w:val="none" w:sz="0" w:space="0" w:color="auto"/>
            <w:bottom w:val="none" w:sz="0" w:space="0" w:color="auto"/>
            <w:right w:val="none" w:sz="0" w:space="0" w:color="auto"/>
          </w:divBdr>
          <w:divsChild>
            <w:div w:id="1199049208">
              <w:marLeft w:val="0"/>
              <w:marRight w:val="0"/>
              <w:marTop w:val="0"/>
              <w:marBottom w:val="0"/>
              <w:divBdr>
                <w:top w:val="none" w:sz="0" w:space="0" w:color="auto"/>
                <w:left w:val="none" w:sz="0" w:space="0" w:color="auto"/>
                <w:bottom w:val="none" w:sz="0" w:space="0" w:color="auto"/>
                <w:right w:val="none" w:sz="0" w:space="0" w:color="auto"/>
              </w:divBdr>
              <w:divsChild>
                <w:div w:id="15898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2599">
      <w:bodyDiv w:val="1"/>
      <w:marLeft w:val="0"/>
      <w:marRight w:val="0"/>
      <w:marTop w:val="0"/>
      <w:marBottom w:val="0"/>
      <w:divBdr>
        <w:top w:val="none" w:sz="0" w:space="0" w:color="auto"/>
        <w:left w:val="none" w:sz="0" w:space="0" w:color="auto"/>
        <w:bottom w:val="none" w:sz="0" w:space="0" w:color="auto"/>
        <w:right w:val="none" w:sz="0" w:space="0" w:color="auto"/>
      </w:divBdr>
      <w:divsChild>
        <w:div w:id="246034410">
          <w:marLeft w:val="0"/>
          <w:marRight w:val="0"/>
          <w:marTop w:val="0"/>
          <w:marBottom w:val="0"/>
          <w:divBdr>
            <w:top w:val="none" w:sz="0" w:space="0" w:color="auto"/>
            <w:left w:val="none" w:sz="0" w:space="0" w:color="auto"/>
            <w:bottom w:val="none" w:sz="0" w:space="0" w:color="auto"/>
            <w:right w:val="none" w:sz="0" w:space="0" w:color="auto"/>
          </w:divBdr>
          <w:divsChild>
            <w:div w:id="865370002">
              <w:marLeft w:val="0"/>
              <w:marRight w:val="0"/>
              <w:marTop w:val="0"/>
              <w:marBottom w:val="0"/>
              <w:divBdr>
                <w:top w:val="none" w:sz="0" w:space="0" w:color="auto"/>
                <w:left w:val="none" w:sz="0" w:space="0" w:color="auto"/>
                <w:bottom w:val="none" w:sz="0" w:space="0" w:color="auto"/>
                <w:right w:val="none" w:sz="0" w:space="0" w:color="auto"/>
              </w:divBdr>
              <w:divsChild>
                <w:div w:id="592009063">
                  <w:marLeft w:val="0"/>
                  <w:marRight w:val="0"/>
                  <w:marTop w:val="0"/>
                  <w:marBottom w:val="0"/>
                  <w:divBdr>
                    <w:top w:val="none" w:sz="0" w:space="0" w:color="auto"/>
                    <w:left w:val="none" w:sz="0" w:space="0" w:color="auto"/>
                    <w:bottom w:val="none" w:sz="0" w:space="0" w:color="auto"/>
                    <w:right w:val="none" w:sz="0" w:space="0" w:color="auto"/>
                  </w:divBdr>
                </w:div>
              </w:divsChild>
            </w:div>
            <w:div w:id="1523209069">
              <w:marLeft w:val="0"/>
              <w:marRight w:val="0"/>
              <w:marTop w:val="0"/>
              <w:marBottom w:val="0"/>
              <w:divBdr>
                <w:top w:val="none" w:sz="0" w:space="0" w:color="auto"/>
                <w:left w:val="none" w:sz="0" w:space="0" w:color="auto"/>
                <w:bottom w:val="none" w:sz="0" w:space="0" w:color="auto"/>
                <w:right w:val="none" w:sz="0" w:space="0" w:color="auto"/>
              </w:divBdr>
              <w:divsChild>
                <w:div w:id="1032726136">
                  <w:marLeft w:val="0"/>
                  <w:marRight w:val="0"/>
                  <w:marTop w:val="0"/>
                  <w:marBottom w:val="0"/>
                  <w:divBdr>
                    <w:top w:val="none" w:sz="0" w:space="0" w:color="auto"/>
                    <w:left w:val="none" w:sz="0" w:space="0" w:color="auto"/>
                    <w:bottom w:val="none" w:sz="0" w:space="0" w:color="auto"/>
                    <w:right w:val="none" w:sz="0" w:space="0" w:color="auto"/>
                  </w:divBdr>
                </w:div>
              </w:divsChild>
            </w:div>
            <w:div w:id="68577334">
              <w:marLeft w:val="0"/>
              <w:marRight w:val="0"/>
              <w:marTop w:val="0"/>
              <w:marBottom w:val="0"/>
              <w:divBdr>
                <w:top w:val="none" w:sz="0" w:space="0" w:color="auto"/>
                <w:left w:val="none" w:sz="0" w:space="0" w:color="auto"/>
                <w:bottom w:val="none" w:sz="0" w:space="0" w:color="auto"/>
                <w:right w:val="none" w:sz="0" w:space="0" w:color="auto"/>
              </w:divBdr>
              <w:divsChild>
                <w:div w:id="7184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026">
          <w:marLeft w:val="0"/>
          <w:marRight w:val="0"/>
          <w:marTop w:val="0"/>
          <w:marBottom w:val="0"/>
          <w:divBdr>
            <w:top w:val="none" w:sz="0" w:space="0" w:color="auto"/>
            <w:left w:val="none" w:sz="0" w:space="0" w:color="auto"/>
            <w:bottom w:val="none" w:sz="0" w:space="0" w:color="auto"/>
            <w:right w:val="none" w:sz="0" w:space="0" w:color="auto"/>
          </w:divBdr>
          <w:divsChild>
            <w:div w:id="1664581437">
              <w:marLeft w:val="0"/>
              <w:marRight w:val="0"/>
              <w:marTop w:val="0"/>
              <w:marBottom w:val="0"/>
              <w:divBdr>
                <w:top w:val="none" w:sz="0" w:space="0" w:color="auto"/>
                <w:left w:val="none" w:sz="0" w:space="0" w:color="auto"/>
                <w:bottom w:val="none" w:sz="0" w:space="0" w:color="auto"/>
                <w:right w:val="none" w:sz="0" w:space="0" w:color="auto"/>
              </w:divBdr>
              <w:divsChild>
                <w:div w:id="682518254">
                  <w:marLeft w:val="0"/>
                  <w:marRight w:val="0"/>
                  <w:marTop w:val="0"/>
                  <w:marBottom w:val="0"/>
                  <w:divBdr>
                    <w:top w:val="none" w:sz="0" w:space="0" w:color="auto"/>
                    <w:left w:val="none" w:sz="0" w:space="0" w:color="auto"/>
                    <w:bottom w:val="none" w:sz="0" w:space="0" w:color="auto"/>
                    <w:right w:val="none" w:sz="0" w:space="0" w:color="auto"/>
                  </w:divBdr>
                </w:div>
              </w:divsChild>
            </w:div>
            <w:div w:id="1631739647">
              <w:marLeft w:val="0"/>
              <w:marRight w:val="0"/>
              <w:marTop w:val="0"/>
              <w:marBottom w:val="0"/>
              <w:divBdr>
                <w:top w:val="none" w:sz="0" w:space="0" w:color="auto"/>
                <w:left w:val="none" w:sz="0" w:space="0" w:color="auto"/>
                <w:bottom w:val="none" w:sz="0" w:space="0" w:color="auto"/>
                <w:right w:val="none" w:sz="0" w:space="0" w:color="auto"/>
              </w:divBdr>
              <w:divsChild>
                <w:div w:id="1720276928">
                  <w:marLeft w:val="0"/>
                  <w:marRight w:val="0"/>
                  <w:marTop w:val="0"/>
                  <w:marBottom w:val="0"/>
                  <w:divBdr>
                    <w:top w:val="none" w:sz="0" w:space="0" w:color="auto"/>
                    <w:left w:val="none" w:sz="0" w:space="0" w:color="auto"/>
                    <w:bottom w:val="none" w:sz="0" w:space="0" w:color="auto"/>
                    <w:right w:val="none" w:sz="0" w:space="0" w:color="auto"/>
                  </w:divBdr>
                </w:div>
                <w:div w:id="21153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79397">
      <w:bodyDiv w:val="1"/>
      <w:marLeft w:val="0"/>
      <w:marRight w:val="0"/>
      <w:marTop w:val="0"/>
      <w:marBottom w:val="0"/>
      <w:divBdr>
        <w:top w:val="none" w:sz="0" w:space="0" w:color="auto"/>
        <w:left w:val="none" w:sz="0" w:space="0" w:color="auto"/>
        <w:bottom w:val="none" w:sz="0" w:space="0" w:color="auto"/>
        <w:right w:val="none" w:sz="0" w:space="0" w:color="auto"/>
      </w:divBdr>
    </w:div>
    <w:div w:id="821703450">
      <w:bodyDiv w:val="1"/>
      <w:marLeft w:val="0"/>
      <w:marRight w:val="0"/>
      <w:marTop w:val="0"/>
      <w:marBottom w:val="0"/>
      <w:divBdr>
        <w:top w:val="none" w:sz="0" w:space="0" w:color="auto"/>
        <w:left w:val="none" w:sz="0" w:space="0" w:color="auto"/>
        <w:bottom w:val="none" w:sz="0" w:space="0" w:color="auto"/>
        <w:right w:val="none" w:sz="0" w:space="0" w:color="auto"/>
      </w:divBdr>
    </w:div>
    <w:div w:id="1328286556">
      <w:bodyDiv w:val="1"/>
      <w:marLeft w:val="0"/>
      <w:marRight w:val="0"/>
      <w:marTop w:val="0"/>
      <w:marBottom w:val="0"/>
      <w:divBdr>
        <w:top w:val="none" w:sz="0" w:space="0" w:color="auto"/>
        <w:left w:val="none" w:sz="0" w:space="0" w:color="auto"/>
        <w:bottom w:val="none" w:sz="0" w:space="0" w:color="auto"/>
        <w:right w:val="none" w:sz="0" w:space="0" w:color="auto"/>
      </w:divBdr>
    </w:div>
    <w:div w:id="1372463347">
      <w:bodyDiv w:val="1"/>
      <w:marLeft w:val="0"/>
      <w:marRight w:val="0"/>
      <w:marTop w:val="0"/>
      <w:marBottom w:val="0"/>
      <w:divBdr>
        <w:top w:val="none" w:sz="0" w:space="0" w:color="auto"/>
        <w:left w:val="none" w:sz="0" w:space="0" w:color="auto"/>
        <w:bottom w:val="none" w:sz="0" w:space="0" w:color="auto"/>
        <w:right w:val="none" w:sz="0" w:space="0" w:color="auto"/>
      </w:divBdr>
      <w:divsChild>
        <w:div w:id="1294795601">
          <w:marLeft w:val="0"/>
          <w:marRight w:val="0"/>
          <w:marTop w:val="0"/>
          <w:marBottom w:val="0"/>
          <w:divBdr>
            <w:top w:val="none" w:sz="0" w:space="0" w:color="auto"/>
            <w:left w:val="none" w:sz="0" w:space="0" w:color="auto"/>
            <w:bottom w:val="none" w:sz="0" w:space="0" w:color="auto"/>
            <w:right w:val="none" w:sz="0" w:space="0" w:color="auto"/>
          </w:divBdr>
          <w:divsChild>
            <w:div w:id="279459956">
              <w:marLeft w:val="0"/>
              <w:marRight w:val="0"/>
              <w:marTop w:val="0"/>
              <w:marBottom w:val="0"/>
              <w:divBdr>
                <w:top w:val="none" w:sz="0" w:space="0" w:color="auto"/>
                <w:left w:val="none" w:sz="0" w:space="0" w:color="auto"/>
                <w:bottom w:val="none" w:sz="0" w:space="0" w:color="auto"/>
                <w:right w:val="none" w:sz="0" w:space="0" w:color="auto"/>
              </w:divBdr>
              <w:divsChild>
                <w:div w:id="11341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omesa.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mesa.i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49b178-b109-40ec-ba3a-08c7a1a9ac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8FF6ECA69CB44DAAE7F8FB121EBD86" ma:contentTypeVersion="18" ma:contentTypeDescription="Create a new document." ma:contentTypeScope="" ma:versionID="27f27affd4b9b9e55e68d9b935caa3f0">
  <xsd:schema xmlns:xsd="http://www.w3.org/2001/XMLSchema" xmlns:xs="http://www.w3.org/2001/XMLSchema" xmlns:p="http://schemas.microsoft.com/office/2006/metadata/properties" xmlns:ns3="6e49b178-b109-40ec-ba3a-08c7a1a9acc4" xmlns:ns4="51bb2d29-83b7-4014-bf65-91c65020c084" targetNamespace="http://schemas.microsoft.com/office/2006/metadata/properties" ma:root="true" ma:fieldsID="88a3d152c45264b78e8c715aa4f806b6" ns3:_="" ns4:_="">
    <xsd:import namespace="6e49b178-b109-40ec-ba3a-08c7a1a9acc4"/>
    <xsd:import namespace="51bb2d29-83b7-4014-bf65-91c65020c0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9b178-b109-40ec-ba3a-08c7a1a9a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b2d29-83b7-4014-bf65-91c65020c0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3E551-403A-44A1-9C59-6925CBCFDBBD}">
  <ds:schemaRefs>
    <ds:schemaRef ds:uri="http://schemas.openxmlformats.org/officeDocument/2006/bibliography"/>
  </ds:schemaRefs>
</ds:datastoreItem>
</file>

<file path=customXml/itemProps2.xml><?xml version="1.0" encoding="utf-8"?>
<ds:datastoreItem xmlns:ds="http://schemas.openxmlformats.org/officeDocument/2006/customXml" ds:itemID="{9B5EB1E0-4D3D-4FF4-91BC-54F1FA09FA06}">
  <ds:schemaRefs>
    <ds:schemaRef ds:uri="http://schemas.microsoft.com/sharepoint/v3/contenttype/forms"/>
  </ds:schemaRefs>
</ds:datastoreItem>
</file>

<file path=customXml/itemProps3.xml><?xml version="1.0" encoding="utf-8"?>
<ds:datastoreItem xmlns:ds="http://schemas.openxmlformats.org/officeDocument/2006/customXml" ds:itemID="{9D31F4C8-5A18-4F0A-BBF6-A21CE7CFBE47}">
  <ds:schemaRefs>
    <ds:schemaRef ds:uri="http://schemas.microsoft.com/office/2006/metadata/properties"/>
    <ds:schemaRef ds:uri="http://schemas.microsoft.com/office/infopath/2007/PartnerControls"/>
    <ds:schemaRef ds:uri="6e49b178-b109-40ec-ba3a-08c7a1a9acc4"/>
  </ds:schemaRefs>
</ds:datastoreItem>
</file>

<file path=customXml/itemProps4.xml><?xml version="1.0" encoding="utf-8"?>
<ds:datastoreItem xmlns:ds="http://schemas.openxmlformats.org/officeDocument/2006/customXml" ds:itemID="{D2B11E0E-BD18-41F0-8369-1C49F0356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9b178-b109-40ec-ba3a-08c7a1a9acc4"/>
    <ds:schemaRef ds:uri="51bb2d29-83b7-4014-bf65-91c65020c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Kabwe</dc:creator>
  <cp:keywords/>
  <cp:lastModifiedBy>Saul Sichalama</cp:lastModifiedBy>
  <cp:revision>2</cp:revision>
  <cp:lastPrinted>2024-11-20T08:17:00Z</cp:lastPrinted>
  <dcterms:created xsi:type="dcterms:W3CDTF">2025-12-16T12:09:00Z</dcterms:created>
  <dcterms:modified xsi:type="dcterms:W3CDTF">2025-12-16T12:09:00Z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0x010100FE8FF6ECA69CB44DAAE7F8FB121EBD86</vt:lpwstr>
  </property>
</Properties>
</file>